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9059E7" w14:textId="77777777" w:rsidR="007E0F23" w:rsidRDefault="007E0F23">
      <w:pPr>
        <w:spacing w:after="0" w:line="240" w:lineRule="auto"/>
        <w:rPr>
          <w:rFonts w:ascii="Libre Baskerville" w:eastAsia="Libre Baskerville" w:hAnsi="Libre Baskerville" w:cs="Libre Baskerville"/>
          <w:sz w:val="26"/>
          <w:szCs w:val="26"/>
        </w:rPr>
      </w:pPr>
    </w:p>
    <w:p w14:paraId="64D5C21E" w14:textId="77777777" w:rsidR="007E0F23" w:rsidRDefault="007E0F23">
      <w:pPr>
        <w:spacing w:after="0" w:line="240" w:lineRule="auto"/>
        <w:rPr>
          <w:rFonts w:ascii="Libre Baskerville" w:eastAsia="Libre Baskerville" w:hAnsi="Libre Baskerville" w:cs="Libre Baskerville"/>
          <w:sz w:val="26"/>
          <w:szCs w:val="26"/>
        </w:rPr>
      </w:pPr>
    </w:p>
    <w:p w14:paraId="7784D282" w14:textId="77777777" w:rsidR="007E0F23" w:rsidRPr="00CD7130" w:rsidRDefault="00A53AD4">
      <w:pPr>
        <w:spacing w:after="0" w:line="240" w:lineRule="auto"/>
        <w:rPr>
          <w:rFonts w:asciiTheme="majorHAnsi" w:eastAsia="Libre Baskerville" w:hAnsiTheme="majorHAnsi" w:cstheme="majorHAnsi"/>
          <w:sz w:val="24"/>
          <w:szCs w:val="24"/>
        </w:rPr>
      </w:pPr>
      <w:r w:rsidRPr="00CD7130">
        <w:rPr>
          <w:rFonts w:asciiTheme="majorHAnsi" w:eastAsia="Libre Baskerville" w:hAnsiTheme="majorHAnsi" w:cstheme="majorHAnsi"/>
          <w:sz w:val="24"/>
          <w:szCs w:val="24"/>
        </w:rPr>
        <w:t>November 27, 2020</w:t>
      </w:r>
    </w:p>
    <w:p w14:paraId="3D8CCEB8" w14:textId="77777777" w:rsidR="007E0F23" w:rsidRPr="00CD7130" w:rsidRDefault="007E0F23">
      <w:pPr>
        <w:spacing w:after="0" w:line="240" w:lineRule="auto"/>
        <w:rPr>
          <w:rFonts w:asciiTheme="majorHAnsi" w:eastAsia="Libre Baskerville" w:hAnsiTheme="majorHAnsi" w:cstheme="majorHAnsi"/>
          <w:sz w:val="24"/>
          <w:szCs w:val="24"/>
        </w:rPr>
      </w:pPr>
    </w:p>
    <w:p w14:paraId="5DE34EAB" w14:textId="77777777" w:rsidR="007E0F23" w:rsidRPr="00CD7130" w:rsidRDefault="007E0F23">
      <w:pPr>
        <w:spacing w:after="0" w:line="240" w:lineRule="auto"/>
        <w:rPr>
          <w:rFonts w:asciiTheme="majorHAnsi" w:eastAsia="Libre Baskerville" w:hAnsiTheme="majorHAnsi" w:cstheme="majorHAnsi"/>
          <w:sz w:val="24"/>
          <w:szCs w:val="24"/>
        </w:rPr>
      </w:pPr>
    </w:p>
    <w:p w14:paraId="744DF08D" w14:textId="77777777" w:rsidR="007E0F23" w:rsidRPr="00CD7130" w:rsidRDefault="00A53AD4">
      <w:pPr>
        <w:spacing w:after="0" w:line="240" w:lineRule="auto"/>
        <w:rPr>
          <w:rFonts w:asciiTheme="majorHAnsi" w:eastAsia="Libre Baskerville" w:hAnsiTheme="majorHAnsi" w:cstheme="majorHAnsi"/>
          <w:sz w:val="24"/>
          <w:szCs w:val="24"/>
        </w:rPr>
      </w:pPr>
      <w:r w:rsidRPr="00CD7130">
        <w:rPr>
          <w:rFonts w:asciiTheme="majorHAnsi" w:eastAsia="Libre Baskerville" w:hAnsiTheme="majorHAnsi" w:cstheme="majorHAnsi"/>
          <w:sz w:val="24"/>
          <w:szCs w:val="24"/>
        </w:rPr>
        <w:t>North Pacific Fishery Management Council</w:t>
      </w:r>
    </w:p>
    <w:p w14:paraId="6D1249C8" w14:textId="77777777" w:rsidR="007E0F23" w:rsidRPr="00CD7130" w:rsidRDefault="00A53AD4">
      <w:pPr>
        <w:spacing w:after="0" w:line="240" w:lineRule="auto"/>
        <w:rPr>
          <w:rFonts w:asciiTheme="majorHAnsi" w:eastAsia="Libre Baskerville" w:hAnsiTheme="majorHAnsi" w:cstheme="majorHAnsi"/>
          <w:sz w:val="24"/>
          <w:szCs w:val="24"/>
        </w:rPr>
      </w:pPr>
      <w:r w:rsidRPr="00CD7130">
        <w:rPr>
          <w:rFonts w:asciiTheme="majorHAnsi" w:eastAsia="Libre Baskerville" w:hAnsiTheme="majorHAnsi" w:cstheme="majorHAnsi"/>
          <w:sz w:val="24"/>
          <w:szCs w:val="24"/>
        </w:rPr>
        <w:t>1007 West Third, Suite 400</w:t>
      </w:r>
    </w:p>
    <w:p w14:paraId="71A56188" w14:textId="77777777" w:rsidR="007E0F23" w:rsidRPr="00CD7130" w:rsidRDefault="00A53AD4">
      <w:pPr>
        <w:spacing w:after="0" w:line="240" w:lineRule="auto"/>
        <w:rPr>
          <w:rFonts w:asciiTheme="majorHAnsi" w:eastAsia="Libre Baskerville" w:hAnsiTheme="majorHAnsi" w:cstheme="majorHAnsi"/>
          <w:sz w:val="24"/>
          <w:szCs w:val="24"/>
        </w:rPr>
      </w:pPr>
      <w:r w:rsidRPr="00CD7130">
        <w:rPr>
          <w:rFonts w:asciiTheme="majorHAnsi" w:eastAsia="Libre Baskerville" w:hAnsiTheme="majorHAnsi" w:cstheme="majorHAnsi"/>
          <w:sz w:val="24"/>
          <w:szCs w:val="24"/>
        </w:rPr>
        <w:t>Anchorage, AK 99501</w:t>
      </w:r>
    </w:p>
    <w:p w14:paraId="709BA38D" w14:textId="77777777" w:rsidR="007E0F23" w:rsidRPr="00CD7130" w:rsidRDefault="007E0F23">
      <w:pPr>
        <w:spacing w:after="0" w:line="240" w:lineRule="auto"/>
        <w:rPr>
          <w:rFonts w:asciiTheme="majorHAnsi" w:eastAsia="Libre Baskerville" w:hAnsiTheme="majorHAnsi" w:cstheme="majorHAnsi"/>
          <w:sz w:val="24"/>
          <w:szCs w:val="24"/>
        </w:rPr>
      </w:pPr>
    </w:p>
    <w:p w14:paraId="1DDE4FE3" w14:textId="77777777" w:rsidR="007E0F23" w:rsidRPr="00CD7130" w:rsidRDefault="00A53AD4">
      <w:pPr>
        <w:spacing w:after="0" w:line="240" w:lineRule="auto"/>
        <w:rPr>
          <w:rFonts w:asciiTheme="majorHAnsi" w:eastAsia="Libre Baskerville" w:hAnsiTheme="majorHAnsi" w:cstheme="majorHAnsi"/>
          <w:sz w:val="24"/>
          <w:szCs w:val="24"/>
        </w:rPr>
      </w:pPr>
      <w:r w:rsidRPr="00CD7130">
        <w:rPr>
          <w:rFonts w:asciiTheme="majorHAnsi" w:eastAsia="Libre Baskerville" w:hAnsiTheme="majorHAnsi" w:cstheme="majorHAnsi"/>
          <w:sz w:val="24"/>
          <w:szCs w:val="24"/>
        </w:rPr>
        <w:t>RE: Agenda item C-5 BSAI Pacific Cod Trawl CV LAPP</w:t>
      </w:r>
    </w:p>
    <w:p w14:paraId="74AB6E16" w14:textId="77777777" w:rsidR="007E0F23" w:rsidRPr="00CD7130" w:rsidRDefault="007E0F23">
      <w:pPr>
        <w:spacing w:after="0" w:line="240" w:lineRule="auto"/>
        <w:rPr>
          <w:rFonts w:asciiTheme="majorHAnsi" w:eastAsia="Libre Baskerville" w:hAnsiTheme="majorHAnsi" w:cstheme="majorHAnsi"/>
          <w:sz w:val="24"/>
          <w:szCs w:val="24"/>
        </w:rPr>
      </w:pPr>
    </w:p>
    <w:p w14:paraId="6FAB2BCA" w14:textId="77777777" w:rsidR="007E0F23" w:rsidRPr="00CD7130" w:rsidRDefault="00A53AD4">
      <w:pPr>
        <w:spacing w:after="0" w:line="240" w:lineRule="auto"/>
        <w:rPr>
          <w:rFonts w:asciiTheme="majorHAnsi" w:eastAsia="Libre Baskerville" w:hAnsiTheme="majorHAnsi" w:cstheme="majorHAnsi"/>
          <w:sz w:val="24"/>
          <w:szCs w:val="24"/>
        </w:rPr>
      </w:pPr>
      <w:r w:rsidRPr="00CD7130">
        <w:rPr>
          <w:rFonts w:asciiTheme="majorHAnsi" w:eastAsia="Libre Baskerville" w:hAnsiTheme="majorHAnsi" w:cstheme="majorHAnsi"/>
          <w:sz w:val="24"/>
          <w:szCs w:val="24"/>
        </w:rPr>
        <w:t xml:space="preserve">Dear Chairman </w:t>
      </w:r>
      <w:proofErr w:type="spellStart"/>
      <w:r w:rsidRPr="00CD7130">
        <w:rPr>
          <w:rFonts w:asciiTheme="majorHAnsi" w:eastAsia="Libre Baskerville" w:hAnsiTheme="majorHAnsi" w:cstheme="majorHAnsi"/>
          <w:sz w:val="24"/>
          <w:szCs w:val="24"/>
        </w:rPr>
        <w:t>Kinneen</w:t>
      </w:r>
      <w:proofErr w:type="spellEnd"/>
      <w:r w:rsidRPr="00CD7130">
        <w:rPr>
          <w:rFonts w:asciiTheme="majorHAnsi" w:eastAsia="Libre Baskerville" w:hAnsiTheme="majorHAnsi" w:cstheme="majorHAnsi"/>
          <w:sz w:val="24"/>
          <w:szCs w:val="24"/>
        </w:rPr>
        <w:t xml:space="preserve"> and Council members:</w:t>
      </w:r>
    </w:p>
    <w:p w14:paraId="14BBD082" w14:textId="77777777" w:rsidR="007E0F23" w:rsidRPr="00CD7130" w:rsidRDefault="007E0F23">
      <w:pPr>
        <w:spacing w:after="0" w:line="240" w:lineRule="auto"/>
        <w:rPr>
          <w:rFonts w:asciiTheme="majorHAnsi" w:eastAsia="Libre Baskerville" w:hAnsiTheme="majorHAnsi" w:cstheme="majorHAnsi"/>
          <w:sz w:val="24"/>
          <w:szCs w:val="24"/>
        </w:rPr>
      </w:pPr>
    </w:p>
    <w:p w14:paraId="043AC2E7" w14:textId="77777777" w:rsidR="007E0F23" w:rsidRPr="00CD7130" w:rsidRDefault="00A53AD4">
      <w:pPr>
        <w:rPr>
          <w:rFonts w:asciiTheme="majorHAnsi" w:eastAsia="Libre Baskerville" w:hAnsiTheme="majorHAnsi" w:cstheme="majorHAnsi"/>
          <w:sz w:val="24"/>
          <w:szCs w:val="24"/>
        </w:rPr>
      </w:pPr>
      <w:r w:rsidRPr="00CD7130">
        <w:rPr>
          <w:rFonts w:asciiTheme="majorHAnsi" w:eastAsia="Libre Baskerville" w:hAnsiTheme="majorHAnsi" w:cstheme="majorHAnsi"/>
          <w:sz w:val="24"/>
          <w:szCs w:val="24"/>
        </w:rPr>
        <w:t xml:space="preserve">We appreciate the opportunity to comment on the developing Bering Sea and Aleutian Island trawl Pacific cod LAPP Initial Review.  The Alaska Marine Conservation Council (AMCC) is an Alaska-based non-profit dedicated to protecting the </w:t>
      </w:r>
      <w:proofErr w:type="gramStart"/>
      <w:r w:rsidRPr="00CD7130">
        <w:rPr>
          <w:rFonts w:asciiTheme="majorHAnsi" w:eastAsia="Libre Baskerville" w:hAnsiTheme="majorHAnsi" w:cstheme="majorHAnsi"/>
          <w:sz w:val="24"/>
          <w:szCs w:val="24"/>
        </w:rPr>
        <w:t>long term</w:t>
      </w:r>
      <w:proofErr w:type="gramEnd"/>
      <w:r w:rsidRPr="00CD7130">
        <w:rPr>
          <w:rFonts w:asciiTheme="majorHAnsi" w:eastAsia="Libre Baskerville" w:hAnsiTheme="majorHAnsi" w:cstheme="majorHAnsi"/>
          <w:sz w:val="24"/>
          <w:szCs w:val="24"/>
        </w:rPr>
        <w:t xml:space="preserve"> health of Alaska’s oceans and sustaining the working waterfronts of our coastal communities. Our members include fishermen, subsistence harvesters, marine scientists, small business owners and families, many of whom rely on healthy halibut fisheries.</w:t>
      </w:r>
    </w:p>
    <w:p w14:paraId="5D53C9D2" w14:textId="4F6B4539" w:rsidR="007E0F23" w:rsidRPr="00CD7130" w:rsidRDefault="00A53AD4">
      <w:pPr>
        <w:rPr>
          <w:rFonts w:asciiTheme="majorHAnsi" w:eastAsia="Libre Baskerville" w:hAnsiTheme="majorHAnsi" w:cstheme="majorHAnsi"/>
          <w:strike/>
          <w:sz w:val="24"/>
          <w:szCs w:val="24"/>
        </w:rPr>
      </w:pPr>
      <w:r w:rsidRPr="00CD7130">
        <w:rPr>
          <w:rFonts w:asciiTheme="majorHAnsi" w:eastAsia="Libre Baskerville" w:hAnsiTheme="majorHAnsi" w:cstheme="majorHAnsi"/>
          <w:sz w:val="24"/>
          <w:szCs w:val="24"/>
        </w:rPr>
        <w:t>The proposed Pacific Cod Trawl CV Program (PCTC Program) is a comprehensive and complex limited access privilege program which will shape fisheries management of Pacific cod in the region for generations to come. AMCC is focused on the PSC reductions of halibut and crab, the durability of the fishing communities adjacent to the resource, the fishermen from both trawl and pot sectors who are dependent on access to the resource, and the fishermen from the GOA who will be impacted by the program. It is critical that the PCTC program is developed in a manner which provides adequate time for review, including analysis of meaningful bycatch reductions of halibut and crab PSC. AMCC recommends that the PCTC program come back to the Council for another initial review in order to provide the necessary time to vet the program.</w:t>
      </w:r>
    </w:p>
    <w:p w14:paraId="72725614" w14:textId="614B7B2A" w:rsidR="007E0F23" w:rsidRPr="00CD7130" w:rsidRDefault="00A53AD4">
      <w:pPr>
        <w:rPr>
          <w:rFonts w:asciiTheme="majorHAnsi" w:eastAsia="Libre Baskerville" w:hAnsiTheme="majorHAnsi" w:cstheme="majorHAnsi"/>
          <w:sz w:val="24"/>
          <w:szCs w:val="24"/>
        </w:rPr>
      </w:pPr>
      <w:r w:rsidRPr="00CD7130">
        <w:rPr>
          <w:rFonts w:asciiTheme="majorHAnsi" w:eastAsia="Libre Baskerville" w:hAnsiTheme="majorHAnsi" w:cstheme="majorHAnsi"/>
          <w:sz w:val="24"/>
          <w:szCs w:val="24"/>
        </w:rPr>
        <w:t>Reducing bycatch has long been recognized as a benefit of a catch share program and must be identified up</w:t>
      </w:r>
      <w:r w:rsidR="00E85C89">
        <w:rPr>
          <w:rFonts w:asciiTheme="majorHAnsi" w:eastAsia="Libre Baskerville" w:hAnsiTheme="majorHAnsi" w:cstheme="majorHAnsi"/>
          <w:sz w:val="24"/>
          <w:szCs w:val="24"/>
        </w:rPr>
        <w:t xml:space="preserve"> </w:t>
      </w:r>
      <w:r w:rsidRPr="00CD7130">
        <w:rPr>
          <w:rFonts w:asciiTheme="majorHAnsi" w:eastAsia="Libre Baskerville" w:hAnsiTheme="majorHAnsi" w:cstheme="majorHAnsi"/>
          <w:sz w:val="24"/>
          <w:szCs w:val="24"/>
        </w:rPr>
        <w:t>front as an objective of the program. The Council must strengthen the language in the Purpose and Need statement driving this action to include reduction of PSC species as a clear objective of this comprehensive catch share program. As currently proposed, the PCTC lacks bycatch reductions as an objective of the catch share program despite previous Council comment and emphasis that this program would address long</w:t>
      </w:r>
      <w:r w:rsidR="00E85C89">
        <w:rPr>
          <w:rFonts w:asciiTheme="majorHAnsi" w:eastAsia="Libre Baskerville" w:hAnsiTheme="majorHAnsi" w:cstheme="majorHAnsi"/>
          <w:sz w:val="24"/>
          <w:szCs w:val="24"/>
        </w:rPr>
        <w:t>-</w:t>
      </w:r>
      <w:r w:rsidRPr="00CD7130">
        <w:rPr>
          <w:rFonts w:asciiTheme="majorHAnsi" w:eastAsia="Libre Baskerville" w:hAnsiTheme="majorHAnsi" w:cstheme="majorHAnsi"/>
          <w:sz w:val="24"/>
          <w:szCs w:val="24"/>
        </w:rPr>
        <w:t>standing halibut bycatch concerns in the BSAI. Bycatch reductions are included as an element and AMCC appreciates the amendment made by the State of Alaska to address the void in the original motion to develop a catch share program with no consideration of bycatch reductions.  However, we need more confidence that bycatch reductions are an integral component of this action as we move forward.</w:t>
      </w:r>
    </w:p>
    <w:p w14:paraId="275D2079" w14:textId="77777777" w:rsidR="007E0F23" w:rsidRPr="00CD7130" w:rsidRDefault="00A53AD4">
      <w:pPr>
        <w:rPr>
          <w:rFonts w:asciiTheme="majorHAnsi" w:eastAsia="Libre Baskerville" w:hAnsiTheme="majorHAnsi" w:cstheme="majorHAnsi"/>
          <w:sz w:val="24"/>
          <w:szCs w:val="24"/>
        </w:rPr>
      </w:pPr>
      <w:r w:rsidRPr="00CD7130">
        <w:rPr>
          <w:rFonts w:asciiTheme="majorHAnsi" w:eastAsia="Libre Baskerville" w:hAnsiTheme="majorHAnsi" w:cstheme="majorHAnsi"/>
          <w:sz w:val="24"/>
          <w:szCs w:val="24"/>
        </w:rPr>
        <w:t xml:space="preserve">National Standard 9 requires that “Conservation and management measures shall, to the extent practicable, (a) minimize bycatch and (b) to the extent bycatch cannot be avoided, minimize the </w:t>
      </w:r>
      <w:r w:rsidRPr="00CD7130">
        <w:rPr>
          <w:rFonts w:asciiTheme="majorHAnsi" w:eastAsia="Libre Baskerville" w:hAnsiTheme="majorHAnsi" w:cstheme="majorHAnsi"/>
          <w:sz w:val="24"/>
          <w:szCs w:val="24"/>
        </w:rPr>
        <w:lastRenderedPageBreak/>
        <w:t>mortality of such bycatch.” Given the current status of the halibut and red king crab stocks, the directive to minimize bycatch is even more compelling. Each PSC species caught as bycatch has a direct effect on the spawning biomass and yield available to other sectors now and in the future.</w:t>
      </w:r>
    </w:p>
    <w:p w14:paraId="3AB38851" w14:textId="77777777" w:rsidR="007E0F23" w:rsidRPr="00CD7130" w:rsidRDefault="00A53AD4">
      <w:pPr>
        <w:rPr>
          <w:rFonts w:asciiTheme="majorHAnsi" w:eastAsia="Libre Baskerville" w:hAnsiTheme="majorHAnsi" w:cstheme="majorHAnsi"/>
          <w:sz w:val="24"/>
          <w:szCs w:val="24"/>
        </w:rPr>
      </w:pPr>
      <w:r w:rsidRPr="00CD7130">
        <w:rPr>
          <w:rFonts w:asciiTheme="majorHAnsi" w:eastAsia="Libre Baskerville" w:hAnsiTheme="majorHAnsi" w:cstheme="majorHAnsi"/>
          <w:sz w:val="24"/>
          <w:szCs w:val="24"/>
        </w:rPr>
        <w:t xml:space="preserve">Due to the lack of direction by the Council in regard to bycatch reductions in the Purpose and Need statement, the intent of the action is narrowly focused. The executive summary captures the intent of the action in the following language which stems from the Purpose and Need statement: </w:t>
      </w:r>
    </w:p>
    <w:p w14:paraId="14815469" w14:textId="77777777" w:rsidR="007E0F23" w:rsidRPr="00CD7130" w:rsidRDefault="00A53AD4">
      <w:pPr>
        <w:rPr>
          <w:rFonts w:asciiTheme="majorHAnsi" w:eastAsia="Libre Baskerville" w:hAnsiTheme="majorHAnsi" w:cstheme="majorHAnsi"/>
          <w:sz w:val="24"/>
          <w:szCs w:val="24"/>
        </w:rPr>
      </w:pPr>
      <w:r w:rsidRPr="00CD7130">
        <w:rPr>
          <w:rFonts w:asciiTheme="majorHAnsi" w:eastAsia="Libre Baskerville" w:hAnsiTheme="majorHAnsi" w:cstheme="majorHAnsi"/>
          <w:i/>
          <w:sz w:val="24"/>
          <w:szCs w:val="24"/>
        </w:rPr>
        <w:t xml:space="preserve"> “The intent of this action is to improve the prosecution of the fishery with the intent of promoting safety and stability in the harvesting and processing sectors, increasing the value of the fishery, providing for the sustained participation of fishery dependent communities, and ensuring the sustainability and viability of the resource.”</w:t>
      </w:r>
      <w:r w:rsidRPr="00CD7130">
        <w:rPr>
          <w:rFonts w:asciiTheme="majorHAnsi" w:eastAsia="Libre Baskerville" w:hAnsiTheme="majorHAnsi" w:cstheme="majorHAnsi"/>
          <w:sz w:val="24"/>
          <w:szCs w:val="24"/>
        </w:rPr>
        <w:t xml:space="preserve"> (</w:t>
      </w:r>
      <w:r w:rsidRPr="00CD7130">
        <w:rPr>
          <w:rFonts w:asciiTheme="majorHAnsi" w:eastAsia="Libre Baskerville" w:hAnsiTheme="majorHAnsi" w:cstheme="majorHAnsi"/>
          <w:i/>
          <w:sz w:val="24"/>
          <w:szCs w:val="24"/>
        </w:rPr>
        <w:t>PCTC Program pg. 6).</w:t>
      </w:r>
      <w:r w:rsidRPr="00CD7130">
        <w:rPr>
          <w:rFonts w:asciiTheme="majorHAnsi" w:eastAsia="Libre Baskerville" w:hAnsiTheme="majorHAnsi" w:cstheme="majorHAnsi"/>
          <w:sz w:val="24"/>
          <w:szCs w:val="24"/>
        </w:rPr>
        <w:t xml:space="preserve"> </w:t>
      </w:r>
    </w:p>
    <w:p w14:paraId="408FF079" w14:textId="77777777" w:rsidR="007E0F23" w:rsidRPr="00CD7130" w:rsidRDefault="00A53AD4">
      <w:pPr>
        <w:rPr>
          <w:rFonts w:asciiTheme="majorHAnsi" w:eastAsia="Libre Baskerville" w:hAnsiTheme="majorHAnsi" w:cstheme="majorHAnsi"/>
          <w:sz w:val="24"/>
          <w:szCs w:val="24"/>
        </w:rPr>
      </w:pPr>
      <w:r w:rsidRPr="00CD7130">
        <w:rPr>
          <w:rFonts w:asciiTheme="majorHAnsi" w:eastAsia="Libre Baskerville" w:hAnsiTheme="majorHAnsi" w:cstheme="majorHAnsi"/>
          <w:sz w:val="24"/>
          <w:szCs w:val="24"/>
        </w:rPr>
        <w:t>Due to the lack of a clear objective to reduce bycatch in the Purpose and Need of this action, bycatch reductions are left out in the overall intent of the action and appear to be an afterthought embedded in an option in element 3. While there is reference to bycatch found in the Purpose and Need, it is framed as a potential outcome and is not stated as an objective of program design despite the understanding that trawl cooperatives in catch share programs can significantly reduce bycatch. The one sentence referencing bycatch reads; “</w:t>
      </w:r>
      <w:r w:rsidRPr="00CD7130">
        <w:rPr>
          <w:rFonts w:asciiTheme="majorHAnsi" w:eastAsia="Libre Baskerville" w:hAnsiTheme="majorHAnsi" w:cstheme="majorHAnsi"/>
          <w:i/>
          <w:sz w:val="24"/>
          <w:szCs w:val="24"/>
        </w:rPr>
        <w:t>This race for fish also discourages fishing practices that can minimize bycatch and threatens the sustained viability of the fishery.” (PCTC Program pg. 6)</w:t>
      </w:r>
    </w:p>
    <w:p w14:paraId="6D0931DD" w14:textId="1ED94DDE" w:rsidR="007E0F23" w:rsidRPr="00CD7130" w:rsidRDefault="00A53AD4">
      <w:pPr>
        <w:rPr>
          <w:rFonts w:asciiTheme="majorHAnsi" w:eastAsia="Libre Baskerville" w:hAnsiTheme="majorHAnsi" w:cstheme="majorHAnsi"/>
          <w:b/>
          <w:sz w:val="24"/>
          <w:szCs w:val="24"/>
        </w:rPr>
      </w:pPr>
      <w:r w:rsidRPr="00CD7130">
        <w:rPr>
          <w:rFonts w:asciiTheme="majorHAnsi" w:eastAsia="Libre Baskerville" w:hAnsiTheme="majorHAnsi" w:cstheme="majorHAnsi"/>
          <w:b/>
          <w:sz w:val="24"/>
          <w:szCs w:val="24"/>
        </w:rPr>
        <w:t xml:space="preserve">AMCC requests the Council state categorically in the Purpose and Need statement </w:t>
      </w:r>
      <w:r w:rsidR="009E5A46">
        <w:rPr>
          <w:rFonts w:asciiTheme="majorHAnsi" w:eastAsia="Libre Baskerville" w:hAnsiTheme="majorHAnsi" w:cstheme="majorHAnsi"/>
          <w:b/>
          <w:sz w:val="24"/>
          <w:szCs w:val="24"/>
        </w:rPr>
        <w:t xml:space="preserve">and in the objectives </w:t>
      </w:r>
      <w:r w:rsidRPr="00CD7130">
        <w:rPr>
          <w:rFonts w:asciiTheme="majorHAnsi" w:eastAsia="Libre Baskerville" w:hAnsiTheme="majorHAnsi" w:cstheme="majorHAnsi"/>
          <w:b/>
          <w:sz w:val="24"/>
          <w:szCs w:val="24"/>
        </w:rPr>
        <w:t>that meaningful bycatch reductions of crab and halibut will be an objective of the PCTC.  The addition of language which captures the intent to reduce bycatch and bycatch mortality to the extent practicable must be included.</w:t>
      </w:r>
    </w:p>
    <w:p w14:paraId="14CAD84F" w14:textId="77777777" w:rsidR="007E0F23" w:rsidRPr="00CD7130" w:rsidRDefault="00A53AD4">
      <w:pPr>
        <w:rPr>
          <w:rFonts w:asciiTheme="majorHAnsi" w:eastAsia="Libre Baskerville" w:hAnsiTheme="majorHAnsi" w:cstheme="majorHAnsi"/>
          <w:sz w:val="24"/>
          <w:szCs w:val="24"/>
        </w:rPr>
      </w:pPr>
      <w:r w:rsidRPr="00CD7130">
        <w:rPr>
          <w:rFonts w:asciiTheme="majorHAnsi" w:eastAsia="Libre Baskerville" w:hAnsiTheme="majorHAnsi" w:cstheme="majorHAnsi"/>
          <w:sz w:val="24"/>
          <w:szCs w:val="24"/>
        </w:rPr>
        <w:t>In order to inform stakeholder expectations of what the Council is willing to consider for bycatch reductions in the analysis, a meaningful range of bycatch reductions must be included at this time.</w:t>
      </w:r>
    </w:p>
    <w:p w14:paraId="44D90D44" w14:textId="77777777" w:rsidR="007E0F23" w:rsidRPr="00CD7130" w:rsidRDefault="00A53AD4">
      <w:pPr>
        <w:rPr>
          <w:rFonts w:asciiTheme="majorHAnsi" w:eastAsia="Libre Baskerville" w:hAnsiTheme="majorHAnsi" w:cstheme="majorHAnsi"/>
          <w:b/>
          <w:sz w:val="24"/>
          <w:szCs w:val="24"/>
        </w:rPr>
      </w:pPr>
      <w:r w:rsidRPr="00CD7130">
        <w:rPr>
          <w:rFonts w:asciiTheme="majorHAnsi" w:eastAsia="Libre Baskerville" w:hAnsiTheme="majorHAnsi" w:cstheme="majorHAnsi"/>
          <w:b/>
          <w:sz w:val="24"/>
          <w:szCs w:val="24"/>
        </w:rPr>
        <w:t>To that end, AMCC requests the Council to expand the range in Element 3, Option 3.2 as follows:</w:t>
      </w:r>
    </w:p>
    <w:p w14:paraId="55DEB6E1" w14:textId="77777777" w:rsidR="007E0F23" w:rsidRPr="00CD7130" w:rsidRDefault="00A53AD4">
      <w:pPr>
        <w:rPr>
          <w:rFonts w:asciiTheme="majorHAnsi" w:eastAsia="Libre Baskerville" w:hAnsiTheme="majorHAnsi" w:cstheme="majorHAnsi"/>
          <w:b/>
          <w:sz w:val="24"/>
          <w:szCs w:val="24"/>
        </w:rPr>
      </w:pPr>
      <w:r w:rsidRPr="00CD7130">
        <w:rPr>
          <w:rFonts w:asciiTheme="majorHAnsi" w:eastAsia="Libre Baskerville" w:hAnsiTheme="majorHAnsi" w:cstheme="majorHAnsi"/>
          <w:b/>
          <w:sz w:val="24"/>
          <w:szCs w:val="24"/>
        </w:rPr>
        <w:t>Element 3. Prohibited Species Catch Limits.</w:t>
      </w:r>
    </w:p>
    <w:p w14:paraId="5C1AB306" w14:textId="77777777" w:rsidR="007E0F23" w:rsidRPr="00CD7130" w:rsidRDefault="00A53AD4">
      <w:pPr>
        <w:rPr>
          <w:rFonts w:asciiTheme="majorHAnsi" w:eastAsia="Libre Baskerville" w:hAnsiTheme="majorHAnsi" w:cstheme="majorHAnsi"/>
          <w:b/>
          <w:sz w:val="24"/>
          <w:szCs w:val="24"/>
        </w:rPr>
      </w:pPr>
      <w:r w:rsidRPr="00CD7130">
        <w:rPr>
          <w:rFonts w:asciiTheme="majorHAnsi" w:eastAsia="Libre Baskerville" w:hAnsiTheme="majorHAnsi" w:cstheme="majorHAnsi"/>
          <w:b/>
          <w:sz w:val="24"/>
          <w:szCs w:val="24"/>
        </w:rPr>
        <w:t>Option 3.2: Reduce halibut and crab PSC apportionment to BSAI trawl CV Pacific cod sector that would be harvested by the Pacific cod CV sector by 10% to 40%.</w:t>
      </w:r>
    </w:p>
    <w:p w14:paraId="0752CC7E" w14:textId="77777777" w:rsidR="007E0F23" w:rsidRPr="00CD7130" w:rsidRDefault="00A53AD4">
      <w:pPr>
        <w:rPr>
          <w:rFonts w:asciiTheme="majorHAnsi" w:eastAsia="Libre Baskerville" w:hAnsiTheme="majorHAnsi" w:cstheme="majorHAnsi"/>
          <w:b/>
          <w:sz w:val="24"/>
          <w:szCs w:val="24"/>
        </w:rPr>
      </w:pPr>
      <w:r w:rsidRPr="00CD7130">
        <w:rPr>
          <w:rFonts w:asciiTheme="majorHAnsi" w:eastAsia="Libre Baskerville" w:hAnsiTheme="majorHAnsi" w:cstheme="majorHAnsi"/>
          <w:sz w:val="24"/>
          <w:szCs w:val="24"/>
        </w:rPr>
        <w:t xml:space="preserve">The Council identified the PCTC program as the avenue to address halibut bycatch in the BSAI when it </w:t>
      </w:r>
      <w:proofErr w:type="gramStart"/>
      <w:r w:rsidRPr="00CD7130">
        <w:rPr>
          <w:rFonts w:asciiTheme="majorHAnsi" w:eastAsia="Libre Baskerville" w:hAnsiTheme="majorHAnsi" w:cstheme="majorHAnsi"/>
          <w:sz w:val="24"/>
          <w:szCs w:val="24"/>
        </w:rPr>
        <w:t>took action</w:t>
      </w:r>
      <w:proofErr w:type="gramEnd"/>
      <w:r w:rsidRPr="00CD7130">
        <w:rPr>
          <w:rFonts w:asciiTheme="majorHAnsi" w:eastAsia="Libre Baskerville" w:hAnsiTheme="majorHAnsi" w:cstheme="majorHAnsi"/>
          <w:sz w:val="24"/>
          <w:szCs w:val="24"/>
        </w:rPr>
        <w:t xml:space="preserve"> in February of 2020 to limit analysis of an abundance-based management approach to halibut bycatch to the A-80 fleet. At that time there was extensive discussion around the Council table recognizing that there was an action in the works to address halibut bycatch in the Pacific cod TLAS fishery. This fishery is currently responsible for 20% of halibut bycatch. Discussions during this time also highlighted whether or not the approach to have one sector, A-80, operate under an </w:t>
      </w:r>
      <w:r w:rsidRPr="00CD7130">
        <w:rPr>
          <w:rFonts w:asciiTheme="majorHAnsi" w:eastAsia="Libre Baskerville" w:hAnsiTheme="majorHAnsi" w:cstheme="majorHAnsi"/>
          <w:sz w:val="24"/>
          <w:szCs w:val="24"/>
        </w:rPr>
        <w:lastRenderedPageBreak/>
        <w:t>abundance-based approach to halibut bycatch while another, the Pacific cod trawl fishery, operates under a fixed amount is appropriate.</w:t>
      </w:r>
      <w:r w:rsidRPr="00CD7130">
        <w:rPr>
          <w:rFonts w:asciiTheme="majorHAnsi" w:eastAsia="Libre Baskerville" w:hAnsiTheme="majorHAnsi" w:cstheme="majorHAnsi"/>
          <w:b/>
          <w:sz w:val="24"/>
          <w:szCs w:val="24"/>
        </w:rPr>
        <w:t xml:space="preserve"> </w:t>
      </w:r>
    </w:p>
    <w:p w14:paraId="0E7BB30D" w14:textId="77777777" w:rsidR="007E0F23" w:rsidRPr="00CD7130" w:rsidRDefault="00A53AD4">
      <w:pPr>
        <w:rPr>
          <w:rFonts w:asciiTheme="majorHAnsi" w:eastAsia="Libre Baskerville" w:hAnsiTheme="majorHAnsi" w:cstheme="majorHAnsi"/>
          <w:b/>
          <w:sz w:val="24"/>
          <w:szCs w:val="24"/>
        </w:rPr>
      </w:pPr>
      <w:r w:rsidRPr="00CD7130">
        <w:rPr>
          <w:rFonts w:asciiTheme="majorHAnsi" w:eastAsia="Libre Baskerville" w:hAnsiTheme="majorHAnsi" w:cstheme="majorHAnsi"/>
          <w:b/>
          <w:sz w:val="24"/>
          <w:szCs w:val="24"/>
        </w:rPr>
        <w:t>In addition to expansion of the range under consideration for reduction, the Council should add an option consistent with the abundance-based management approach under development for the A80 sector.</w:t>
      </w:r>
    </w:p>
    <w:p w14:paraId="3A90B2D2" w14:textId="77777777" w:rsidR="007E0F23" w:rsidRPr="00CD7130" w:rsidRDefault="00A53AD4">
      <w:pPr>
        <w:rPr>
          <w:rFonts w:asciiTheme="majorHAnsi" w:eastAsia="Libre Baskerville" w:hAnsiTheme="majorHAnsi" w:cstheme="majorHAnsi"/>
          <w:sz w:val="24"/>
          <w:szCs w:val="24"/>
        </w:rPr>
      </w:pPr>
      <w:r w:rsidRPr="00CD7130">
        <w:rPr>
          <w:rFonts w:asciiTheme="majorHAnsi" w:eastAsia="Libre Baskerville" w:hAnsiTheme="majorHAnsi" w:cstheme="majorHAnsi"/>
          <w:sz w:val="24"/>
          <w:szCs w:val="24"/>
        </w:rPr>
        <w:t>In terms of the request to expand the ranges, the GOA Rockfish program has demonstrated significant success in prosecuting the fishery with reduced halibut bycatch. As noted in the analysis, “</w:t>
      </w:r>
      <w:r w:rsidRPr="00CD7130">
        <w:rPr>
          <w:rFonts w:asciiTheme="majorHAnsi" w:eastAsia="Libre Baskerville" w:hAnsiTheme="majorHAnsi" w:cstheme="majorHAnsi"/>
          <w:i/>
          <w:sz w:val="24"/>
          <w:szCs w:val="24"/>
        </w:rPr>
        <w:t>The 2017 Central GOA Rockfish Program Review (NPFMC 2014) notes that PSC and bycatch rates have also declined under the Pilot Program and the Rockfish Program. Halibut rates before</w:t>
      </w:r>
      <w:r w:rsidRPr="00CD7130">
        <w:rPr>
          <w:rFonts w:asciiTheme="majorHAnsi" w:eastAsia="Libre Baskerville" w:hAnsiTheme="majorHAnsi" w:cstheme="majorHAnsi"/>
          <w:sz w:val="24"/>
          <w:szCs w:val="24"/>
        </w:rPr>
        <w:t xml:space="preserve"> </w:t>
      </w:r>
      <w:r w:rsidRPr="00CD7130">
        <w:rPr>
          <w:rFonts w:asciiTheme="majorHAnsi" w:eastAsia="Libre Baskerville" w:hAnsiTheme="majorHAnsi" w:cstheme="majorHAnsi"/>
          <w:i/>
          <w:sz w:val="24"/>
          <w:szCs w:val="24"/>
        </w:rPr>
        <w:t>the Pilot Program</w:t>
      </w:r>
      <w:r w:rsidRPr="00CD7130">
        <w:rPr>
          <w:rFonts w:asciiTheme="majorHAnsi" w:eastAsia="Libre Baskerville" w:hAnsiTheme="majorHAnsi" w:cstheme="majorHAnsi"/>
          <w:sz w:val="24"/>
          <w:szCs w:val="24"/>
        </w:rPr>
        <w:t xml:space="preserve"> </w:t>
      </w:r>
      <w:r w:rsidRPr="00CD7130">
        <w:rPr>
          <w:rFonts w:asciiTheme="majorHAnsi" w:eastAsia="Libre Baskerville" w:hAnsiTheme="majorHAnsi" w:cstheme="majorHAnsi"/>
          <w:i/>
          <w:sz w:val="24"/>
          <w:szCs w:val="24"/>
        </w:rPr>
        <w:t xml:space="preserve">ranged from 1.5 to 3.0 kg of halibut per metric ton of total groundfish basis species per year. After the Pilot Program was implemented the rates decreased to about .25 kg of halibut per metric ton of total groundfish basis species. This indicates that the structure of the LAPP allowed harvesters to implement fishing strategies to reduce halibut PSC rates.” </w:t>
      </w:r>
      <w:r w:rsidRPr="00CD7130">
        <w:rPr>
          <w:rFonts w:asciiTheme="majorHAnsi" w:eastAsia="Libre Baskerville" w:hAnsiTheme="majorHAnsi" w:cstheme="majorHAnsi"/>
          <w:sz w:val="24"/>
          <w:szCs w:val="24"/>
        </w:rPr>
        <w:t>(</w:t>
      </w:r>
      <w:r w:rsidRPr="00CD7130">
        <w:rPr>
          <w:rFonts w:asciiTheme="majorHAnsi" w:eastAsia="Libre Baskerville" w:hAnsiTheme="majorHAnsi" w:cstheme="majorHAnsi"/>
          <w:i/>
          <w:sz w:val="24"/>
          <w:szCs w:val="24"/>
        </w:rPr>
        <w:t>PCTC program pg. 161)</w:t>
      </w:r>
    </w:p>
    <w:p w14:paraId="5C28E580" w14:textId="77777777" w:rsidR="007E0F23" w:rsidRPr="00CD7130" w:rsidRDefault="00A53AD4">
      <w:pPr>
        <w:rPr>
          <w:rFonts w:asciiTheme="majorHAnsi" w:eastAsia="Libre Baskerville" w:hAnsiTheme="majorHAnsi" w:cstheme="majorHAnsi"/>
          <w:sz w:val="24"/>
          <w:szCs w:val="24"/>
        </w:rPr>
      </w:pPr>
      <w:r w:rsidRPr="00CD7130">
        <w:rPr>
          <w:rFonts w:asciiTheme="majorHAnsi" w:eastAsia="Libre Baskerville" w:hAnsiTheme="majorHAnsi" w:cstheme="majorHAnsi"/>
          <w:sz w:val="24"/>
          <w:szCs w:val="24"/>
        </w:rPr>
        <w:t xml:space="preserve">Development of the PCTC program is expected to reduce participants' use of halibut PSC with the ability to select when, where and how to harvest their allocation. The trawl vessels will be able to target the cod when they are aggregated, avoid fishing at night and stand down when rates are high. In addition, the individual vessels will be subject to 100% observer coverage which provides accuracy and accountability for PSC catch. There is tremendous opportunity to reduce halibut bycatch in the PCTC Program and the next iteration of the developing program must include a range which fully explores the potential. </w:t>
      </w:r>
    </w:p>
    <w:p w14:paraId="27F936B8" w14:textId="69303198" w:rsidR="007E0F23" w:rsidRPr="00CD7130" w:rsidRDefault="00A53AD4">
      <w:pPr>
        <w:rPr>
          <w:rFonts w:asciiTheme="majorHAnsi" w:eastAsia="Libre Baskerville" w:hAnsiTheme="majorHAnsi" w:cstheme="majorHAnsi"/>
          <w:sz w:val="24"/>
          <w:szCs w:val="24"/>
        </w:rPr>
      </w:pPr>
      <w:r w:rsidRPr="00CD7130">
        <w:rPr>
          <w:rFonts w:asciiTheme="majorHAnsi" w:eastAsia="Libre Baskerville" w:hAnsiTheme="majorHAnsi" w:cstheme="majorHAnsi"/>
          <w:sz w:val="24"/>
          <w:szCs w:val="24"/>
        </w:rPr>
        <w:t>The value of Pacific cod to the trawl sector encourages industry negotiations during the harvest spec</w:t>
      </w:r>
      <w:r w:rsidR="009E5A46">
        <w:rPr>
          <w:rFonts w:asciiTheme="majorHAnsi" w:eastAsia="Libre Baskerville" w:hAnsiTheme="majorHAnsi" w:cstheme="majorHAnsi"/>
          <w:sz w:val="24"/>
          <w:szCs w:val="24"/>
        </w:rPr>
        <w:t>ifications</w:t>
      </w:r>
      <w:r w:rsidR="003C4340">
        <w:rPr>
          <w:rFonts w:asciiTheme="majorHAnsi" w:eastAsia="Libre Baskerville" w:hAnsiTheme="majorHAnsi" w:cstheme="majorHAnsi"/>
          <w:sz w:val="24"/>
          <w:szCs w:val="24"/>
        </w:rPr>
        <w:t xml:space="preserve"> p</w:t>
      </w:r>
      <w:r w:rsidRPr="00CD7130">
        <w:rPr>
          <w:rFonts w:asciiTheme="majorHAnsi" w:eastAsia="Libre Baskerville" w:hAnsiTheme="majorHAnsi" w:cstheme="majorHAnsi"/>
          <w:sz w:val="24"/>
          <w:szCs w:val="24"/>
        </w:rPr>
        <w:t xml:space="preserve">rocess to ensure there is sufficient PSC allocated to the fishery to prevent closing. Without a cooperative catch share program and the ability to control halibut bycatch outlined above, the trawl CV sector has had sufficient halibut PSC to prosecute the fishery without constraint in most years. </w:t>
      </w:r>
    </w:p>
    <w:p w14:paraId="1EB4F4CE" w14:textId="77777777" w:rsidR="007E0F23" w:rsidRPr="00CD7130" w:rsidRDefault="00A53AD4">
      <w:pPr>
        <w:rPr>
          <w:rFonts w:asciiTheme="majorHAnsi" w:eastAsia="Libre Baskerville" w:hAnsiTheme="majorHAnsi" w:cstheme="majorHAnsi"/>
          <w:sz w:val="24"/>
          <w:szCs w:val="24"/>
        </w:rPr>
      </w:pPr>
      <w:r w:rsidRPr="00CD7130">
        <w:rPr>
          <w:rFonts w:asciiTheme="majorHAnsi" w:eastAsia="Libre Baskerville" w:hAnsiTheme="majorHAnsi" w:cstheme="majorHAnsi"/>
          <w:sz w:val="24"/>
          <w:szCs w:val="24"/>
        </w:rPr>
        <w:t>“</w:t>
      </w:r>
      <w:r w:rsidRPr="00CD7130">
        <w:rPr>
          <w:rFonts w:asciiTheme="majorHAnsi" w:eastAsia="Libre Baskerville" w:hAnsiTheme="majorHAnsi" w:cstheme="majorHAnsi"/>
          <w:i/>
          <w:sz w:val="24"/>
          <w:szCs w:val="24"/>
        </w:rPr>
        <w:t>If the current levels of halibut PSC are not anticipated to constrain their PCTC Program cooperative, they could negotiate during the annual harvest specifications process to reduce the amount of halibut assigned to the Pacific cod fishery and increase the amount of halibut PSC assigned to other BSAI trawl limited access fisheries in which they participate in where harvesting the TAC could be constrained by limited halibut PSC”</w:t>
      </w:r>
      <w:r w:rsidRPr="00CD7130">
        <w:rPr>
          <w:rFonts w:asciiTheme="majorHAnsi" w:eastAsia="Libre Baskerville" w:hAnsiTheme="majorHAnsi" w:cstheme="majorHAnsi"/>
          <w:sz w:val="24"/>
          <w:szCs w:val="24"/>
        </w:rPr>
        <w:t xml:space="preserve"> (pg. 160)</w:t>
      </w:r>
    </w:p>
    <w:p w14:paraId="1F205303" w14:textId="77777777" w:rsidR="007E0F23" w:rsidRPr="00CD7130" w:rsidRDefault="00A53AD4">
      <w:pPr>
        <w:rPr>
          <w:rFonts w:asciiTheme="majorHAnsi" w:eastAsia="Libre Baskerville" w:hAnsiTheme="majorHAnsi" w:cstheme="majorHAnsi"/>
          <w:sz w:val="24"/>
          <w:szCs w:val="24"/>
        </w:rPr>
      </w:pPr>
      <w:r w:rsidRPr="00CD7130">
        <w:rPr>
          <w:rFonts w:asciiTheme="majorHAnsi" w:eastAsia="Libre Baskerville" w:hAnsiTheme="majorHAnsi" w:cstheme="majorHAnsi"/>
          <w:sz w:val="24"/>
          <w:szCs w:val="24"/>
        </w:rPr>
        <w:t xml:space="preserve">The halibut resource in the BSAI is under tremendous strain and it is critical that the Council implement meaningful bycatch reductions in the PCTC which leave the halibut in the water. </w:t>
      </w:r>
    </w:p>
    <w:p w14:paraId="361D5B34" w14:textId="4F69B960" w:rsidR="007E0F23" w:rsidRPr="00CD7130" w:rsidRDefault="00A53AD4">
      <w:pPr>
        <w:rPr>
          <w:rFonts w:asciiTheme="majorHAnsi" w:eastAsia="Libre Baskerville" w:hAnsiTheme="majorHAnsi" w:cstheme="majorHAnsi"/>
          <w:b/>
          <w:sz w:val="24"/>
          <w:szCs w:val="24"/>
        </w:rPr>
      </w:pPr>
      <w:r w:rsidRPr="00CD7130">
        <w:rPr>
          <w:rFonts w:asciiTheme="majorHAnsi" w:eastAsia="Libre Baskerville" w:hAnsiTheme="majorHAnsi" w:cstheme="majorHAnsi"/>
          <w:b/>
          <w:sz w:val="24"/>
          <w:szCs w:val="24"/>
        </w:rPr>
        <w:t xml:space="preserve">In regards to the elements under development, AMCC offers the following observations </w:t>
      </w:r>
      <w:bookmarkStart w:id="0" w:name="_GoBack"/>
      <w:r w:rsidR="003C4340" w:rsidRPr="00CD7130">
        <w:rPr>
          <w:rFonts w:asciiTheme="majorHAnsi" w:eastAsia="Libre Baskerville" w:hAnsiTheme="majorHAnsi" w:cstheme="majorHAnsi"/>
          <w:b/>
          <w:sz w:val="24"/>
          <w:szCs w:val="24"/>
        </w:rPr>
        <w:t>and recommendations</w:t>
      </w:r>
      <w:bookmarkEnd w:id="0"/>
      <w:r w:rsidRPr="00CD7130">
        <w:rPr>
          <w:rFonts w:asciiTheme="majorHAnsi" w:eastAsia="Libre Baskerville" w:hAnsiTheme="majorHAnsi" w:cstheme="majorHAnsi"/>
          <w:b/>
          <w:sz w:val="24"/>
          <w:szCs w:val="24"/>
        </w:rPr>
        <w:t xml:space="preserve">: </w:t>
      </w:r>
    </w:p>
    <w:p w14:paraId="1F40ADD0" w14:textId="77777777" w:rsidR="007E0F23" w:rsidRPr="00CD7130" w:rsidRDefault="00A53AD4">
      <w:pPr>
        <w:rPr>
          <w:rFonts w:asciiTheme="majorHAnsi" w:eastAsia="Libre Baskerville" w:hAnsiTheme="majorHAnsi" w:cstheme="majorHAnsi"/>
          <w:b/>
          <w:sz w:val="24"/>
          <w:szCs w:val="24"/>
        </w:rPr>
      </w:pPr>
      <w:r w:rsidRPr="00CD7130">
        <w:rPr>
          <w:rFonts w:asciiTheme="majorHAnsi" w:eastAsia="Libre Baskerville" w:hAnsiTheme="majorHAnsi" w:cstheme="majorHAnsi"/>
          <w:b/>
          <w:sz w:val="24"/>
          <w:szCs w:val="24"/>
        </w:rPr>
        <w:lastRenderedPageBreak/>
        <w:t>Element 1: Cooperative Style Systems</w:t>
      </w:r>
    </w:p>
    <w:p w14:paraId="0F58C8D3" w14:textId="77777777" w:rsidR="007E0F23" w:rsidRPr="00CD7130" w:rsidRDefault="00A53AD4">
      <w:pPr>
        <w:rPr>
          <w:rFonts w:asciiTheme="majorHAnsi" w:eastAsia="Libre Baskerville" w:hAnsiTheme="majorHAnsi" w:cstheme="majorHAnsi"/>
          <w:sz w:val="24"/>
          <w:szCs w:val="24"/>
        </w:rPr>
      </w:pPr>
      <w:r w:rsidRPr="00CD7130">
        <w:rPr>
          <w:rFonts w:asciiTheme="majorHAnsi" w:eastAsia="Libre Baskerville" w:hAnsiTheme="majorHAnsi" w:cstheme="majorHAnsi"/>
          <w:sz w:val="24"/>
          <w:szCs w:val="24"/>
        </w:rPr>
        <w:t xml:space="preserve"> </w:t>
      </w:r>
      <w:proofErr w:type="spellStart"/>
      <w:r w:rsidRPr="00CD7130">
        <w:rPr>
          <w:rFonts w:asciiTheme="majorHAnsi" w:eastAsia="Libre Baskerville" w:hAnsiTheme="majorHAnsi" w:cstheme="majorHAnsi"/>
          <w:sz w:val="24"/>
          <w:szCs w:val="24"/>
        </w:rPr>
        <w:t>Suboption</w:t>
      </w:r>
      <w:proofErr w:type="spellEnd"/>
      <w:r w:rsidRPr="00CD7130">
        <w:rPr>
          <w:rFonts w:asciiTheme="majorHAnsi" w:eastAsia="Libre Baskerville" w:hAnsiTheme="majorHAnsi" w:cstheme="majorHAnsi"/>
          <w:sz w:val="24"/>
          <w:szCs w:val="24"/>
        </w:rPr>
        <w:t xml:space="preserve"> 1.1.1: Reduce halibut and crab PSC apportionments to the BSAI trawl CV limited access fishery by 25% to 40%. The Council may wish to clarify that this reduction would apply in addition to the PSC reductions selected at final action to incentivize participating in a cooperative.</w:t>
      </w:r>
    </w:p>
    <w:p w14:paraId="5C1D0C56" w14:textId="77777777" w:rsidR="007E0F23" w:rsidRPr="00CD7130" w:rsidRDefault="00A53AD4">
      <w:pPr>
        <w:rPr>
          <w:rFonts w:asciiTheme="majorHAnsi" w:eastAsia="Libre Baskerville" w:hAnsiTheme="majorHAnsi" w:cstheme="majorHAnsi"/>
          <w:b/>
          <w:sz w:val="24"/>
          <w:szCs w:val="24"/>
        </w:rPr>
      </w:pPr>
      <w:r w:rsidRPr="00CD7130">
        <w:rPr>
          <w:rFonts w:asciiTheme="majorHAnsi" w:eastAsia="Libre Baskerville" w:hAnsiTheme="majorHAnsi" w:cstheme="majorHAnsi"/>
          <w:b/>
          <w:sz w:val="24"/>
          <w:szCs w:val="24"/>
        </w:rPr>
        <w:t>Element 2: Allocation to LLP Licenses</w:t>
      </w:r>
    </w:p>
    <w:p w14:paraId="616F163B" w14:textId="48863CD7" w:rsidR="007E0F23" w:rsidRPr="00CD7130" w:rsidRDefault="00A53AD4">
      <w:pPr>
        <w:rPr>
          <w:rFonts w:asciiTheme="majorHAnsi" w:eastAsia="Libre Baskerville" w:hAnsiTheme="majorHAnsi" w:cstheme="majorHAnsi"/>
          <w:sz w:val="24"/>
          <w:szCs w:val="24"/>
        </w:rPr>
      </w:pPr>
      <w:r w:rsidRPr="00CD7130">
        <w:rPr>
          <w:rFonts w:asciiTheme="majorHAnsi" w:eastAsia="Libre Baskerville" w:hAnsiTheme="majorHAnsi" w:cstheme="majorHAnsi"/>
          <w:sz w:val="24"/>
          <w:szCs w:val="24"/>
        </w:rPr>
        <w:t>AMCC supports the option to leave the trawl C season unrationalized. Historically the trawl sector has not harvested its full C season and leaving this open access provides a pool of quota available for reallocation to other sectors. In addition, the analysis would benefit from a full history of reallocations between the trawl sector and other sectors, including secondary reallocations. The Council should examine options to protect continued availability of reallocation</w:t>
      </w:r>
      <w:r w:rsidR="009E5A46">
        <w:rPr>
          <w:rFonts w:asciiTheme="majorHAnsi" w:eastAsia="Libre Baskerville" w:hAnsiTheme="majorHAnsi" w:cstheme="majorHAnsi"/>
          <w:sz w:val="24"/>
          <w:szCs w:val="24"/>
        </w:rPr>
        <w:t xml:space="preserve"> to directed </w:t>
      </w:r>
      <w:r w:rsidR="008B23C3">
        <w:rPr>
          <w:rFonts w:asciiTheme="majorHAnsi" w:eastAsia="Libre Baskerville" w:hAnsiTheme="majorHAnsi" w:cstheme="majorHAnsi"/>
          <w:sz w:val="24"/>
          <w:szCs w:val="24"/>
        </w:rPr>
        <w:t>cod fisheries</w:t>
      </w:r>
      <w:r w:rsidRPr="00CD7130">
        <w:rPr>
          <w:rFonts w:asciiTheme="majorHAnsi" w:eastAsia="Libre Baskerville" w:hAnsiTheme="majorHAnsi" w:cstheme="majorHAnsi"/>
          <w:sz w:val="24"/>
          <w:szCs w:val="24"/>
        </w:rPr>
        <w:t>, including changes to the reallocation hierarchy.</w:t>
      </w:r>
    </w:p>
    <w:p w14:paraId="7DB4D136" w14:textId="77777777" w:rsidR="007E0F23" w:rsidRPr="00CD7130" w:rsidRDefault="00A53AD4">
      <w:pPr>
        <w:rPr>
          <w:rFonts w:asciiTheme="majorHAnsi" w:eastAsia="Libre Baskerville" w:hAnsiTheme="majorHAnsi" w:cstheme="majorHAnsi"/>
          <w:b/>
          <w:sz w:val="24"/>
          <w:szCs w:val="24"/>
        </w:rPr>
      </w:pPr>
      <w:r w:rsidRPr="00CD7130">
        <w:rPr>
          <w:rFonts w:asciiTheme="majorHAnsi" w:eastAsia="Libre Baskerville" w:hAnsiTheme="majorHAnsi" w:cstheme="majorHAnsi"/>
          <w:b/>
          <w:sz w:val="24"/>
          <w:szCs w:val="24"/>
        </w:rPr>
        <w:t>Element 3: Prohibited Species Catch Limits</w:t>
      </w:r>
    </w:p>
    <w:p w14:paraId="1CCB0785" w14:textId="77777777" w:rsidR="007E0F23" w:rsidRPr="00CD7130" w:rsidRDefault="00A53AD4">
      <w:pPr>
        <w:rPr>
          <w:rFonts w:asciiTheme="majorHAnsi" w:eastAsia="Libre Baskerville" w:hAnsiTheme="majorHAnsi" w:cstheme="majorHAnsi"/>
          <w:sz w:val="24"/>
          <w:szCs w:val="24"/>
        </w:rPr>
      </w:pPr>
      <w:r w:rsidRPr="00CD7130">
        <w:rPr>
          <w:rFonts w:asciiTheme="majorHAnsi" w:eastAsia="Libre Baskerville" w:hAnsiTheme="majorHAnsi" w:cstheme="majorHAnsi"/>
          <w:sz w:val="24"/>
          <w:szCs w:val="24"/>
        </w:rPr>
        <w:t>Revise Option 3.2 to increase the range under consideration as follows: Reduce halibut and crab PSC apportionment which applies to the BSAI trawl CV Pacific cod sector by 10% to 40%.</w:t>
      </w:r>
    </w:p>
    <w:p w14:paraId="33EC3962" w14:textId="77777777" w:rsidR="007E0F23" w:rsidRPr="00CD7130" w:rsidRDefault="00A53AD4">
      <w:pPr>
        <w:rPr>
          <w:rFonts w:asciiTheme="majorHAnsi" w:eastAsia="Libre Baskerville" w:hAnsiTheme="majorHAnsi" w:cstheme="majorHAnsi"/>
          <w:sz w:val="24"/>
          <w:szCs w:val="24"/>
        </w:rPr>
      </w:pPr>
      <w:r w:rsidRPr="00CD7130">
        <w:rPr>
          <w:rFonts w:asciiTheme="majorHAnsi" w:eastAsia="Libre Baskerville" w:hAnsiTheme="majorHAnsi" w:cstheme="majorHAnsi"/>
          <w:sz w:val="24"/>
          <w:szCs w:val="24"/>
        </w:rPr>
        <w:t>In addition, add an option which would consider halibut PSC apportionment to the BSAI trawl CV Pacific cod sector based on the approach outlined in the BSAI halibut abundance-based management framework.</w:t>
      </w:r>
    </w:p>
    <w:p w14:paraId="086223B2" w14:textId="77777777" w:rsidR="007E0F23" w:rsidRPr="00CD7130" w:rsidRDefault="00A53AD4">
      <w:pPr>
        <w:rPr>
          <w:rFonts w:asciiTheme="majorHAnsi" w:eastAsia="Libre Baskerville" w:hAnsiTheme="majorHAnsi" w:cstheme="majorHAnsi"/>
          <w:sz w:val="24"/>
          <w:szCs w:val="24"/>
        </w:rPr>
      </w:pPr>
      <w:r w:rsidRPr="00CD7130">
        <w:rPr>
          <w:rFonts w:asciiTheme="majorHAnsi" w:eastAsia="Libre Baskerville" w:hAnsiTheme="majorHAnsi" w:cstheme="majorHAnsi"/>
          <w:sz w:val="24"/>
          <w:szCs w:val="24"/>
        </w:rPr>
        <w:t xml:space="preserve">Revise option 3.2 so that halibut and crab PSC reductions referenced in </w:t>
      </w:r>
      <w:proofErr w:type="spellStart"/>
      <w:r w:rsidRPr="00CD7130">
        <w:rPr>
          <w:rFonts w:asciiTheme="majorHAnsi" w:eastAsia="Libre Baskerville" w:hAnsiTheme="majorHAnsi" w:cstheme="majorHAnsi"/>
          <w:sz w:val="24"/>
          <w:szCs w:val="24"/>
        </w:rPr>
        <w:t>Suboption</w:t>
      </w:r>
      <w:proofErr w:type="spellEnd"/>
      <w:r w:rsidRPr="00CD7130">
        <w:rPr>
          <w:rFonts w:asciiTheme="majorHAnsi" w:eastAsia="Libre Baskerville" w:hAnsiTheme="majorHAnsi" w:cstheme="majorHAnsi"/>
          <w:sz w:val="24"/>
          <w:szCs w:val="24"/>
        </w:rPr>
        <w:t xml:space="preserve"> 3.1.1 applies to the trawl CV sector only. In addition, modify language in 3.1.1 to include apportionment of crab PSC limits to the trawl CV sector for use in the BSAI Pacific cod target fishery so the Council may reduce crab PSC apportioned to the sector.</w:t>
      </w:r>
    </w:p>
    <w:p w14:paraId="380014E5" w14:textId="77777777" w:rsidR="007E0F23" w:rsidRPr="00CD7130" w:rsidRDefault="00A53AD4">
      <w:pPr>
        <w:rPr>
          <w:rFonts w:asciiTheme="majorHAnsi" w:eastAsia="Libre Baskerville" w:hAnsiTheme="majorHAnsi" w:cstheme="majorHAnsi"/>
          <w:sz w:val="24"/>
          <w:szCs w:val="24"/>
        </w:rPr>
      </w:pPr>
      <w:r w:rsidRPr="00CD7130">
        <w:rPr>
          <w:rFonts w:asciiTheme="majorHAnsi" w:eastAsia="Libre Baskerville" w:hAnsiTheme="majorHAnsi" w:cstheme="majorHAnsi"/>
          <w:sz w:val="24"/>
          <w:szCs w:val="24"/>
        </w:rPr>
        <w:t>In addition, AMCC supports analysis of actions to spread the BSAI CV trawl fleet both spatially and temporarily as a measure to reduce halibut bycatch and preserve shoreside fleet and processor access to the AI fishery.</w:t>
      </w:r>
    </w:p>
    <w:p w14:paraId="762E55A0" w14:textId="77777777" w:rsidR="007E0F23" w:rsidRPr="00CD7130" w:rsidRDefault="00A53AD4">
      <w:pPr>
        <w:rPr>
          <w:rFonts w:asciiTheme="majorHAnsi" w:eastAsia="Libre Baskerville" w:hAnsiTheme="majorHAnsi" w:cstheme="majorHAnsi"/>
          <w:b/>
          <w:sz w:val="24"/>
          <w:szCs w:val="24"/>
        </w:rPr>
      </w:pPr>
      <w:r w:rsidRPr="00CD7130">
        <w:rPr>
          <w:rFonts w:asciiTheme="majorHAnsi" w:eastAsia="Libre Baskerville" w:hAnsiTheme="majorHAnsi" w:cstheme="majorHAnsi"/>
          <w:b/>
          <w:sz w:val="24"/>
          <w:szCs w:val="24"/>
        </w:rPr>
        <w:t>Element 4: Gulf of Alaska Sideboards</w:t>
      </w:r>
    </w:p>
    <w:p w14:paraId="6A97E36B" w14:textId="77777777" w:rsidR="007E0F23" w:rsidRPr="00CD7130" w:rsidRDefault="00A53AD4">
      <w:pPr>
        <w:rPr>
          <w:rFonts w:asciiTheme="majorHAnsi" w:eastAsia="Libre Baskerville" w:hAnsiTheme="majorHAnsi" w:cstheme="majorHAnsi"/>
          <w:sz w:val="24"/>
          <w:szCs w:val="24"/>
        </w:rPr>
      </w:pPr>
      <w:r w:rsidRPr="00CD7130">
        <w:rPr>
          <w:rFonts w:asciiTheme="majorHAnsi" w:eastAsia="Libre Baskerville" w:hAnsiTheme="majorHAnsi" w:cstheme="majorHAnsi"/>
          <w:sz w:val="24"/>
          <w:szCs w:val="24"/>
        </w:rPr>
        <w:t>Identify appropriate sideboard measures to protect Gulf participants from increased competition.</w:t>
      </w:r>
    </w:p>
    <w:p w14:paraId="5FFC694B" w14:textId="77777777" w:rsidR="007E0F23" w:rsidRPr="00CD7130" w:rsidRDefault="00A53AD4">
      <w:pPr>
        <w:rPr>
          <w:rFonts w:asciiTheme="majorHAnsi" w:eastAsia="Libre Baskerville" w:hAnsiTheme="majorHAnsi" w:cstheme="majorHAnsi"/>
          <w:b/>
          <w:sz w:val="24"/>
          <w:szCs w:val="24"/>
        </w:rPr>
      </w:pPr>
      <w:r w:rsidRPr="00CD7130">
        <w:rPr>
          <w:rFonts w:asciiTheme="majorHAnsi" w:eastAsia="Libre Baskerville" w:hAnsiTheme="majorHAnsi" w:cstheme="majorHAnsi"/>
          <w:b/>
          <w:sz w:val="24"/>
          <w:szCs w:val="24"/>
        </w:rPr>
        <w:t>Element 11: Monitoring</w:t>
      </w:r>
    </w:p>
    <w:p w14:paraId="716051E3" w14:textId="77777777" w:rsidR="007E0F23" w:rsidRPr="00CD7130" w:rsidRDefault="00A53AD4">
      <w:pPr>
        <w:rPr>
          <w:rFonts w:asciiTheme="majorHAnsi" w:eastAsia="Libre Baskerville" w:hAnsiTheme="majorHAnsi" w:cstheme="majorHAnsi"/>
          <w:sz w:val="24"/>
          <w:szCs w:val="24"/>
        </w:rPr>
      </w:pPr>
      <w:r w:rsidRPr="00CD7130">
        <w:rPr>
          <w:rFonts w:asciiTheme="majorHAnsi" w:eastAsia="Libre Baskerville" w:hAnsiTheme="majorHAnsi" w:cstheme="majorHAnsi"/>
          <w:sz w:val="24"/>
          <w:szCs w:val="24"/>
        </w:rPr>
        <w:t>AMCC supports 100% observer coverage for trawl vessels participating in the PCTC program, including those that choose to opt out of a cooperative.</w:t>
      </w:r>
    </w:p>
    <w:p w14:paraId="17326408" w14:textId="77777777" w:rsidR="007E0F23" w:rsidRPr="00CD7130" w:rsidRDefault="00A53AD4">
      <w:pPr>
        <w:rPr>
          <w:rFonts w:asciiTheme="majorHAnsi" w:eastAsia="Libre Baskerville" w:hAnsiTheme="majorHAnsi" w:cstheme="majorHAnsi"/>
          <w:b/>
          <w:sz w:val="24"/>
          <w:szCs w:val="24"/>
        </w:rPr>
      </w:pPr>
      <w:r w:rsidRPr="00CD7130">
        <w:rPr>
          <w:rFonts w:asciiTheme="majorHAnsi" w:eastAsia="Libre Baskerville" w:hAnsiTheme="majorHAnsi" w:cstheme="majorHAnsi"/>
          <w:b/>
          <w:sz w:val="24"/>
          <w:szCs w:val="24"/>
        </w:rPr>
        <w:t>Element 14: Gear Conversion</w:t>
      </w:r>
    </w:p>
    <w:p w14:paraId="03345669" w14:textId="77777777" w:rsidR="007E0F23" w:rsidRPr="00CD7130" w:rsidRDefault="00A53AD4">
      <w:pPr>
        <w:rPr>
          <w:rFonts w:asciiTheme="majorHAnsi" w:eastAsia="Libre Baskerville" w:hAnsiTheme="majorHAnsi" w:cstheme="majorHAnsi"/>
          <w:sz w:val="24"/>
          <w:szCs w:val="24"/>
        </w:rPr>
      </w:pPr>
      <w:r w:rsidRPr="00CD7130">
        <w:rPr>
          <w:rFonts w:asciiTheme="majorHAnsi" w:eastAsia="Libre Baskerville" w:hAnsiTheme="majorHAnsi" w:cstheme="majorHAnsi"/>
          <w:sz w:val="24"/>
          <w:szCs w:val="24"/>
        </w:rPr>
        <w:lastRenderedPageBreak/>
        <w:t>AMCC supports flexibility in the PCTC program which provides voluntary opportunity to prosecute Pacific cod allocations associated with trawl CV licenses to be fished with pot gear. It will be important to analyze design elements that ensure leasing practices result in positive flexibility without negatively affecting the likelihood of in-season reallocations noted above in element 2. The Council may wish to explore limiting the application of a gear conversion provision to the A and B season only to address this concern.</w:t>
      </w:r>
    </w:p>
    <w:p w14:paraId="09E3A2E9" w14:textId="77777777" w:rsidR="007E0F23" w:rsidRPr="00CD7130" w:rsidRDefault="00A53AD4">
      <w:pPr>
        <w:rPr>
          <w:rFonts w:asciiTheme="majorHAnsi" w:eastAsia="Libre Baskerville" w:hAnsiTheme="majorHAnsi" w:cstheme="majorHAnsi"/>
          <w:sz w:val="24"/>
          <w:szCs w:val="24"/>
        </w:rPr>
      </w:pPr>
      <w:r w:rsidRPr="00CD7130">
        <w:rPr>
          <w:rFonts w:asciiTheme="majorHAnsi" w:eastAsia="Libre Baskerville" w:hAnsiTheme="majorHAnsi" w:cstheme="majorHAnsi"/>
          <w:sz w:val="24"/>
          <w:szCs w:val="24"/>
        </w:rPr>
        <w:t>Thank you for the opportunity to comment on the developing BSAI Pacific cod trawl program,</w:t>
      </w:r>
    </w:p>
    <w:p w14:paraId="7CED70ED" w14:textId="77777777" w:rsidR="007E0F23" w:rsidRPr="00CD7130" w:rsidRDefault="00A53AD4">
      <w:pPr>
        <w:rPr>
          <w:rFonts w:asciiTheme="majorHAnsi" w:eastAsia="Libre Baskerville" w:hAnsiTheme="majorHAnsi" w:cstheme="majorHAnsi"/>
          <w:sz w:val="24"/>
          <w:szCs w:val="24"/>
        </w:rPr>
      </w:pPr>
      <w:r w:rsidRPr="00CD7130">
        <w:rPr>
          <w:rFonts w:asciiTheme="majorHAnsi" w:eastAsia="Libre Baskerville" w:hAnsiTheme="majorHAnsi" w:cstheme="majorHAnsi"/>
          <w:sz w:val="24"/>
          <w:szCs w:val="24"/>
        </w:rPr>
        <w:t>Sincerely,</w:t>
      </w:r>
    </w:p>
    <w:p w14:paraId="3C123258" w14:textId="77777777" w:rsidR="007E0F23" w:rsidRPr="00CD7130" w:rsidRDefault="00A53AD4">
      <w:pPr>
        <w:rPr>
          <w:rFonts w:asciiTheme="majorHAnsi" w:eastAsia="Libre Baskerville" w:hAnsiTheme="majorHAnsi" w:cstheme="majorHAnsi"/>
          <w:sz w:val="24"/>
          <w:szCs w:val="24"/>
        </w:rPr>
      </w:pPr>
      <w:r w:rsidRPr="00CD7130">
        <w:rPr>
          <w:rFonts w:asciiTheme="majorHAnsi" w:eastAsia="Libre Baskerville" w:hAnsiTheme="majorHAnsi" w:cstheme="majorHAnsi"/>
          <w:sz w:val="24"/>
          <w:szCs w:val="24"/>
        </w:rPr>
        <w:t>Theresa Peterson</w:t>
      </w:r>
    </w:p>
    <w:p w14:paraId="21222712" w14:textId="77777777" w:rsidR="007E0F23" w:rsidRPr="00CD7130" w:rsidRDefault="00A53AD4">
      <w:pPr>
        <w:rPr>
          <w:rFonts w:asciiTheme="majorHAnsi" w:eastAsia="Libre Baskerville" w:hAnsiTheme="majorHAnsi" w:cstheme="majorHAnsi"/>
          <w:sz w:val="24"/>
          <w:szCs w:val="24"/>
        </w:rPr>
      </w:pPr>
      <w:bookmarkStart w:id="1" w:name="_gjdgxs" w:colFirst="0" w:colLast="0"/>
      <w:bookmarkEnd w:id="1"/>
      <w:r w:rsidRPr="00CD7130">
        <w:rPr>
          <w:rFonts w:asciiTheme="majorHAnsi" w:eastAsia="Libre Baskerville" w:hAnsiTheme="majorHAnsi" w:cstheme="majorHAnsi"/>
          <w:sz w:val="24"/>
          <w:szCs w:val="24"/>
        </w:rPr>
        <w:t>Fisheries Policy Director, Alaska Marine Conservation Council</w:t>
      </w:r>
    </w:p>
    <w:p w14:paraId="3641B3DB" w14:textId="77777777" w:rsidR="007E0F23" w:rsidRPr="00CD7130" w:rsidRDefault="007E0F23">
      <w:pPr>
        <w:rPr>
          <w:rFonts w:asciiTheme="majorHAnsi" w:eastAsia="Libre Baskerville" w:hAnsiTheme="majorHAnsi" w:cstheme="majorHAnsi"/>
          <w:sz w:val="24"/>
          <w:szCs w:val="24"/>
        </w:rPr>
      </w:pPr>
    </w:p>
    <w:p w14:paraId="119DBBFE" w14:textId="77777777" w:rsidR="007E0F23" w:rsidRPr="00CD7130" w:rsidRDefault="007E0F23">
      <w:pPr>
        <w:rPr>
          <w:rFonts w:asciiTheme="majorHAnsi" w:eastAsia="Libre Baskerville" w:hAnsiTheme="majorHAnsi" w:cstheme="majorHAnsi"/>
          <w:sz w:val="24"/>
          <w:szCs w:val="24"/>
        </w:rPr>
      </w:pPr>
    </w:p>
    <w:p w14:paraId="6B41B42C" w14:textId="77777777" w:rsidR="007E0F23" w:rsidRPr="00CD7130" w:rsidRDefault="007E0F23">
      <w:pPr>
        <w:spacing w:after="0"/>
        <w:rPr>
          <w:rFonts w:asciiTheme="majorHAnsi" w:eastAsia="Libre Baskerville" w:hAnsiTheme="majorHAnsi" w:cstheme="majorHAnsi"/>
          <w:sz w:val="24"/>
          <w:szCs w:val="24"/>
        </w:rPr>
      </w:pPr>
    </w:p>
    <w:sectPr w:rsidR="007E0F23" w:rsidRPr="00CD7130">
      <w:headerReference w:type="default" r:id="rId7"/>
      <w:headerReference w:type="first" r:id="rId8"/>
      <w:footerReference w:type="first" r:id="rId9"/>
      <w:pgSz w:w="12240" w:h="15840"/>
      <w:pgMar w:top="1152" w:right="1152" w:bottom="1152" w:left="1152"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C1C9B6" w14:textId="77777777" w:rsidR="00815466" w:rsidRDefault="00815466">
      <w:pPr>
        <w:spacing w:after="0" w:line="240" w:lineRule="auto"/>
      </w:pPr>
      <w:r>
        <w:separator/>
      </w:r>
    </w:p>
  </w:endnote>
  <w:endnote w:type="continuationSeparator" w:id="0">
    <w:p w14:paraId="4E105204" w14:textId="77777777" w:rsidR="00815466" w:rsidRDefault="00815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ibre Baskerville">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C3EF3" w14:textId="77777777" w:rsidR="007E0F23" w:rsidRDefault="00A53AD4">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60288" behindDoc="0" locked="0" layoutInCell="1" hidden="0" allowOverlap="1" wp14:anchorId="13F39200" wp14:editId="0234CE30">
          <wp:simplePos x="0" y="0"/>
          <wp:positionH relativeFrom="column">
            <wp:posOffset>378460</wp:posOffset>
          </wp:positionH>
          <wp:positionV relativeFrom="paragraph">
            <wp:posOffset>-151129</wp:posOffset>
          </wp:positionV>
          <wp:extent cx="5486400" cy="30734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86400" cy="30734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F39FBF" w14:textId="77777777" w:rsidR="00815466" w:rsidRDefault="00815466">
      <w:pPr>
        <w:spacing w:after="0" w:line="240" w:lineRule="auto"/>
      </w:pPr>
      <w:r>
        <w:separator/>
      </w:r>
    </w:p>
  </w:footnote>
  <w:footnote w:type="continuationSeparator" w:id="0">
    <w:p w14:paraId="340F8288" w14:textId="77777777" w:rsidR="00815466" w:rsidRDefault="00815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82036" w14:textId="77777777" w:rsidR="007E0F23" w:rsidRDefault="00A53AD4">
    <w:pPr>
      <w:pBdr>
        <w:top w:val="nil"/>
        <w:left w:val="nil"/>
        <w:bottom w:val="nil"/>
        <w:right w:val="nil"/>
        <w:between w:val="nil"/>
      </w:pBdr>
      <w:tabs>
        <w:tab w:val="center" w:pos="4680"/>
        <w:tab w:val="right" w:pos="9360"/>
      </w:tabs>
      <w:spacing w:after="0" w:line="240" w:lineRule="auto"/>
      <w:rPr>
        <w:rFonts w:ascii="Libre Baskerville" w:eastAsia="Libre Baskerville" w:hAnsi="Libre Baskerville" w:cs="Libre Baskerville"/>
        <w:color w:val="000000"/>
      </w:rPr>
    </w:pPr>
    <w:r>
      <w:rPr>
        <w:rFonts w:ascii="Libre Baskerville" w:eastAsia="Libre Baskerville" w:hAnsi="Libre Baskerville" w:cs="Libre Baskerville"/>
        <w:color w:val="000000"/>
      </w:rPr>
      <w:t>Alaska Marine Conservation Council</w:t>
    </w:r>
    <w:r>
      <w:rPr>
        <w:rFonts w:ascii="Libre Baskerville" w:eastAsia="Libre Baskerville" w:hAnsi="Libre Baskerville" w:cs="Libre Baskerville"/>
        <w:color w:val="000000"/>
      </w:rPr>
      <w:tab/>
    </w:r>
    <w:r>
      <w:rPr>
        <w:rFonts w:ascii="Libre Baskerville" w:eastAsia="Libre Baskerville" w:hAnsi="Libre Baskerville" w:cs="Libre Baskerville"/>
        <w:color w:val="000000"/>
      </w:rPr>
      <w:tab/>
      <w:t xml:space="preserve">                                                                                   </w:t>
    </w:r>
    <w:r>
      <w:rPr>
        <w:rFonts w:ascii="Libre Baskerville" w:eastAsia="Libre Baskerville" w:hAnsi="Libre Baskerville" w:cs="Libre Baskerville"/>
        <w:color w:val="808080"/>
      </w:rPr>
      <w:t>Page</w:t>
    </w:r>
    <w:r>
      <w:rPr>
        <w:rFonts w:ascii="Libre Baskerville" w:eastAsia="Libre Baskerville" w:hAnsi="Libre Baskerville" w:cs="Libre Baskerville"/>
        <w:color w:val="000000"/>
      </w:rPr>
      <w:t xml:space="preserve"> | </w:t>
    </w:r>
    <w:r>
      <w:rPr>
        <w:rFonts w:ascii="Libre Baskerville" w:eastAsia="Libre Baskerville" w:hAnsi="Libre Baskerville" w:cs="Libre Baskerville"/>
        <w:color w:val="000000"/>
      </w:rPr>
      <w:fldChar w:fldCharType="begin"/>
    </w:r>
    <w:r>
      <w:rPr>
        <w:rFonts w:ascii="Libre Baskerville" w:eastAsia="Libre Baskerville" w:hAnsi="Libre Baskerville" w:cs="Libre Baskerville"/>
        <w:color w:val="000000"/>
      </w:rPr>
      <w:instrText>PAGE</w:instrText>
    </w:r>
    <w:r>
      <w:rPr>
        <w:rFonts w:ascii="Libre Baskerville" w:eastAsia="Libre Baskerville" w:hAnsi="Libre Baskerville" w:cs="Libre Baskerville"/>
        <w:color w:val="000000"/>
      </w:rPr>
      <w:fldChar w:fldCharType="separate"/>
    </w:r>
    <w:r w:rsidR="00CD7130">
      <w:rPr>
        <w:rFonts w:ascii="Libre Baskerville" w:eastAsia="Libre Baskerville" w:hAnsi="Libre Baskerville" w:cs="Libre Baskerville"/>
        <w:noProof/>
        <w:color w:val="000000"/>
      </w:rPr>
      <w:t>2</w:t>
    </w:r>
    <w:r>
      <w:rPr>
        <w:rFonts w:ascii="Libre Baskerville" w:eastAsia="Libre Baskerville" w:hAnsi="Libre Baskerville" w:cs="Libre Baskerville"/>
        <w:color w:val="000000"/>
      </w:rPr>
      <w:fldChar w:fldCharType="end"/>
    </w:r>
    <w:r>
      <w:rPr>
        <w:rFonts w:ascii="Libre Baskerville" w:eastAsia="Libre Baskerville" w:hAnsi="Libre Baskerville" w:cs="Libre Baskerville"/>
        <w:color w:val="000000"/>
      </w:rPr>
      <w:t xml:space="preserve"> Comments on C-5 BSAI Pacific cod trawl CV LAPP</w:t>
    </w:r>
  </w:p>
  <w:p w14:paraId="63D88C36" w14:textId="77777777" w:rsidR="007E0F23" w:rsidRDefault="007E0F23">
    <w:pPr>
      <w:pBdr>
        <w:top w:val="nil"/>
        <w:left w:val="nil"/>
        <w:bottom w:val="nil"/>
        <w:right w:val="nil"/>
        <w:between w:val="nil"/>
      </w:pBdr>
      <w:tabs>
        <w:tab w:val="center" w:pos="4680"/>
        <w:tab w:val="right" w:pos="9360"/>
      </w:tabs>
      <w:spacing w:after="0" w:line="240" w:lineRule="auto"/>
      <w:rPr>
        <w:rFonts w:ascii="Libre Baskerville" w:eastAsia="Libre Baskerville" w:hAnsi="Libre Baskerville" w:cs="Libre Baskerville"/>
        <w:color w:val="000000"/>
      </w:rPr>
    </w:pPr>
  </w:p>
  <w:p w14:paraId="0587D03C" w14:textId="77777777" w:rsidR="007E0F23" w:rsidRDefault="00A53AD4">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g">
          <w:drawing>
            <wp:anchor distT="4294967295" distB="4294967295" distL="114300" distR="114300" simplePos="0" relativeHeight="251658240" behindDoc="0" locked="0" layoutInCell="1" hidden="0" allowOverlap="1" wp14:anchorId="0A8B715D" wp14:editId="2288C0E6">
              <wp:simplePos x="0" y="0"/>
              <wp:positionH relativeFrom="column">
                <wp:posOffset>12701</wp:posOffset>
              </wp:positionH>
              <wp:positionV relativeFrom="paragraph">
                <wp:posOffset>93996</wp:posOffset>
              </wp:positionV>
              <wp:extent cx="5912485"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389758" y="3780000"/>
                        <a:ext cx="591248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12701</wp:posOffset>
              </wp:positionH>
              <wp:positionV relativeFrom="paragraph">
                <wp:posOffset>93996</wp:posOffset>
              </wp:positionV>
              <wp:extent cx="5912485" cy="12700"/>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912485"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C8CB0" w14:textId="77777777" w:rsidR="007E0F23" w:rsidRDefault="00A53AD4">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59264" behindDoc="0" locked="0" layoutInCell="1" hidden="0" allowOverlap="1" wp14:anchorId="735CEF4C" wp14:editId="4F553C35">
          <wp:simplePos x="0" y="0"/>
          <wp:positionH relativeFrom="column">
            <wp:posOffset>1812925</wp:posOffset>
          </wp:positionH>
          <wp:positionV relativeFrom="paragraph">
            <wp:posOffset>-139699</wp:posOffset>
          </wp:positionV>
          <wp:extent cx="1762125" cy="880745"/>
          <wp:effectExtent l="0" t="0" r="0" b="0"/>
          <wp:wrapSquare wrapText="bothSides" distT="0" distB="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762125" cy="88074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F23"/>
    <w:rsid w:val="003C4340"/>
    <w:rsid w:val="0045020D"/>
    <w:rsid w:val="007E0F23"/>
    <w:rsid w:val="00815466"/>
    <w:rsid w:val="008B23C3"/>
    <w:rsid w:val="009E5A46"/>
    <w:rsid w:val="00A53AD4"/>
    <w:rsid w:val="00CD7130"/>
    <w:rsid w:val="00E85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CA148"/>
  <w15:docId w15:val="{4995CEF0-A77F-4980-B72B-1BC9D7ED5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E85C8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85C89"/>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E85C89"/>
    <w:rPr>
      <w:sz w:val="16"/>
      <w:szCs w:val="16"/>
    </w:rPr>
  </w:style>
  <w:style w:type="paragraph" w:styleId="CommentText">
    <w:name w:val="annotation text"/>
    <w:basedOn w:val="Normal"/>
    <w:link w:val="CommentTextChar"/>
    <w:uiPriority w:val="99"/>
    <w:semiHidden/>
    <w:unhideWhenUsed/>
    <w:rsid w:val="00E85C89"/>
    <w:pPr>
      <w:spacing w:line="240" w:lineRule="auto"/>
    </w:pPr>
    <w:rPr>
      <w:sz w:val="20"/>
      <w:szCs w:val="20"/>
    </w:rPr>
  </w:style>
  <w:style w:type="character" w:customStyle="1" w:styleId="CommentTextChar">
    <w:name w:val="Comment Text Char"/>
    <w:basedOn w:val="DefaultParagraphFont"/>
    <w:link w:val="CommentText"/>
    <w:uiPriority w:val="99"/>
    <w:semiHidden/>
    <w:rsid w:val="00E85C89"/>
    <w:rPr>
      <w:sz w:val="20"/>
      <w:szCs w:val="20"/>
    </w:rPr>
  </w:style>
  <w:style w:type="paragraph" w:styleId="CommentSubject">
    <w:name w:val="annotation subject"/>
    <w:basedOn w:val="CommentText"/>
    <w:next w:val="CommentText"/>
    <w:link w:val="CommentSubjectChar"/>
    <w:uiPriority w:val="99"/>
    <w:semiHidden/>
    <w:unhideWhenUsed/>
    <w:rsid w:val="00E85C89"/>
    <w:rPr>
      <w:b/>
      <w:bCs/>
    </w:rPr>
  </w:style>
  <w:style w:type="character" w:customStyle="1" w:styleId="CommentSubjectChar">
    <w:name w:val="Comment Subject Char"/>
    <w:basedOn w:val="CommentTextChar"/>
    <w:link w:val="CommentSubject"/>
    <w:uiPriority w:val="99"/>
    <w:semiHidden/>
    <w:rsid w:val="00E85C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91C4E-ABDB-4FF0-8848-DCA1021CA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1719</Words>
  <Characters>9802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Theresa</dc:creator>
  <cp:lastModifiedBy>Theresa</cp:lastModifiedBy>
  <cp:revision>2</cp:revision>
  <dcterms:created xsi:type="dcterms:W3CDTF">2020-11-27T21:09:00Z</dcterms:created>
  <dcterms:modified xsi:type="dcterms:W3CDTF">2020-11-27T21:09:00Z</dcterms:modified>
</cp:coreProperties>
</file>