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57B6" w14:textId="77777777" w:rsidR="00744CD5" w:rsidRDefault="00744CD5" w:rsidP="00744CD5">
      <w:pPr>
        <w:pStyle w:val="indent-2"/>
        <w:ind w:left="360"/>
      </w:pPr>
      <w:r>
        <w:rPr>
          <w:rStyle w:val="paren"/>
        </w:rPr>
        <w:t>(</w:t>
      </w:r>
      <w:r>
        <w:rPr>
          <w:rStyle w:val="paragraph-hierarchy"/>
        </w:rPr>
        <w:t>12</w:t>
      </w:r>
      <w:r>
        <w:rPr>
          <w:rStyle w:val="paren"/>
        </w:rPr>
        <w:t>)</w:t>
      </w:r>
      <w:r>
        <w:t xml:space="preserve"> </w:t>
      </w:r>
      <w:r>
        <w:rPr>
          <w:rStyle w:val="Emphasis"/>
          <w:b/>
          <w:bCs/>
        </w:rPr>
        <w:t>Salmon bycatch incentive plan agreements (IPAs)</w:t>
      </w:r>
      <w:r>
        <w:t xml:space="preserve"> - </w:t>
      </w:r>
    </w:p>
    <w:p w14:paraId="3195AFF1" w14:textId="77777777" w:rsidR="00744CD5" w:rsidRDefault="00744CD5" w:rsidP="00744CD5">
      <w:pPr>
        <w:pStyle w:val="indent-3"/>
        <w:ind w:left="540"/>
      </w:pPr>
      <w:r>
        <w:rPr>
          <w:rStyle w:val="paren"/>
        </w:rPr>
        <w:t>(</w:t>
      </w:r>
      <w:proofErr w:type="spellStart"/>
      <w:r>
        <w:rPr>
          <w:rStyle w:val="paragraph-hierarchy"/>
        </w:rPr>
        <w:t>i</w:t>
      </w:r>
      <w:proofErr w:type="spellEnd"/>
      <w:r>
        <w:rPr>
          <w:rStyle w:val="paren"/>
        </w:rPr>
        <w:t>)</w:t>
      </w:r>
      <w:r>
        <w:t xml:space="preserve"> </w:t>
      </w:r>
      <w:r>
        <w:rPr>
          <w:rStyle w:val="Emphasis"/>
          <w:b/>
          <w:bCs/>
        </w:rPr>
        <w:t>Minimum participation requirements.</w:t>
      </w:r>
      <w:r>
        <w:t xml:space="preserve"> More than one IPA may be approved by NMFS. Each IPA must have participants that represent the following: </w:t>
      </w:r>
    </w:p>
    <w:p w14:paraId="568B8DB0" w14:textId="77777777" w:rsidR="00744CD5" w:rsidRDefault="00744CD5" w:rsidP="00744CD5">
      <w:pPr>
        <w:pStyle w:val="indent-4"/>
        <w:ind w:left="720"/>
      </w:pPr>
      <w:r>
        <w:rPr>
          <w:rStyle w:val="paren"/>
        </w:rPr>
        <w:t>(</w:t>
      </w:r>
      <w:r>
        <w:rPr>
          <w:rStyle w:val="paragraph-hierarchy"/>
        </w:rPr>
        <w:t>A</w:t>
      </w:r>
      <w:r>
        <w:rPr>
          <w:rStyle w:val="paren"/>
        </w:rPr>
        <w:t>)</w:t>
      </w:r>
      <w:r>
        <w:t xml:space="preserve"> </w:t>
      </w:r>
      <w:r>
        <w:rPr>
          <w:rStyle w:val="Emphasis"/>
          <w:b/>
          <w:bCs/>
        </w:rPr>
        <w:t>Minimum percent pollock.</w:t>
      </w:r>
      <w:r>
        <w:t xml:space="preserve"> Parties to an IPA must collectively represent at least 9 percent of the BS pollock quota. </w:t>
      </w:r>
    </w:p>
    <w:p w14:paraId="42C76A4F" w14:textId="77777777" w:rsidR="00744CD5" w:rsidRDefault="00744CD5" w:rsidP="00744CD5">
      <w:pPr>
        <w:pStyle w:val="indent-4"/>
        <w:ind w:left="720"/>
      </w:pPr>
      <w:r>
        <w:rPr>
          <w:rStyle w:val="paren"/>
        </w:rPr>
        <w:t>(</w:t>
      </w:r>
      <w:r>
        <w:rPr>
          <w:rStyle w:val="paragraph-hierarchy"/>
        </w:rPr>
        <w:t>B</w:t>
      </w:r>
      <w:r>
        <w:rPr>
          <w:rStyle w:val="paren"/>
        </w:rPr>
        <w:t>)</w:t>
      </w:r>
      <w:r>
        <w:t xml:space="preserve"> </w:t>
      </w:r>
      <w:r>
        <w:rPr>
          <w:rStyle w:val="Emphasis"/>
          <w:b/>
          <w:bCs/>
        </w:rPr>
        <w:t>Minimum number of unaffiliated AFA entities.</w:t>
      </w:r>
      <w:r>
        <w:t xml:space="preserve"> Parties to an IPA must represent any combination of two or more CDQ groups or corporations, partnerships, or individuals who own AFA-permitted vessels and are not affiliated, as affiliation is defined for purposes of AFA entities in </w:t>
      </w:r>
      <w:hyperlink r:id="rId4" w:history="1">
        <w:r>
          <w:rPr>
            <w:rStyle w:val="Hyperlink"/>
          </w:rPr>
          <w:t>§ 679.2</w:t>
        </w:r>
      </w:hyperlink>
      <w:r>
        <w:t xml:space="preserve">. </w:t>
      </w:r>
    </w:p>
    <w:p w14:paraId="77463C93" w14:textId="77777777" w:rsidR="00744CD5" w:rsidRDefault="00744CD5" w:rsidP="00744CD5">
      <w:pPr>
        <w:pStyle w:val="indent-3"/>
        <w:ind w:left="540"/>
      </w:pPr>
      <w:r>
        <w:rPr>
          <w:rStyle w:val="paren"/>
        </w:rPr>
        <w:t>(</w:t>
      </w:r>
      <w:r>
        <w:rPr>
          <w:rStyle w:val="paragraph-hierarchy"/>
        </w:rPr>
        <w:t>ii</w:t>
      </w:r>
      <w:r>
        <w:rPr>
          <w:rStyle w:val="paren"/>
        </w:rPr>
        <w:t>)</w:t>
      </w:r>
      <w:r>
        <w:t xml:space="preserve"> </w:t>
      </w:r>
      <w:r>
        <w:rPr>
          <w:rStyle w:val="Emphasis"/>
          <w:b/>
          <w:bCs/>
        </w:rPr>
        <w:t>Membership in an IPA.</w:t>
      </w:r>
      <w:r>
        <w:t xml:space="preserve"> </w:t>
      </w:r>
    </w:p>
    <w:p w14:paraId="5C8ED879" w14:textId="77777777" w:rsidR="00744CD5" w:rsidRDefault="00744CD5" w:rsidP="00744CD5">
      <w:pPr>
        <w:pStyle w:val="indent-4"/>
        <w:ind w:left="720"/>
      </w:pPr>
      <w:r>
        <w:rPr>
          <w:rStyle w:val="paren"/>
        </w:rPr>
        <w:t>(</w:t>
      </w:r>
      <w:r>
        <w:rPr>
          <w:rStyle w:val="paragraph-hierarchy"/>
        </w:rPr>
        <w:t>A</w:t>
      </w:r>
      <w:r>
        <w:rPr>
          <w:rStyle w:val="paren"/>
        </w:rPr>
        <w:t>)</w:t>
      </w:r>
      <w:r>
        <w:t xml:space="preserve"> No vessel owner or CDQ group is required to join an IPA. </w:t>
      </w:r>
    </w:p>
    <w:p w14:paraId="6F138A92" w14:textId="77777777" w:rsidR="00744CD5" w:rsidRDefault="00744CD5" w:rsidP="00744CD5">
      <w:pPr>
        <w:pStyle w:val="indent-4"/>
        <w:ind w:left="720"/>
      </w:pPr>
      <w:r>
        <w:rPr>
          <w:rStyle w:val="paren"/>
        </w:rPr>
        <w:t>(</w:t>
      </w:r>
      <w:r>
        <w:rPr>
          <w:rStyle w:val="paragraph-hierarchy"/>
        </w:rPr>
        <w:t>B</w:t>
      </w:r>
      <w:r>
        <w:rPr>
          <w:rStyle w:val="paren"/>
        </w:rPr>
        <w:t>)</w:t>
      </w:r>
      <w:r>
        <w:t xml:space="preserve"> For a vessel owner in the catcher/processor sector or mothership sector to join an IPA, that vessel owner must be a member of the entity representing that sector under paragraph (f)(8). </w:t>
      </w:r>
    </w:p>
    <w:p w14:paraId="5BB80377" w14:textId="77777777" w:rsidR="00744CD5" w:rsidRDefault="00744CD5" w:rsidP="00744CD5">
      <w:pPr>
        <w:pStyle w:val="indent-4"/>
        <w:ind w:left="720"/>
      </w:pPr>
      <w:r>
        <w:rPr>
          <w:rStyle w:val="paren"/>
        </w:rPr>
        <w:t>(</w:t>
      </w:r>
      <w:r>
        <w:rPr>
          <w:rStyle w:val="paragraph-hierarchy"/>
        </w:rPr>
        <w:t>C</w:t>
      </w:r>
      <w:r>
        <w:rPr>
          <w:rStyle w:val="paren"/>
        </w:rPr>
        <w:t>)</w:t>
      </w:r>
      <w:r>
        <w:t xml:space="preserve"> For a CDQ group to be a member of an IPA, the CDQ group must sign the IPA and list in that IPA each vessel harvesting BS pollock CDQ, on behalf of that CDQ group, that will participate in that IPA. </w:t>
      </w:r>
    </w:p>
    <w:p w14:paraId="3D69D2F5" w14:textId="77777777" w:rsidR="00744CD5" w:rsidRDefault="00744CD5" w:rsidP="00744CD5">
      <w:pPr>
        <w:pStyle w:val="indent-4"/>
        <w:ind w:left="720"/>
      </w:pPr>
      <w:r>
        <w:rPr>
          <w:rStyle w:val="paren"/>
        </w:rPr>
        <w:t>(</w:t>
      </w:r>
      <w:r>
        <w:rPr>
          <w:rStyle w:val="paragraph-hierarchy"/>
        </w:rPr>
        <w:t>D</w:t>
      </w:r>
      <w:r>
        <w:rPr>
          <w:rStyle w:val="paren"/>
        </w:rPr>
        <w:t>)</w:t>
      </w:r>
      <w:r>
        <w:t xml:space="preserve"> Once a member of an IPA, a vessel owner or CDQ group cannot withdraw from the IPA during a fishing year. </w:t>
      </w:r>
    </w:p>
    <w:p w14:paraId="1FCEDBF8" w14:textId="77777777" w:rsidR="00744CD5" w:rsidRDefault="00744CD5" w:rsidP="00744CD5">
      <w:pPr>
        <w:pStyle w:val="indent-3"/>
        <w:ind w:left="540"/>
      </w:pPr>
      <w:r>
        <w:rPr>
          <w:rStyle w:val="paren"/>
        </w:rPr>
        <w:t>(</w:t>
      </w:r>
      <w:r>
        <w:rPr>
          <w:rStyle w:val="paragraph-hierarchy"/>
        </w:rPr>
        <w:t>iii</w:t>
      </w:r>
      <w:r>
        <w:rPr>
          <w:rStyle w:val="paren"/>
        </w:rPr>
        <w:t>)</w:t>
      </w:r>
      <w:r>
        <w:t xml:space="preserve"> </w:t>
      </w:r>
      <w:r>
        <w:rPr>
          <w:rStyle w:val="Emphasis"/>
          <w:b/>
          <w:bCs/>
        </w:rPr>
        <w:t>Request for approval of a proposed IPA.</w:t>
      </w:r>
      <w:r>
        <w:t xml:space="preserve"> The IPA representative must submit a proposed IPA to NMFS at the address in </w:t>
      </w:r>
      <w:hyperlink r:id="rId5" w:anchor="p-679.21(b)(6)" w:history="1">
        <w:r>
          <w:rPr>
            <w:rStyle w:val="Hyperlink"/>
          </w:rPr>
          <w:t>paragraph (b)(6)</w:t>
        </w:r>
      </w:hyperlink>
      <w:r>
        <w:t xml:space="preserve"> of this section. The proposed IPA must contain the following information: </w:t>
      </w:r>
    </w:p>
    <w:p w14:paraId="5DD98033" w14:textId="77777777" w:rsidR="00744CD5" w:rsidRDefault="00744CD5" w:rsidP="00744CD5">
      <w:pPr>
        <w:pStyle w:val="indent-4"/>
        <w:ind w:left="720"/>
      </w:pPr>
      <w:r>
        <w:rPr>
          <w:rStyle w:val="paren"/>
        </w:rPr>
        <w:t>(</w:t>
      </w:r>
      <w:r>
        <w:rPr>
          <w:rStyle w:val="paragraph-hierarchy"/>
        </w:rPr>
        <w:t>A</w:t>
      </w:r>
      <w:r>
        <w:rPr>
          <w:rStyle w:val="paren"/>
        </w:rPr>
        <w:t>)</w:t>
      </w:r>
      <w:r>
        <w:t xml:space="preserve"> </w:t>
      </w:r>
      <w:r>
        <w:rPr>
          <w:rStyle w:val="Emphasis"/>
          <w:b/>
          <w:bCs/>
        </w:rPr>
        <w:t>Affidavit.</w:t>
      </w:r>
      <w:r>
        <w:t xml:space="preserve"> The IPA must include the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 </w:t>
      </w:r>
    </w:p>
    <w:p w14:paraId="7C180CD3" w14:textId="77777777" w:rsidR="00744CD5" w:rsidRDefault="00744CD5" w:rsidP="00744CD5">
      <w:pPr>
        <w:pStyle w:val="indent-4"/>
        <w:ind w:left="720"/>
      </w:pPr>
      <w:r>
        <w:rPr>
          <w:rStyle w:val="paren"/>
        </w:rPr>
        <w:t>(</w:t>
      </w:r>
      <w:r>
        <w:rPr>
          <w:rStyle w:val="paragraph-hierarchy"/>
        </w:rPr>
        <w:t>B</w:t>
      </w:r>
      <w:r>
        <w:rPr>
          <w:rStyle w:val="paren"/>
        </w:rPr>
        <w:t>)</w:t>
      </w:r>
      <w:r>
        <w:t xml:space="preserve"> </w:t>
      </w:r>
      <w:r>
        <w:rPr>
          <w:rStyle w:val="Emphasis"/>
          <w:b/>
          <w:bCs/>
        </w:rPr>
        <w:t>Name of the IPA.</w:t>
      </w:r>
      <w:r>
        <w:t xml:space="preserve"> </w:t>
      </w:r>
    </w:p>
    <w:p w14:paraId="41B0F4DC" w14:textId="77777777" w:rsidR="00744CD5" w:rsidRDefault="00744CD5" w:rsidP="00744CD5">
      <w:pPr>
        <w:pStyle w:val="indent-4"/>
        <w:ind w:left="720"/>
      </w:pPr>
      <w:r>
        <w:rPr>
          <w:rStyle w:val="paren"/>
        </w:rPr>
        <w:t>(</w:t>
      </w:r>
      <w:r>
        <w:rPr>
          <w:rStyle w:val="paragraph-hierarchy"/>
        </w:rPr>
        <w:t>C</w:t>
      </w:r>
      <w:r>
        <w:rPr>
          <w:rStyle w:val="paren"/>
        </w:rPr>
        <w:t>)</w:t>
      </w:r>
      <w:r>
        <w:t xml:space="preserve"> </w:t>
      </w:r>
      <w:r>
        <w:rPr>
          <w:rStyle w:val="Emphasis"/>
          <w:b/>
          <w:bCs/>
        </w:rPr>
        <w:t>Representative.</w:t>
      </w:r>
      <w:r>
        <w:t xml:space="preserve"> The IPA must include the name, telephone number, and email address of the IPA representative who submits the proposed IPA on behalf of the parties and who is responsible for submitting proposed amendments to the IPA and the annual report required under </w:t>
      </w:r>
      <w:hyperlink r:id="rId6" w:anchor="p-679.21(f)(13)" w:history="1">
        <w:r>
          <w:rPr>
            <w:rStyle w:val="Hyperlink"/>
          </w:rPr>
          <w:t>paragraph (f)(13)</w:t>
        </w:r>
      </w:hyperlink>
      <w:r>
        <w:t xml:space="preserve"> of this section. </w:t>
      </w:r>
    </w:p>
    <w:p w14:paraId="3CAE7FA7" w14:textId="77777777" w:rsidR="00744CD5" w:rsidRDefault="00744CD5" w:rsidP="00744CD5">
      <w:pPr>
        <w:pStyle w:val="indent-4"/>
        <w:ind w:left="720"/>
      </w:pPr>
      <w:r>
        <w:rPr>
          <w:rStyle w:val="paren"/>
        </w:rPr>
        <w:t>(</w:t>
      </w:r>
      <w:r>
        <w:rPr>
          <w:rStyle w:val="paragraph-hierarchy"/>
        </w:rPr>
        <w:t>D</w:t>
      </w:r>
      <w:r>
        <w:rPr>
          <w:rStyle w:val="paren"/>
        </w:rPr>
        <w:t>)</w:t>
      </w:r>
      <w:r>
        <w:t xml:space="preserve"> </w:t>
      </w:r>
      <w:r>
        <w:rPr>
          <w:rStyle w:val="Emphasis"/>
          <w:b/>
          <w:bCs/>
        </w:rPr>
        <w:t>Third party group.</w:t>
      </w:r>
      <w:r>
        <w:t xml:space="preserve"> The IPA must identify at least one third party group. Third party groups include any entities representing western Alaskans who depend on salmon and </w:t>
      </w:r>
      <w:r>
        <w:lastRenderedPageBreak/>
        <w:t xml:space="preserve">have an interest in salmon bycatch reduction but do not directly fish in a groundfish fishery. </w:t>
      </w:r>
    </w:p>
    <w:p w14:paraId="0D63FA72" w14:textId="77777777" w:rsidR="00744CD5" w:rsidRDefault="00744CD5" w:rsidP="00744CD5">
      <w:pPr>
        <w:pStyle w:val="indent-4"/>
        <w:ind w:left="720"/>
      </w:pPr>
      <w:r>
        <w:rPr>
          <w:rStyle w:val="paren"/>
        </w:rPr>
        <w:t>(</w:t>
      </w:r>
      <w:r>
        <w:rPr>
          <w:rStyle w:val="paragraph-hierarchy"/>
        </w:rPr>
        <w:t>E</w:t>
      </w:r>
      <w:r>
        <w:rPr>
          <w:rStyle w:val="paren"/>
        </w:rPr>
        <w:t>)</w:t>
      </w:r>
      <w:r>
        <w:t xml:space="preserve"> </w:t>
      </w:r>
      <w:r>
        <w:rPr>
          <w:rStyle w:val="Emphasis"/>
          <w:b/>
          <w:bCs/>
        </w:rPr>
        <w:t>Description of the incentive plan.</w:t>
      </w:r>
      <w:r>
        <w:t xml:space="preserve"> The IPA must contain a description of the following - </w:t>
      </w:r>
    </w:p>
    <w:p w14:paraId="4F8B938C" w14:textId="77777777" w:rsidR="00744CD5" w:rsidRDefault="00744CD5" w:rsidP="00744CD5">
      <w:pPr>
        <w:pStyle w:val="indent-5"/>
        <w:ind w:left="900"/>
      </w:pPr>
      <w:r>
        <w:rPr>
          <w:rStyle w:val="paren"/>
        </w:rPr>
        <w:t>(</w:t>
      </w:r>
      <w:r>
        <w:rPr>
          <w:rStyle w:val="Emphasis"/>
        </w:rPr>
        <w:t>1</w:t>
      </w:r>
      <w:r>
        <w:rPr>
          <w:rStyle w:val="paren"/>
        </w:rPr>
        <w:t>)</w:t>
      </w:r>
      <w:r>
        <w:t xml:space="preserve"> The incentive(s) that will be implemented under the IPA for the operator of each vessel participating in the IPA to avoid Chinook salmon and chum salmon bycatch under any condition of pollock and Chinook salmon abundance in all years. </w:t>
      </w:r>
    </w:p>
    <w:p w14:paraId="38A83B2D" w14:textId="77777777" w:rsidR="00744CD5" w:rsidRDefault="00744CD5" w:rsidP="00744CD5">
      <w:pPr>
        <w:pStyle w:val="indent-5"/>
        <w:ind w:left="900"/>
      </w:pPr>
      <w:r>
        <w:rPr>
          <w:rStyle w:val="paren"/>
        </w:rPr>
        <w:t>(</w:t>
      </w:r>
      <w:r>
        <w:rPr>
          <w:rStyle w:val="Emphasis"/>
        </w:rPr>
        <w:t>2</w:t>
      </w:r>
      <w:r>
        <w:rPr>
          <w:rStyle w:val="paren"/>
        </w:rPr>
        <w:t>)</w:t>
      </w:r>
      <w:r>
        <w:t xml:space="preserve"> How the incentive(s) to avoid chum salmon do not increase Chinook salmon bycatch. </w:t>
      </w:r>
    </w:p>
    <w:p w14:paraId="28F2F49B" w14:textId="77777777" w:rsidR="00744CD5" w:rsidRDefault="00744CD5" w:rsidP="00744CD5">
      <w:pPr>
        <w:pStyle w:val="indent-5"/>
        <w:ind w:left="900"/>
      </w:pPr>
      <w:r>
        <w:rPr>
          <w:rStyle w:val="paren"/>
        </w:rPr>
        <w:t>(</w:t>
      </w:r>
      <w:r>
        <w:rPr>
          <w:rStyle w:val="Emphasis"/>
        </w:rPr>
        <w:t>3</w:t>
      </w:r>
      <w:r>
        <w:rPr>
          <w:rStyle w:val="paren"/>
        </w:rPr>
        <w:t>)</w:t>
      </w:r>
      <w:r>
        <w:t xml:space="preserve"> The rewards for avoiding Chinook salmon, penalties for failure to avoid Chinook salmon at the vessel level, or both. </w:t>
      </w:r>
    </w:p>
    <w:p w14:paraId="0B9EAE30" w14:textId="77777777" w:rsidR="00744CD5" w:rsidRDefault="00744CD5" w:rsidP="00744CD5">
      <w:pPr>
        <w:pStyle w:val="indent-5"/>
        <w:ind w:left="900"/>
      </w:pPr>
      <w:r>
        <w:rPr>
          <w:rStyle w:val="paren"/>
        </w:rPr>
        <w:t>(</w:t>
      </w:r>
      <w:r>
        <w:rPr>
          <w:rStyle w:val="Emphasis"/>
        </w:rPr>
        <w:t>4</w:t>
      </w:r>
      <w:r>
        <w:rPr>
          <w:rStyle w:val="paren"/>
        </w:rPr>
        <w:t>)</w:t>
      </w:r>
      <w:r>
        <w:t xml:space="preserve"> How the incentive measures in the IPA are expected to promote reductions in a vessel's Chinook salmon and chum salmon bycatch rates relative to what would have occurred in absence of the incentive program. </w:t>
      </w:r>
    </w:p>
    <w:p w14:paraId="618D0CAD" w14:textId="77777777" w:rsidR="00744CD5" w:rsidRDefault="00744CD5" w:rsidP="00744CD5">
      <w:pPr>
        <w:pStyle w:val="indent-5"/>
        <w:ind w:left="900"/>
      </w:pPr>
      <w:r>
        <w:rPr>
          <w:rStyle w:val="paren"/>
        </w:rPr>
        <w:t>(</w:t>
      </w:r>
      <w:r>
        <w:rPr>
          <w:rStyle w:val="Emphasis"/>
        </w:rPr>
        <w:t>5</w:t>
      </w:r>
      <w:r>
        <w:rPr>
          <w:rStyle w:val="paren"/>
        </w:rPr>
        <w:t>)</w:t>
      </w:r>
      <w:r>
        <w:t xml:space="preserve"> How the incentive measures in the IPA promote Chinook salmon and chum salmon savings in any condition of pollock abundance or Chinook salmon abundance in a manner that is expected to influence operational decisions by vessel operators to avoid Chinook salmon and chum salmon. </w:t>
      </w:r>
    </w:p>
    <w:p w14:paraId="7B2C2D40" w14:textId="77777777" w:rsidR="00744CD5" w:rsidRDefault="00744CD5" w:rsidP="00744CD5">
      <w:pPr>
        <w:pStyle w:val="indent-5"/>
        <w:ind w:left="900"/>
      </w:pPr>
      <w:r>
        <w:rPr>
          <w:rStyle w:val="paren"/>
        </w:rPr>
        <w:t>(</w:t>
      </w:r>
      <w:r>
        <w:rPr>
          <w:rStyle w:val="Emphasis"/>
        </w:rPr>
        <w:t>6</w:t>
      </w:r>
      <w:r>
        <w:rPr>
          <w:rStyle w:val="paren"/>
        </w:rPr>
        <w:t>)</w:t>
      </w:r>
      <w:r>
        <w:t xml:space="preserve"> How the IPA ensures that the operator of each vessel governed by the IPA will manage that vessel's Chinook salmon bycatch to keep total bycatch below the performance standard described in </w:t>
      </w:r>
      <w:hyperlink r:id="rId7" w:anchor="p-679.21(f)(6)" w:history="1">
        <w:r>
          <w:rPr>
            <w:rStyle w:val="Hyperlink"/>
          </w:rPr>
          <w:t>paragraph (f)(6)</w:t>
        </w:r>
      </w:hyperlink>
      <w:r>
        <w:t xml:space="preserve"> of this section for the sector in which the vessel participates. </w:t>
      </w:r>
    </w:p>
    <w:p w14:paraId="68D0D95F" w14:textId="77777777" w:rsidR="00744CD5" w:rsidRDefault="00744CD5" w:rsidP="00744CD5">
      <w:pPr>
        <w:pStyle w:val="indent-5"/>
        <w:ind w:left="900"/>
      </w:pPr>
      <w:r>
        <w:rPr>
          <w:rStyle w:val="paren"/>
        </w:rPr>
        <w:t>(</w:t>
      </w:r>
      <w:r>
        <w:rPr>
          <w:rStyle w:val="Emphasis"/>
        </w:rPr>
        <w:t>7</w:t>
      </w:r>
      <w:r>
        <w:rPr>
          <w:rStyle w:val="paren"/>
        </w:rPr>
        <w:t>)</w:t>
      </w:r>
      <w:r>
        <w:t xml:space="preserve"> How the IPA ensures that the operator of each vessel governed by the IPA will manage that vessel's chum salmon bycatch to avoid areas and times where the chum salmon are likely to return to western Alaska. </w:t>
      </w:r>
    </w:p>
    <w:p w14:paraId="2F300BB9" w14:textId="77777777" w:rsidR="00744CD5" w:rsidRDefault="00744CD5" w:rsidP="00744CD5">
      <w:pPr>
        <w:pStyle w:val="indent-5"/>
        <w:ind w:left="900"/>
      </w:pPr>
      <w:r>
        <w:rPr>
          <w:rStyle w:val="paren"/>
        </w:rPr>
        <w:t>(</w:t>
      </w:r>
      <w:r>
        <w:rPr>
          <w:rStyle w:val="Emphasis"/>
        </w:rPr>
        <w:t>8</w:t>
      </w:r>
      <w:r>
        <w:rPr>
          <w:rStyle w:val="paren"/>
        </w:rPr>
        <w:t>)</w:t>
      </w:r>
      <w:r>
        <w:t xml:space="preserve"> The rolling hot spot program for salmon bycatch avoidance that operates throughout the entire A season and B season and the agreement to provide notifications of closure areas and any violations of the rolling hot spot program to the </w:t>
      </w:r>
      <w:proofErr w:type="gramStart"/>
      <w:r>
        <w:t>third party</w:t>
      </w:r>
      <w:proofErr w:type="gramEnd"/>
      <w:r>
        <w:t xml:space="preserve"> group. </w:t>
      </w:r>
    </w:p>
    <w:p w14:paraId="613E757F" w14:textId="77777777" w:rsidR="00744CD5" w:rsidRDefault="00744CD5" w:rsidP="00744CD5">
      <w:pPr>
        <w:pStyle w:val="indent-5"/>
        <w:ind w:left="900"/>
      </w:pPr>
      <w:r>
        <w:rPr>
          <w:rStyle w:val="paren"/>
        </w:rPr>
        <w:t>(</w:t>
      </w:r>
      <w:r>
        <w:rPr>
          <w:rStyle w:val="Emphasis"/>
        </w:rPr>
        <w:t>9</w:t>
      </w:r>
      <w:r>
        <w:rPr>
          <w:rStyle w:val="paren"/>
        </w:rPr>
        <w:t>)</w:t>
      </w:r>
      <w:r>
        <w:t xml:space="preserve"> The restrictions or penalties targeted at vessels that consistently have significantly higher Chinook salmon PSC rates relative to other vessels fishing at the same time. </w:t>
      </w:r>
    </w:p>
    <w:p w14:paraId="342E794E" w14:textId="77777777" w:rsidR="00744CD5" w:rsidRDefault="00744CD5" w:rsidP="00744CD5">
      <w:pPr>
        <w:pStyle w:val="indent-5"/>
        <w:ind w:left="900"/>
      </w:pPr>
      <w:r>
        <w:rPr>
          <w:rStyle w:val="paren"/>
        </w:rPr>
        <w:t>(</w:t>
      </w:r>
      <w:r>
        <w:rPr>
          <w:rStyle w:val="Emphasis"/>
        </w:rPr>
        <w:t>10</w:t>
      </w:r>
      <w:r>
        <w:rPr>
          <w:rStyle w:val="paren"/>
        </w:rPr>
        <w:t>)</w:t>
      </w:r>
      <w:r>
        <w:t xml:space="preserve"> The requirement for vessels to enter a fishery-wide in-season salmon PSC data sharing agreement. </w:t>
      </w:r>
    </w:p>
    <w:p w14:paraId="75F07BF3" w14:textId="77777777" w:rsidR="00744CD5" w:rsidRDefault="00744CD5" w:rsidP="00744CD5">
      <w:pPr>
        <w:pStyle w:val="indent-5"/>
        <w:ind w:left="900"/>
      </w:pPr>
      <w:r>
        <w:rPr>
          <w:rStyle w:val="paren"/>
        </w:rPr>
        <w:lastRenderedPageBreak/>
        <w:t>(</w:t>
      </w:r>
      <w:r>
        <w:rPr>
          <w:rStyle w:val="Emphasis"/>
        </w:rPr>
        <w:t>11</w:t>
      </w:r>
      <w:r>
        <w:rPr>
          <w:rStyle w:val="paren"/>
        </w:rPr>
        <w:t>)</w:t>
      </w:r>
      <w:r>
        <w:t xml:space="preserve"> The requirement for the use of salmon excluder devices, with recognition of contingencies, from January 20 to March 31, and from September 1 until the end of the B season. </w:t>
      </w:r>
    </w:p>
    <w:p w14:paraId="25D01895" w14:textId="77777777" w:rsidR="00744CD5" w:rsidRDefault="00744CD5" w:rsidP="00744CD5">
      <w:pPr>
        <w:pStyle w:val="indent-5"/>
        <w:ind w:left="900"/>
      </w:pPr>
      <w:r>
        <w:rPr>
          <w:rStyle w:val="paren"/>
        </w:rPr>
        <w:t>(</w:t>
      </w:r>
      <w:r>
        <w:rPr>
          <w:rStyle w:val="Emphasis"/>
        </w:rPr>
        <w:t>12</w:t>
      </w:r>
      <w:r>
        <w:rPr>
          <w:rStyle w:val="paren"/>
        </w:rPr>
        <w:t>)</w:t>
      </w:r>
      <w:r>
        <w:t xml:space="preserve"> The requirement that salmon savings credits are limited to a maximum of three years for IPAs with salmon savings credits. </w:t>
      </w:r>
    </w:p>
    <w:p w14:paraId="3B4BD6FC" w14:textId="77777777" w:rsidR="00744CD5" w:rsidRDefault="00744CD5" w:rsidP="00744CD5">
      <w:pPr>
        <w:pStyle w:val="indent-5"/>
        <w:ind w:left="900"/>
      </w:pPr>
      <w:r>
        <w:rPr>
          <w:rStyle w:val="paren"/>
        </w:rPr>
        <w:t>(</w:t>
      </w:r>
      <w:r>
        <w:rPr>
          <w:rStyle w:val="Emphasis"/>
        </w:rPr>
        <w:t>13</w:t>
      </w:r>
      <w:r>
        <w:rPr>
          <w:rStyle w:val="paren"/>
        </w:rPr>
        <w:t>)</w:t>
      </w:r>
      <w:r>
        <w:t xml:space="preserve"> The restrictions or performance criteria used to ensure that Chinook salmon PSC rates in October are not significantly higher than those achieved in the preceding months. </w:t>
      </w:r>
    </w:p>
    <w:p w14:paraId="678346A1" w14:textId="77777777" w:rsidR="00744CD5" w:rsidRDefault="00744CD5" w:rsidP="00744CD5">
      <w:pPr>
        <w:pStyle w:val="indent-4"/>
        <w:ind w:left="720"/>
      </w:pPr>
      <w:r>
        <w:rPr>
          <w:rStyle w:val="paren"/>
        </w:rPr>
        <w:t>(</w:t>
      </w:r>
      <w:r>
        <w:rPr>
          <w:rStyle w:val="paragraph-hierarchy"/>
        </w:rPr>
        <w:t>F</w:t>
      </w:r>
      <w:r>
        <w:rPr>
          <w:rStyle w:val="paren"/>
        </w:rPr>
        <w:t>)</w:t>
      </w:r>
      <w:r>
        <w:t xml:space="preserve"> </w:t>
      </w:r>
      <w:r>
        <w:rPr>
          <w:rStyle w:val="Emphasis"/>
          <w:b/>
          <w:bCs/>
        </w:rPr>
        <w:t>Compliance agreement.</w:t>
      </w:r>
      <w:r>
        <w:t xml:space="preserve"> The IPA must include a written statement that all parties to the IPA agree to comply with all provisions of the IPA. </w:t>
      </w:r>
    </w:p>
    <w:p w14:paraId="32397A76" w14:textId="77777777" w:rsidR="00744CD5" w:rsidRDefault="00744CD5" w:rsidP="00744CD5">
      <w:pPr>
        <w:pStyle w:val="indent-4"/>
        <w:ind w:left="720"/>
      </w:pPr>
      <w:r>
        <w:rPr>
          <w:rStyle w:val="paren"/>
        </w:rPr>
        <w:t>(</w:t>
      </w:r>
      <w:r>
        <w:rPr>
          <w:rStyle w:val="paragraph-hierarchy"/>
        </w:rPr>
        <w:t>G</w:t>
      </w:r>
      <w:r>
        <w:rPr>
          <w:rStyle w:val="paren"/>
        </w:rPr>
        <w:t>)</w:t>
      </w:r>
      <w:r>
        <w:t xml:space="preserve"> </w:t>
      </w:r>
      <w:r>
        <w:rPr>
          <w:rStyle w:val="Emphasis"/>
          <w:b/>
          <w:bCs/>
        </w:rPr>
        <w:t>Signatures.</w:t>
      </w:r>
      <w:r>
        <w:t xml:space="preserve"> The names and signatures of the owner or representative for each vessel and CDQ group that is a party to the IPA. The representative of an inshore cooperative, or the representative of the entity formed to represent the AFA catcher/processor sector or the AFA mothership sector under </w:t>
      </w:r>
      <w:hyperlink r:id="rId8" w:anchor="p-679.21(f)(8)" w:history="1">
        <w:r>
          <w:rPr>
            <w:rStyle w:val="Hyperlink"/>
          </w:rPr>
          <w:t>paragraph (f)(8)</w:t>
        </w:r>
      </w:hyperlink>
      <w:r>
        <w:t xml:space="preserve"> of this section may sign a proposed IPA on behalf of all vessels that are members of that inshore cooperative or sector level entity.</w:t>
      </w:r>
    </w:p>
    <w:p w14:paraId="59745D9A" w14:textId="77777777" w:rsidR="00DC56D1" w:rsidRDefault="00DC56D1"/>
    <w:sectPr w:rsidR="00DC5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D5"/>
    <w:rsid w:val="00744CD5"/>
    <w:rsid w:val="007D6F39"/>
    <w:rsid w:val="007E34AF"/>
    <w:rsid w:val="00CA2F45"/>
    <w:rsid w:val="00DA37D2"/>
    <w:rsid w:val="00DC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449A"/>
  <w15:chartTrackingRefBased/>
  <w15:docId w15:val="{CE0F4577-4494-4204-901A-8AD260B3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2"/>
    <w:basedOn w:val="Normal"/>
    <w:rsid w:val="00744C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44CD5"/>
  </w:style>
  <w:style w:type="character" w:customStyle="1" w:styleId="paren">
    <w:name w:val="paren"/>
    <w:basedOn w:val="DefaultParagraphFont"/>
    <w:rsid w:val="00744CD5"/>
  </w:style>
  <w:style w:type="character" w:styleId="Emphasis">
    <w:name w:val="Emphasis"/>
    <w:basedOn w:val="DefaultParagraphFont"/>
    <w:uiPriority w:val="20"/>
    <w:qFormat/>
    <w:rsid w:val="00744CD5"/>
    <w:rPr>
      <w:i/>
      <w:iCs/>
    </w:rPr>
  </w:style>
  <w:style w:type="paragraph" w:customStyle="1" w:styleId="indent-3">
    <w:name w:val="indent-3"/>
    <w:basedOn w:val="Normal"/>
    <w:rsid w:val="00744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744C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4CD5"/>
    <w:rPr>
      <w:color w:val="0000FF"/>
      <w:u w:val="single"/>
    </w:rPr>
  </w:style>
  <w:style w:type="paragraph" w:customStyle="1" w:styleId="indent-5">
    <w:name w:val="indent-5"/>
    <w:basedOn w:val="Normal"/>
    <w:rsid w:val="00744C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725">
      <w:bodyDiv w:val="1"/>
      <w:marLeft w:val="0"/>
      <w:marRight w:val="0"/>
      <w:marTop w:val="0"/>
      <w:marBottom w:val="0"/>
      <w:divBdr>
        <w:top w:val="none" w:sz="0" w:space="0" w:color="auto"/>
        <w:left w:val="none" w:sz="0" w:space="0" w:color="auto"/>
        <w:bottom w:val="none" w:sz="0" w:space="0" w:color="auto"/>
        <w:right w:val="none" w:sz="0" w:space="0" w:color="auto"/>
      </w:divBdr>
      <w:divsChild>
        <w:div w:id="981929610">
          <w:marLeft w:val="0"/>
          <w:marRight w:val="0"/>
          <w:marTop w:val="0"/>
          <w:marBottom w:val="0"/>
          <w:divBdr>
            <w:top w:val="none" w:sz="0" w:space="0" w:color="auto"/>
            <w:left w:val="none" w:sz="0" w:space="0" w:color="auto"/>
            <w:bottom w:val="none" w:sz="0" w:space="0" w:color="auto"/>
            <w:right w:val="none" w:sz="0" w:space="0" w:color="auto"/>
          </w:divBdr>
          <w:divsChild>
            <w:div w:id="2022007857">
              <w:marLeft w:val="0"/>
              <w:marRight w:val="0"/>
              <w:marTop w:val="0"/>
              <w:marBottom w:val="0"/>
              <w:divBdr>
                <w:top w:val="none" w:sz="0" w:space="0" w:color="auto"/>
                <w:left w:val="none" w:sz="0" w:space="0" w:color="auto"/>
                <w:bottom w:val="none" w:sz="0" w:space="0" w:color="auto"/>
                <w:right w:val="none" w:sz="0" w:space="0" w:color="auto"/>
              </w:divBdr>
            </w:div>
            <w:div w:id="1115446587">
              <w:marLeft w:val="0"/>
              <w:marRight w:val="0"/>
              <w:marTop w:val="0"/>
              <w:marBottom w:val="0"/>
              <w:divBdr>
                <w:top w:val="none" w:sz="0" w:space="0" w:color="auto"/>
                <w:left w:val="none" w:sz="0" w:space="0" w:color="auto"/>
                <w:bottom w:val="none" w:sz="0" w:space="0" w:color="auto"/>
                <w:right w:val="none" w:sz="0" w:space="0" w:color="auto"/>
              </w:divBdr>
            </w:div>
          </w:divsChild>
        </w:div>
        <w:div w:id="203517819">
          <w:marLeft w:val="0"/>
          <w:marRight w:val="0"/>
          <w:marTop w:val="0"/>
          <w:marBottom w:val="0"/>
          <w:divBdr>
            <w:top w:val="none" w:sz="0" w:space="0" w:color="auto"/>
            <w:left w:val="none" w:sz="0" w:space="0" w:color="auto"/>
            <w:bottom w:val="none" w:sz="0" w:space="0" w:color="auto"/>
            <w:right w:val="none" w:sz="0" w:space="0" w:color="auto"/>
          </w:divBdr>
          <w:divsChild>
            <w:div w:id="1276474303">
              <w:marLeft w:val="0"/>
              <w:marRight w:val="0"/>
              <w:marTop w:val="0"/>
              <w:marBottom w:val="0"/>
              <w:divBdr>
                <w:top w:val="none" w:sz="0" w:space="0" w:color="auto"/>
                <w:left w:val="none" w:sz="0" w:space="0" w:color="auto"/>
                <w:bottom w:val="none" w:sz="0" w:space="0" w:color="auto"/>
                <w:right w:val="none" w:sz="0" w:space="0" w:color="auto"/>
              </w:divBdr>
            </w:div>
            <w:div w:id="147789759">
              <w:marLeft w:val="0"/>
              <w:marRight w:val="0"/>
              <w:marTop w:val="0"/>
              <w:marBottom w:val="0"/>
              <w:divBdr>
                <w:top w:val="none" w:sz="0" w:space="0" w:color="auto"/>
                <w:left w:val="none" w:sz="0" w:space="0" w:color="auto"/>
                <w:bottom w:val="none" w:sz="0" w:space="0" w:color="auto"/>
                <w:right w:val="none" w:sz="0" w:space="0" w:color="auto"/>
              </w:divBdr>
            </w:div>
            <w:div w:id="2000501593">
              <w:marLeft w:val="0"/>
              <w:marRight w:val="0"/>
              <w:marTop w:val="0"/>
              <w:marBottom w:val="0"/>
              <w:divBdr>
                <w:top w:val="none" w:sz="0" w:space="0" w:color="auto"/>
                <w:left w:val="none" w:sz="0" w:space="0" w:color="auto"/>
                <w:bottom w:val="none" w:sz="0" w:space="0" w:color="auto"/>
                <w:right w:val="none" w:sz="0" w:space="0" w:color="auto"/>
              </w:divBdr>
            </w:div>
            <w:div w:id="1441342603">
              <w:marLeft w:val="0"/>
              <w:marRight w:val="0"/>
              <w:marTop w:val="0"/>
              <w:marBottom w:val="0"/>
              <w:divBdr>
                <w:top w:val="none" w:sz="0" w:space="0" w:color="auto"/>
                <w:left w:val="none" w:sz="0" w:space="0" w:color="auto"/>
                <w:bottom w:val="none" w:sz="0" w:space="0" w:color="auto"/>
                <w:right w:val="none" w:sz="0" w:space="0" w:color="auto"/>
              </w:divBdr>
            </w:div>
          </w:divsChild>
        </w:div>
        <w:div w:id="204105111">
          <w:marLeft w:val="0"/>
          <w:marRight w:val="0"/>
          <w:marTop w:val="0"/>
          <w:marBottom w:val="0"/>
          <w:divBdr>
            <w:top w:val="none" w:sz="0" w:space="0" w:color="auto"/>
            <w:left w:val="none" w:sz="0" w:space="0" w:color="auto"/>
            <w:bottom w:val="none" w:sz="0" w:space="0" w:color="auto"/>
            <w:right w:val="none" w:sz="0" w:space="0" w:color="auto"/>
          </w:divBdr>
          <w:divsChild>
            <w:div w:id="1595213184">
              <w:marLeft w:val="0"/>
              <w:marRight w:val="0"/>
              <w:marTop w:val="0"/>
              <w:marBottom w:val="0"/>
              <w:divBdr>
                <w:top w:val="none" w:sz="0" w:space="0" w:color="auto"/>
                <w:left w:val="none" w:sz="0" w:space="0" w:color="auto"/>
                <w:bottom w:val="none" w:sz="0" w:space="0" w:color="auto"/>
                <w:right w:val="none" w:sz="0" w:space="0" w:color="auto"/>
              </w:divBdr>
            </w:div>
            <w:div w:id="335157995">
              <w:marLeft w:val="0"/>
              <w:marRight w:val="0"/>
              <w:marTop w:val="0"/>
              <w:marBottom w:val="0"/>
              <w:divBdr>
                <w:top w:val="none" w:sz="0" w:space="0" w:color="auto"/>
                <w:left w:val="none" w:sz="0" w:space="0" w:color="auto"/>
                <w:bottom w:val="none" w:sz="0" w:space="0" w:color="auto"/>
                <w:right w:val="none" w:sz="0" w:space="0" w:color="auto"/>
              </w:divBdr>
            </w:div>
            <w:div w:id="862288043">
              <w:marLeft w:val="0"/>
              <w:marRight w:val="0"/>
              <w:marTop w:val="0"/>
              <w:marBottom w:val="0"/>
              <w:divBdr>
                <w:top w:val="none" w:sz="0" w:space="0" w:color="auto"/>
                <w:left w:val="none" w:sz="0" w:space="0" w:color="auto"/>
                <w:bottom w:val="none" w:sz="0" w:space="0" w:color="auto"/>
                <w:right w:val="none" w:sz="0" w:space="0" w:color="auto"/>
              </w:divBdr>
            </w:div>
            <w:div w:id="1566063196">
              <w:marLeft w:val="0"/>
              <w:marRight w:val="0"/>
              <w:marTop w:val="0"/>
              <w:marBottom w:val="0"/>
              <w:divBdr>
                <w:top w:val="none" w:sz="0" w:space="0" w:color="auto"/>
                <w:left w:val="none" w:sz="0" w:space="0" w:color="auto"/>
                <w:bottom w:val="none" w:sz="0" w:space="0" w:color="auto"/>
                <w:right w:val="none" w:sz="0" w:space="0" w:color="auto"/>
              </w:divBdr>
            </w:div>
            <w:div w:id="2123109164">
              <w:marLeft w:val="0"/>
              <w:marRight w:val="0"/>
              <w:marTop w:val="0"/>
              <w:marBottom w:val="0"/>
              <w:divBdr>
                <w:top w:val="none" w:sz="0" w:space="0" w:color="auto"/>
                <w:left w:val="none" w:sz="0" w:space="0" w:color="auto"/>
                <w:bottom w:val="none" w:sz="0" w:space="0" w:color="auto"/>
                <w:right w:val="none" w:sz="0" w:space="0" w:color="auto"/>
              </w:divBdr>
              <w:divsChild>
                <w:div w:id="1679841573">
                  <w:marLeft w:val="0"/>
                  <w:marRight w:val="0"/>
                  <w:marTop w:val="0"/>
                  <w:marBottom w:val="0"/>
                  <w:divBdr>
                    <w:top w:val="none" w:sz="0" w:space="0" w:color="auto"/>
                    <w:left w:val="none" w:sz="0" w:space="0" w:color="auto"/>
                    <w:bottom w:val="none" w:sz="0" w:space="0" w:color="auto"/>
                    <w:right w:val="none" w:sz="0" w:space="0" w:color="auto"/>
                  </w:divBdr>
                </w:div>
                <w:div w:id="1986204973">
                  <w:marLeft w:val="0"/>
                  <w:marRight w:val="0"/>
                  <w:marTop w:val="0"/>
                  <w:marBottom w:val="0"/>
                  <w:divBdr>
                    <w:top w:val="none" w:sz="0" w:space="0" w:color="auto"/>
                    <w:left w:val="none" w:sz="0" w:space="0" w:color="auto"/>
                    <w:bottom w:val="none" w:sz="0" w:space="0" w:color="auto"/>
                    <w:right w:val="none" w:sz="0" w:space="0" w:color="auto"/>
                  </w:divBdr>
                </w:div>
                <w:div w:id="1865048143">
                  <w:marLeft w:val="0"/>
                  <w:marRight w:val="0"/>
                  <w:marTop w:val="0"/>
                  <w:marBottom w:val="0"/>
                  <w:divBdr>
                    <w:top w:val="none" w:sz="0" w:space="0" w:color="auto"/>
                    <w:left w:val="none" w:sz="0" w:space="0" w:color="auto"/>
                    <w:bottom w:val="none" w:sz="0" w:space="0" w:color="auto"/>
                    <w:right w:val="none" w:sz="0" w:space="0" w:color="auto"/>
                  </w:divBdr>
                </w:div>
                <w:div w:id="1256134273">
                  <w:marLeft w:val="0"/>
                  <w:marRight w:val="0"/>
                  <w:marTop w:val="0"/>
                  <w:marBottom w:val="0"/>
                  <w:divBdr>
                    <w:top w:val="none" w:sz="0" w:space="0" w:color="auto"/>
                    <w:left w:val="none" w:sz="0" w:space="0" w:color="auto"/>
                    <w:bottom w:val="none" w:sz="0" w:space="0" w:color="auto"/>
                    <w:right w:val="none" w:sz="0" w:space="0" w:color="auto"/>
                  </w:divBdr>
                </w:div>
                <w:div w:id="1523011309">
                  <w:marLeft w:val="0"/>
                  <w:marRight w:val="0"/>
                  <w:marTop w:val="0"/>
                  <w:marBottom w:val="0"/>
                  <w:divBdr>
                    <w:top w:val="none" w:sz="0" w:space="0" w:color="auto"/>
                    <w:left w:val="none" w:sz="0" w:space="0" w:color="auto"/>
                    <w:bottom w:val="none" w:sz="0" w:space="0" w:color="auto"/>
                    <w:right w:val="none" w:sz="0" w:space="0" w:color="auto"/>
                  </w:divBdr>
                </w:div>
                <w:div w:id="58094567">
                  <w:marLeft w:val="0"/>
                  <w:marRight w:val="0"/>
                  <w:marTop w:val="0"/>
                  <w:marBottom w:val="0"/>
                  <w:divBdr>
                    <w:top w:val="none" w:sz="0" w:space="0" w:color="auto"/>
                    <w:left w:val="none" w:sz="0" w:space="0" w:color="auto"/>
                    <w:bottom w:val="none" w:sz="0" w:space="0" w:color="auto"/>
                    <w:right w:val="none" w:sz="0" w:space="0" w:color="auto"/>
                  </w:divBdr>
                </w:div>
                <w:div w:id="457572676">
                  <w:marLeft w:val="0"/>
                  <w:marRight w:val="0"/>
                  <w:marTop w:val="0"/>
                  <w:marBottom w:val="0"/>
                  <w:divBdr>
                    <w:top w:val="none" w:sz="0" w:space="0" w:color="auto"/>
                    <w:left w:val="none" w:sz="0" w:space="0" w:color="auto"/>
                    <w:bottom w:val="none" w:sz="0" w:space="0" w:color="auto"/>
                    <w:right w:val="none" w:sz="0" w:space="0" w:color="auto"/>
                  </w:divBdr>
                </w:div>
                <w:div w:id="359280475">
                  <w:marLeft w:val="0"/>
                  <w:marRight w:val="0"/>
                  <w:marTop w:val="0"/>
                  <w:marBottom w:val="0"/>
                  <w:divBdr>
                    <w:top w:val="none" w:sz="0" w:space="0" w:color="auto"/>
                    <w:left w:val="none" w:sz="0" w:space="0" w:color="auto"/>
                    <w:bottom w:val="none" w:sz="0" w:space="0" w:color="auto"/>
                    <w:right w:val="none" w:sz="0" w:space="0" w:color="auto"/>
                  </w:divBdr>
                </w:div>
                <w:div w:id="1447584336">
                  <w:marLeft w:val="0"/>
                  <w:marRight w:val="0"/>
                  <w:marTop w:val="0"/>
                  <w:marBottom w:val="0"/>
                  <w:divBdr>
                    <w:top w:val="none" w:sz="0" w:space="0" w:color="auto"/>
                    <w:left w:val="none" w:sz="0" w:space="0" w:color="auto"/>
                    <w:bottom w:val="none" w:sz="0" w:space="0" w:color="auto"/>
                    <w:right w:val="none" w:sz="0" w:space="0" w:color="auto"/>
                  </w:divBdr>
                </w:div>
                <w:div w:id="1158230087">
                  <w:marLeft w:val="0"/>
                  <w:marRight w:val="0"/>
                  <w:marTop w:val="0"/>
                  <w:marBottom w:val="0"/>
                  <w:divBdr>
                    <w:top w:val="none" w:sz="0" w:space="0" w:color="auto"/>
                    <w:left w:val="none" w:sz="0" w:space="0" w:color="auto"/>
                    <w:bottom w:val="none" w:sz="0" w:space="0" w:color="auto"/>
                    <w:right w:val="none" w:sz="0" w:space="0" w:color="auto"/>
                  </w:divBdr>
                </w:div>
                <w:div w:id="518155024">
                  <w:marLeft w:val="0"/>
                  <w:marRight w:val="0"/>
                  <w:marTop w:val="0"/>
                  <w:marBottom w:val="0"/>
                  <w:divBdr>
                    <w:top w:val="none" w:sz="0" w:space="0" w:color="auto"/>
                    <w:left w:val="none" w:sz="0" w:space="0" w:color="auto"/>
                    <w:bottom w:val="none" w:sz="0" w:space="0" w:color="auto"/>
                    <w:right w:val="none" w:sz="0" w:space="0" w:color="auto"/>
                  </w:divBdr>
                </w:div>
                <w:div w:id="1523930708">
                  <w:marLeft w:val="0"/>
                  <w:marRight w:val="0"/>
                  <w:marTop w:val="0"/>
                  <w:marBottom w:val="0"/>
                  <w:divBdr>
                    <w:top w:val="none" w:sz="0" w:space="0" w:color="auto"/>
                    <w:left w:val="none" w:sz="0" w:space="0" w:color="auto"/>
                    <w:bottom w:val="none" w:sz="0" w:space="0" w:color="auto"/>
                    <w:right w:val="none" w:sz="0" w:space="0" w:color="auto"/>
                  </w:divBdr>
                </w:div>
                <w:div w:id="30149402">
                  <w:marLeft w:val="0"/>
                  <w:marRight w:val="0"/>
                  <w:marTop w:val="0"/>
                  <w:marBottom w:val="0"/>
                  <w:divBdr>
                    <w:top w:val="none" w:sz="0" w:space="0" w:color="auto"/>
                    <w:left w:val="none" w:sz="0" w:space="0" w:color="auto"/>
                    <w:bottom w:val="none" w:sz="0" w:space="0" w:color="auto"/>
                    <w:right w:val="none" w:sz="0" w:space="0" w:color="auto"/>
                  </w:divBdr>
                </w:div>
              </w:divsChild>
            </w:div>
            <w:div w:id="442115313">
              <w:marLeft w:val="0"/>
              <w:marRight w:val="0"/>
              <w:marTop w:val="0"/>
              <w:marBottom w:val="0"/>
              <w:divBdr>
                <w:top w:val="none" w:sz="0" w:space="0" w:color="auto"/>
                <w:left w:val="none" w:sz="0" w:space="0" w:color="auto"/>
                <w:bottom w:val="none" w:sz="0" w:space="0" w:color="auto"/>
                <w:right w:val="none" w:sz="0" w:space="0" w:color="auto"/>
              </w:divBdr>
            </w:div>
            <w:div w:id="13389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50/section-679.21" TargetMode="External"/><Relationship Id="rId3" Type="http://schemas.openxmlformats.org/officeDocument/2006/relationships/webSettings" Target="webSettings.xml"/><Relationship Id="rId7" Type="http://schemas.openxmlformats.org/officeDocument/2006/relationships/hyperlink" Target="https://www.ecfr.gov/current/title-50/section-679.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urrent/title-50/section-679.21" TargetMode="External"/><Relationship Id="rId5" Type="http://schemas.openxmlformats.org/officeDocument/2006/relationships/hyperlink" Target="https://www.ecfr.gov/current/title-50/section-679.21" TargetMode="External"/><Relationship Id="rId10" Type="http://schemas.openxmlformats.org/officeDocument/2006/relationships/theme" Target="theme/theme1.xml"/><Relationship Id="rId4" Type="http://schemas.openxmlformats.org/officeDocument/2006/relationships/hyperlink" Target="https://www.ecfr.gov/current/title-50/section-679.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Stram</dc:creator>
  <cp:keywords/>
  <dc:description/>
  <cp:lastModifiedBy>Diana Stram</cp:lastModifiedBy>
  <cp:revision>1</cp:revision>
  <dcterms:created xsi:type="dcterms:W3CDTF">2023-01-25T18:31:00Z</dcterms:created>
  <dcterms:modified xsi:type="dcterms:W3CDTF">2023-01-25T18:31:00Z</dcterms:modified>
</cp:coreProperties>
</file>