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A0B17" w14:textId="3EDBD3AE" w:rsidR="00023847" w:rsidRDefault="00393642" w:rsidP="00C11925">
      <w:pPr>
        <w:pStyle w:val="Title"/>
      </w:pPr>
      <w:r>
        <w:t>Report of the Community Engagement Committee</w:t>
      </w:r>
    </w:p>
    <w:p w14:paraId="74C8650B" w14:textId="73D78EB8" w:rsidR="00510D72" w:rsidRPr="00C11925" w:rsidRDefault="0011282F" w:rsidP="00C11925">
      <w:pPr>
        <w:pStyle w:val="Subtitle"/>
      </w:pPr>
      <w:r>
        <w:t>June</w:t>
      </w:r>
      <w:r w:rsidR="00393642">
        <w:t xml:space="preserve"> 20</w:t>
      </w:r>
      <w:r>
        <w:t>20</w:t>
      </w:r>
      <w:r w:rsidR="00B54E25" w:rsidRPr="00C11925">
        <w:rPr>
          <w:rStyle w:val="FootnoteReference"/>
        </w:rPr>
        <w:footnoteReference w:id="1"/>
      </w:r>
    </w:p>
    <w:p w14:paraId="46D94238" w14:textId="77777777" w:rsidR="005A7D46" w:rsidRDefault="005A7D46" w:rsidP="00510D72">
      <w:pPr>
        <w:tabs>
          <w:tab w:val="center" w:pos="4680"/>
        </w:tabs>
      </w:pPr>
    </w:p>
    <w:p w14:paraId="075C5E6A" w14:textId="13D211AF" w:rsidR="0011282F" w:rsidRDefault="001464ED">
      <w:pPr>
        <w:pStyle w:val="TOC1"/>
        <w:rPr>
          <w:rFonts w:asciiTheme="minorHAnsi" w:eastAsiaTheme="minorEastAsia" w:hAnsiTheme="minorHAnsi" w:cstheme="minorBidi"/>
          <w:bCs w:val="0"/>
          <w:iCs w:val="0"/>
          <w:sz w:val="22"/>
          <w:szCs w:val="22"/>
        </w:rPr>
      </w:pPr>
      <w:r>
        <w:rPr>
          <w:bCs w:val="0"/>
          <w:iCs w:val="0"/>
          <w:sz w:val="14"/>
        </w:rPr>
        <w:fldChar w:fldCharType="begin"/>
      </w:r>
      <w:r>
        <w:rPr>
          <w:bCs w:val="0"/>
          <w:iCs w:val="0"/>
          <w:sz w:val="14"/>
        </w:rPr>
        <w:instrText xml:space="preserve"> TOC \o "1-2" \h \z \u </w:instrText>
      </w:r>
      <w:r>
        <w:rPr>
          <w:bCs w:val="0"/>
          <w:iCs w:val="0"/>
          <w:sz w:val="14"/>
        </w:rPr>
        <w:fldChar w:fldCharType="separate"/>
      </w:r>
      <w:hyperlink w:anchor="_Toc33792802" w:history="1">
        <w:r w:rsidR="0011282F" w:rsidRPr="00A22BC2">
          <w:rPr>
            <w:rStyle w:val="Hyperlink"/>
          </w:rPr>
          <w:t>1</w:t>
        </w:r>
        <w:r w:rsidR="0011282F">
          <w:rPr>
            <w:rFonts w:asciiTheme="minorHAnsi" w:eastAsiaTheme="minorEastAsia" w:hAnsiTheme="minorHAnsi" w:cstheme="minorBidi"/>
            <w:bCs w:val="0"/>
            <w:iCs w:val="0"/>
            <w:sz w:val="22"/>
            <w:szCs w:val="22"/>
          </w:rPr>
          <w:tab/>
        </w:r>
        <w:r w:rsidR="0011282F" w:rsidRPr="00A22BC2">
          <w:rPr>
            <w:rStyle w:val="Hyperlink"/>
          </w:rPr>
          <w:t>Introduction</w:t>
        </w:r>
        <w:r w:rsidR="0011282F">
          <w:rPr>
            <w:webHidden/>
          </w:rPr>
          <w:tab/>
        </w:r>
        <w:r w:rsidR="0011282F">
          <w:rPr>
            <w:webHidden/>
          </w:rPr>
          <w:fldChar w:fldCharType="begin"/>
        </w:r>
        <w:r w:rsidR="0011282F">
          <w:rPr>
            <w:webHidden/>
          </w:rPr>
          <w:instrText xml:space="preserve"> PAGEREF _Toc33792802 \h </w:instrText>
        </w:r>
        <w:r w:rsidR="0011282F">
          <w:rPr>
            <w:webHidden/>
          </w:rPr>
        </w:r>
        <w:r w:rsidR="0011282F">
          <w:rPr>
            <w:webHidden/>
          </w:rPr>
          <w:fldChar w:fldCharType="separate"/>
        </w:r>
        <w:r w:rsidR="0011282F">
          <w:rPr>
            <w:webHidden/>
          </w:rPr>
          <w:t>1</w:t>
        </w:r>
        <w:r w:rsidR="0011282F">
          <w:rPr>
            <w:webHidden/>
          </w:rPr>
          <w:fldChar w:fldCharType="end"/>
        </w:r>
      </w:hyperlink>
    </w:p>
    <w:p w14:paraId="7D9EBBFB" w14:textId="002102EA" w:rsidR="0011282F" w:rsidRDefault="00DD55AA">
      <w:pPr>
        <w:pStyle w:val="TOC1"/>
        <w:rPr>
          <w:rFonts w:asciiTheme="minorHAnsi" w:eastAsiaTheme="minorEastAsia" w:hAnsiTheme="minorHAnsi" w:cstheme="minorBidi"/>
          <w:bCs w:val="0"/>
          <w:iCs w:val="0"/>
          <w:sz w:val="22"/>
          <w:szCs w:val="22"/>
        </w:rPr>
      </w:pPr>
      <w:hyperlink w:anchor="_Toc33792803" w:history="1">
        <w:r w:rsidR="0011282F" w:rsidRPr="00A22BC2">
          <w:rPr>
            <w:rStyle w:val="Hyperlink"/>
          </w:rPr>
          <w:t>2</w:t>
        </w:r>
        <w:r w:rsidR="0011282F">
          <w:rPr>
            <w:rFonts w:asciiTheme="minorHAnsi" w:eastAsiaTheme="minorEastAsia" w:hAnsiTheme="minorHAnsi" w:cstheme="minorBidi"/>
            <w:bCs w:val="0"/>
            <w:iCs w:val="0"/>
            <w:sz w:val="22"/>
            <w:szCs w:val="22"/>
          </w:rPr>
          <w:tab/>
        </w:r>
        <w:r w:rsidR="0011282F" w:rsidRPr="00A22BC2">
          <w:rPr>
            <w:rStyle w:val="Hyperlink"/>
          </w:rPr>
          <w:t>Meetings</w:t>
        </w:r>
        <w:r w:rsidR="0011282F">
          <w:rPr>
            <w:webHidden/>
          </w:rPr>
          <w:tab/>
        </w:r>
        <w:r w:rsidR="0011282F">
          <w:rPr>
            <w:webHidden/>
          </w:rPr>
          <w:fldChar w:fldCharType="begin"/>
        </w:r>
        <w:r w:rsidR="0011282F">
          <w:rPr>
            <w:webHidden/>
          </w:rPr>
          <w:instrText xml:space="preserve"> PAGEREF _Toc33792803 \h </w:instrText>
        </w:r>
        <w:r w:rsidR="0011282F">
          <w:rPr>
            <w:webHidden/>
          </w:rPr>
        </w:r>
        <w:r w:rsidR="0011282F">
          <w:rPr>
            <w:webHidden/>
          </w:rPr>
          <w:fldChar w:fldCharType="separate"/>
        </w:r>
        <w:r w:rsidR="0011282F">
          <w:rPr>
            <w:webHidden/>
          </w:rPr>
          <w:t>2</w:t>
        </w:r>
        <w:r w:rsidR="0011282F">
          <w:rPr>
            <w:webHidden/>
          </w:rPr>
          <w:fldChar w:fldCharType="end"/>
        </w:r>
      </w:hyperlink>
    </w:p>
    <w:p w14:paraId="4D9E8438" w14:textId="03EC4202" w:rsidR="0011282F" w:rsidRDefault="00DD55AA">
      <w:pPr>
        <w:pStyle w:val="TOC1"/>
        <w:rPr>
          <w:rFonts w:asciiTheme="minorHAnsi" w:eastAsiaTheme="minorEastAsia" w:hAnsiTheme="minorHAnsi" w:cstheme="minorBidi"/>
          <w:bCs w:val="0"/>
          <w:iCs w:val="0"/>
          <w:sz w:val="22"/>
          <w:szCs w:val="22"/>
        </w:rPr>
      </w:pPr>
      <w:hyperlink w:anchor="_Toc33792804" w:history="1">
        <w:r w:rsidR="0011282F" w:rsidRPr="00A22BC2">
          <w:rPr>
            <w:rStyle w:val="Hyperlink"/>
          </w:rPr>
          <w:t>3</w:t>
        </w:r>
        <w:r w:rsidR="0011282F">
          <w:rPr>
            <w:rFonts w:asciiTheme="minorHAnsi" w:eastAsiaTheme="minorEastAsia" w:hAnsiTheme="minorHAnsi" w:cstheme="minorBidi"/>
            <w:bCs w:val="0"/>
            <w:iCs w:val="0"/>
            <w:sz w:val="22"/>
            <w:szCs w:val="22"/>
          </w:rPr>
          <w:tab/>
        </w:r>
        <w:r w:rsidR="0011282F" w:rsidRPr="00A22BC2">
          <w:rPr>
            <w:rStyle w:val="Hyperlink"/>
          </w:rPr>
          <w:t>Potential tools and strategies to improve engagement</w:t>
        </w:r>
        <w:r w:rsidR="0011282F">
          <w:rPr>
            <w:webHidden/>
          </w:rPr>
          <w:tab/>
        </w:r>
        <w:r w:rsidR="0011282F">
          <w:rPr>
            <w:webHidden/>
          </w:rPr>
          <w:fldChar w:fldCharType="begin"/>
        </w:r>
        <w:r w:rsidR="0011282F">
          <w:rPr>
            <w:webHidden/>
          </w:rPr>
          <w:instrText xml:space="preserve"> PAGEREF _Toc33792804 \h </w:instrText>
        </w:r>
        <w:r w:rsidR="0011282F">
          <w:rPr>
            <w:webHidden/>
          </w:rPr>
        </w:r>
        <w:r w:rsidR="0011282F">
          <w:rPr>
            <w:webHidden/>
          </w:rPr>
          <w:fldChar w:fldCharType="separate"/>
        </w:r>
        <w:r w:rsidR="0011282F">
          <w:rPr>
            <w:webHidden/>
          </w:rPr>
          <w:t>2</w:t>
        </w:r>
        <w:r w:rsidR="0011282F">
          <w:rPr>
            <w:webHidden/>
          </w:rPr>
          <w:fldChar w:fldCharType="end"/>
        </w:r>
      </w:hyperlink>
    </w:p>
    <w:p w14:paraId="554331E2" w14:textId="7C179715" w:rsidR="0011282F" w:rsidRDefault="00DD55AA">
      <w:pPr>
        <w:pStyle w:val="TOC2"/>
        <w:rPr>
          <w:rFonts w:asciiTheme="minorHAnsi" w:eastAsiaTheme="minorEastAsia" w:hAnsiTheme="minorHAnsi" w:cstheme="minorBidi"/>
          <w:bCs w:val="0"/>
          <w:sz w:val="22"/>
        </w:rPr>
      </w:pPr>
      <w:hyperlink w:anchor="_Toc33792805" w:history="1">
        <w:r w:rsidR="0011282F" w:rsidRPr="00A22BC2">
          <w:rPr>
            <w:rStyle w:val="Hyperlink"/>
          </w:rPr>
          <w:t>3.1</w:t>
        </w:r>
        <w:r w:rsidR="0011282F">
          <w:rPr>
            <w:rFonts w:asciiTheme="minorHAnsi" w:eastAsiaTheme="minorEastAsia" w:hAnsiTheme="minorHAnsi" w:cstheme="minorBidi"/>
            <w:bCs w:val="0"/>
            <w:sz w:val="22"/>
          </w:rPr>
          <w:tab/>
        </w:r>
        <w:r w:rsidR="0011282F" w:rsidRPr="00A22BC2">
          <w:rPr>
            <w:rStyle w:val="Hyperlink"/>
          </w:rPr>
          <w:t>Tribal and Rural Community Liaison</w:t>
        </w:r>
        <w:r w:rsidR="0011282F">
          <w:rPr>
            <w:webHidden/>
          </w:rPr>
          <w:tab/>
        </w:r>
        <w:r w:rsidR="0011282F">
          <w:rPr>
            <w:webHidden/>
          </w:rPr>
          <w:fldChar w:fldCharType="begin"/>
        </w:r>
        <w:r w:rsidR="0011282F">
          <w:rPr>
            <w:webHidden/>
          </w:rPr>
          <w:instrText xml:space="preserve"> PAGEREF _Toc33792805 \h </w:instrText>
        </w:r>
        <w:r w:rsidR="0011282F">
          <w:rPr>
            <w:webHidden/>
          </w:rPr>
        </w:r>
        <w:r w:rsidR="0011282F">
          <w:rPr>
            <w:webHidden/>
          </w:rPr>
          <w:fldChar w:fldCharType="separate"/>
        </w:r>
        <w:r w:rsidR="0011282F">
          <w:rPr>
            <w:webHidden/>
          </w:rPr>
          <w:t>3</w:t>
        </w:r>
        <w:r w:rsidR="0011282F">
          <w:rPr>
            <w:webHidden/>
          </w:rPr>
          <w:fldChar w:fldCharType="end"/>
        </w:r>
      </w:hyperlink>
    </w:p>
    <w:p w14:paraId="0DDD8744" w14:textId="6F7E51DE" w:rsidR="0011282F" w:rsidRDefault="00DD55AA">
      <w:pPr>
        <w:pStyle w:val="TOC2"/>
        <w:rPr>
          <w:rFonts w:asciiTheme="minorHAnsi" w:eastAsiaTheme="minorEastAsia" w:hAnsiTheme="minorHAnsi" w:cstheme="minorBidi"/>
          <w:bCs w:val="0"/>
          <w:sz w:val="22"/>
        </w:rPr>
      </w:pPr>
      <w:hyperlink w:anchor="_Toc33792806" w:history="1">
        <w:r w:rsidR="0011282F" w:rsidRPr="00A22BC2">
          <w:rPr>
            <w:rStyle w:val="Hyperlink"/>
          </w:rPr>
          <w:t>3.2</w:t>
        </w:r>
        <w:r w:rsidR="0011282F">
          <w:rPr>
            <w:rFonts w:asciiTheme="minorHAnsi" w:eastAsiaTheme="minorEastAsia" w:hAnsiTheme="minorHAnsi" w:cstheme="minorBidi"/>
            <w:bCs w:val="0"/>
            <w:sz w:val="22"/>
          </w:rPr>
          <w:tab/>
        </w:r>
        <w:r w:rsidR="0011282F" w:rsidRPr="00A22BC2">
          <w:rPr>
            <w:rStyle w:val="Hyperlink"/>
          </w:rPr>
          <w:t>Co-presentation from Tribal representatives on all agenda items</w:t>
        </w:r>
        <w:r w:rsidR="0011282F">
          <w:rPr>
            <w:webHidden/>
          </w:rPr>
          <w:tab/>
        </w:r>
        <w:r w:rsidR="0011282F">
          <w:rPr>
            <w:webHidden/>
          </w:rPr>
          <w:fldChar w:fldCharType="begin"/>
        </w:r>
        <w:r w:rsidR="0011282F">
          <w:rPr>
            <w:webHidden/>
          </w:rPr>
          <w:instrText xml:space="preserve"> PAGEREF _Toc33792806 \h </w:instrText>
        </w:r>
        <w:r w:rsidR="0011282F">
          <w:rPr>
            <w:webHidden/>
          </w:rPr>
        </w:r>
        <w:r w:rsidR="0011282F">
          <w:rPr>
            <w:webHidden/>
          </w:rPr>
          <w:fldChar w:fldCharType="separate"/>
        </w:r>
        <w:r w:rsidR="0011282F">
          <w:rPr>
            <w:webHidden/>
          </w:rPr>
          <w:t>3</w:t>
        </w:r>
        <w:r w:rsidR="0011282F">
          <w:rPr>
            <w:webHidden/>
          </w:rPr>
          <w:fldChar w:fldCharType="end"/>
        </w:r>
      </w:hyperlink>
    </w:p>
    <w:p w14:paraId="069AFF38" w14:textId="7B260107" w:rsidR="0011282F" w:rsidRDefault="00DD55AA">
      <w:pPr>
        <w:pStyle w:val="TOC2"/>
        <w:rPr>
          <w:rFonts w:asciiTheme="minorHAnsi" w:eastAsiaTheme="minorEastAsia" w:hAnsiTheme="minorHAnsi" w:cstheme="minorBidi"/>
          <w:bCs w:val="0"/>
          <w:sz w:val="22"/>
        </w:rPr>
      </w:pPr>
      <w:hyperlink w:anchor="_Toc33792807" w:history="1">
        <w:r w:rsidR="0011282F" w:rsidRPr="00A22BC2">
          <w:rPr>
            <w:rStyle w:val="Hyperlink"/>
          </w:rPr>
          <w:t>3.3</w:t>
        </w:r>
        <w:r w:rsidR="0011282F">
          <w:rPr>
            <w:rFonts w:asciiTheme="minorHAnsi" w:eastAsiaTheme="minorEastAsia" w:hAnsiTheme="minorHAnsi" w:cstheme="minorBidi"/>
            <w:bCs w:val="0"/>
            <w:sz w:val="22"/>
          </w:rPr>
          <w:tab/>
        </w:r>
        <w:r w:rsidR="0011282F" w:rsidRPr="00A22BC2">
          <w:rPr>
            <w:rStyle w:val="Hyperlink"/>
          </w:rPr>
          <w:t>Standing Community Engagement of Tribal Advisory Committee</w:t>
        </w:r>
        <w:r w:rsidR="0011282F">
          <w:rPr>
            <w:webHidden/>
          </w:rPr>
          <w:tab/>
        </w:r>
        <w:r w:rsidR="0011282F">
          <w:rPr>
            <w:webHidden/>
          </w:rPr>
          <w:fldChar w:fldCharType="begin"/>
        </w:r>
        <w:r w:rsidR="0011282F">
          <w:rPr>
            <w:webHidden/>
          </w:rPr>
          <w:instrText xml:space="preserve"> PAGEREF _Toc33792807 \h </w:instrText>
        </w:r>
        <w:r w:rsidR="0011282F">
          <w:rPr>
            <w:webHidden/>
          </w:rPr>
        </w:r>
        <w:r w:rsidR="0011282F">
          <w:rPr>
            <w:webHidden/>
          </w:rPr>
          <w:fldChar w:fldCharType="separate"/>
        </w:r>
        <w:r w:rsidR="0011282F">
          <w:rPr>
            <w:webHidden/>
          </w:rPr>
          <w:t>3</w:t>
        </w:r>
        <w:r w:rsidR="0011282F">
          <w:rPr>
            <w:webHidden/>
          </w:rPr>
          <w:fldChar w:fldCharType="end"/>
        </w:r>
      </w:hyperlink>
    </w:p>
    <w:p w14:paraId="033DADB6" w14:textId="6E3DF7BC" w:rsidR="0011282F" w:rsidRDefault="00DD55AA">
      <w:pPr>
        <w:pStyle w:val="TOC2"/>
        <w:rPr>
          <w:rFonts w:asciiTheme="minorHAnsi" w:eastAsiaTheme="minorEastAsia" w:hAnsiTheme="minorHAnsi" w:cstheme="minorBidi"/>
          <w:bCs w:val="0"/>
          <w:sz w:val="22"/>
        </w:rPr>
      </w:pPr>
      <w:hyperlink w:anchor="_Toc33792808" w:history="1">
        <w:r w:rsidR="0011282F" w:rsidRPr="00A22BC2">
          <w:rPr>
            <w:rStyle w:val="Hyperlink"/>
          </w:rPr>
          <w:t>3.4</w:t>
        </w:r>
        <w:r w:rsidR="0011282F">
          <w:rPr>
            <w:rFonts w:asciiTheme="minorHAnsi" w:eastAsiaTheme="minorEastAsia" w:hAnsiTheme="minorHAnsi" w:cstheme="minorBidi"/>
            <w:bCs w:val="0"/>
            <w:sz w:val="22"/>
          </w:rPr>
          <w:tab/>
        </w:r>
        <w:r w:rsidR="0011282F" w:rsidRPr="00A22BC2">
          <w:rPr>
            <w:rStyle w:val="Hyperlink"/>
          </w:rPr>
          <w:t>Tribal Consultation</w:t>
        </w:r>
        <w:r w:rsidR="0011282F">
          <w:rPr>
            <w:webHidden/>
          </w:rPr>
          <w:tab/>
        </w:r>
        <w:r w:rsidR="0011282F">
          <w:rPr>
            <w:webHidden/>
          </w:rPr>
          <w:fldChar w:fldCharType="begin"/>
        </w:r>
        <w:r w:rsidR="0011282F">
          <w:rPr>
            <w:webHidden/>
          </w:rPr>
          <w:instrText xml:space="preserve"> PAGEREF _Toc33792808 \h </w:instrText>
        </w:r>
        <w:r w:rsidR="0011282F">
          <w:rPr>
            <w:webHidden/>
          </w:rPr>
        </w:r>
        <w:r w:rsidR="0011282F">
          <w:rPr>
            <w:webHidden/>
          </w:rPr>
          <w:fldChar w:fldCharType="separate"/>
        </w:r>
        <w:r w:rsidR="0011282F">
          <w:rPr>
            <w:webHidden/>
          </w:rPr>
          <w:t>4</w:t>
        </w:r>
        <w:r w:rsidR="0011282F">
          <w:rPr>
            <w:webHidden/>
          </w:rPr>
          <w:fldChar w:fldCharType="end"/>
        </w:r>
      </w:hyperlink>
    </w:p>
    <w:p w14:paraId="703DD297" w14:textId="3CA74E45" w:rsidR="0011282F" w:rsidRDefault="00DD55AA">
      <w:pPr>
        <w:pStyle w:val="TOC2"/>
        <w:rPr>
          <w:rFonts w:asciiTheme="minorHAnsi" w:eastAsiaTheme="minorEastAsia" w:hAnsiTheme="minorHAnsi" w:cstheme="minorBidi"/>
          <w:bCs w:val="0"/>
          <w:sz w:val="22"/>
        </w:rPr>
      </w:pPr>
      <w:hyperlink w:anchor="_Toc33792809" w:history="1">
        <w:r w:rsidR="0011282F" w:rsidRPr="00A22BC2">
          <w:rPr>
            <w:rStyle w:val="Hyperlink"/>
          </w:rPr>
          <w:t>3.5</w:t>
        </w:r>
        <w:r w:rsidR="0011282F">
          <w:rPr>
            <w:rFonts w:asciiTheme="minorHAnsi" w:eastAsiaTheme="minorEastAsia" w:hAnsiTheme="minorHAnsi" w:cstheme="minorBidi"/>
            <w:bCs w:val="0"/>
            <w:sz w:val="22"/>
          </w:rPr>
          <w:tab/>
        </w:r>
        <w:r w:rsidR="0011282F" w:rsidRPr="00A22BC2">
          <w:rPr>
            <w:rStyle w:val="Hyperlink"/>
          </w:rPr>
          <w:t>Public Testimony</w:t>
        </w:r>
        <w:r w:rsidR="0011282F">
          <w:rPr>
            <w:webHidden/>
          </w:rPr>
          <w:tab/>
        </w:r>
        <w:r w:rsidR="0011282F">
          <w:rPr>
            <w:webHidden/>
          </w:rPr>
          <w:fldChar w:fldCharType="begin"/>
        </w:r>
        <w:r w:rsidR="0011282F">
          <w:rPr>
            <w:webHidden/>
          </w:rPr>
          <w:instrText xml:space="preserve"> PAGEREF _Toc33792809 \h </w:instrText>
        </w:r>
        <w:r w:rsidR="0011282F">
          <w:rPr>
            <w:webHidden/>
          </w:rPr>
        </w:r>
        <w:r w:rsidR="0011282F">
          <w:rPr>
            <w:webHidden/>
          </w:rPr>
          <w:fldChar w:fldCharType="separate"/>
        </w:r>
        <w:r w:rsidR="0011282F">
          <w:rPr>
            <w:webHidden/>
          </w:rPr>
          <w:t>4</w:t>
        </w:r>
        <w:r w:rsidR="0011282F">
          <w:rPr>
            <w:webHidden/>
          </w:rPr>
          <w:fldChar w:fldCharType="end"/>
        </w:r>
      </w:hyperlink>
    </w:p>
    <w:p w14:paraId="0EC4E2E5" w14:textId="632BFB5C" w:rsidR="0011282F" w:rsidRDefault="00DD55AA">
      <w:pPr>
        <w:pStyle w:val="TOC2"/>
        <w:rPr>
          <w:rFonts w:asciiTheme="minorHAnsi" w:eastAsiaTheme="minorEastAsia" w:hAnsiTheme="minorHAnsi" w:cstheme="minorBidi"/>
          <w:bCs w:val="0"/>
          <w:sz w:val="22"/>
        </w:rPr>
      </w:pPr>
      <w:hyperlink w:anchor="_Toc33792810" w:history="1">
        <w:r w:rsidR="0011282F" w:rsidRPr="00A22BC2">
          <w:rPr>
            <w:rStyle w:val="Hyperlink"/>
          </w:rPr>
          <w:t>3.6</w:t>
        </w:r>
        <w:r w:rsidR="0011282F">
          <w:rPr>
            <w:rFonts w:asciiTheme="minorHAnsi" w:eastAsiaTheme="minorEastAsia" w:hAnsiTheme="minorHAnsi" w:cstheme="minorBidi"/>
            <w:bCs w:val="0"/>
            <w:sz w:val="22"/>
          </w:rPr>
          <w:tab/>
        </w:r>
        <w:r w:rsidR="0011282F" w:rsidRPr="00A22BC2">
          <w:rPr>
            <w:rStyle w:val="Hyperlink"/>
          </w:rPr>
          <w:t>Travel support</w:t>
        </w:r>
        <w:r w:rsidR="0011282F">
          <w:rPr>
            <w:webHidden/>
          </w:rPr>
          <w:tab/>
        </w:r>
        <w:r w:rsidR="0011282F">
          <w:rPr>
            <w:webHidden/>
          </w:rPr>
          <w:fldChar w:fldCharType="begin"/>
        </w:r>
        <w:r w:rsidR="0011282F">
          <w:rPr>
            <w:webHidden/>
          </w:rPr>
          <w:instrText xml:space="preserve"> PAGEREF _Toc33792810 \h </w:instrText>
        </w:r>
        <w:r w:rsidR="0011282F">
          <w:rPr>
            <w:webHidden/>
          </w:rPr>
        </w:r>
        <w:r w:rsidR="0011282F">
          <w:rPr>
            <w:webHidden/>
          </w:rPr>
          <w:fldChar w:fldCharType="separate"/>
        </w:r>
        <w:r w:rsidR="0011282F">
          <w:rPr>
            <w:webHidden/>
          </w:rPr>
          <w:t>5</w:t>
        </w:r>
        <w:r w:rsidR="0011282F">
          <w:rPr>
            <w:webHidden/>
          </w:rPr>
          <w:fldChar w:fldCharType="end"/>
        </w:r>
      </w:hyperlink>
    </w:p>
    <w:p w14:paraId="3241354C" w14:textId="42AA7FB5" w:rsidR="0011282F" w:rsidRDefault="00DD55AA">
      <w:pPr>
        <w:pStyle w:val="TOC2"/>
        <w:rPr>
          <w:rFonts w:asciiTheme="minorHAnsi" w:eastAsiaTheme="minorEastAsia" w:hAnsiTheme="minorHAnsi" w:cstheme="minorBidi"/>
          <w:bCs w:val="0"/>
          <w:sz w:val="22"/>
        </w:rPr>
      </w:pPr>
      <w:hyperlink w:anchor="_Toc33792811" w:history="1">
        <w:r w:rsidR="0011282F" w:rsidRPr="00A22BC2">
          <w:rPr>
            <w:rStyle w:val="Hyperlink"/>
          </w:rPr>
          <w:t>3.7</w:t>
        </w:r>
        <w:r w:rsidR="0011282F">
          <w:rPr>
            <w:rFonts w:asciiTheme="minorHAnsi" w:eastAsiaTheme="minorEastAsia" w:hAnsiTheme="minorHAnsi" w:cstheme="minorBidi"/>
            <w:bCs w:val="0"/>
            <w:sz w:val="22"/>
          </w:rPr>
          <w:tab/>
        </w:r>
        <w:r w:rsidR="0011282F" w:rsidRPr="00A22BC2">
          <w:rPr>
            <w:rStyle w:val="Hyperlink"/>
          </w:rPr>
          <w:t>Council travel to rural communities</w:t>
        </w:r>
        <w:r w:rsidR="0011282F">
          <w:rPr>
            <w:webHidden/>
          </w:rPr>
          <w:tab/>
        </w:r>
        <w:r w:rsidR="0011282F">
          <w:rPr>
            <w:webHidden/>
          </w:rPr>
          <w:fldChar w:fldCharType="begin"/>
        </w:r>
        <w:r w:rsidR="0011282F">
          <w:rPr>
            <w:webHidden/>
          </w:rPr>
          <w:instrText xml:space="preserve"> PAGEREF _Toc33792811 \h </w:instrText>
        </w:r>
        <w:r w:rsidR="0011282F">
          <w:rPr>
            <w:webHidden/>
          </w:rPr>
        </w:r>
        <w:r w:rsidR="0011282F">
          <w:rPr>
            <w:webHidden/>
          </w:rPr>
          <w:fldChar w:fldCharType="separate"/>
        </w:r>
        <w:r w:rsidR="0011282F">
          <w:rPr>
            <w:webHidden/>
          </w:rPr>
          <w:t>5</w:t>
        </w:r>
        <w:r w:rsidR="0011282F">
          <w:rPr>
            <w:webHidden/>
          </w:rPr>
          <w:fldChar w:fldCharType="end"/>
        </w:r>
      </w:hyperlink>
    </w:p>
    <w:p w14:paraId="0AA670BD" w14:textId="15B3F6EF" w:rsidR="0011282F" w:rsidRDefault="00DD55AA">
      <w:pPr>
        <w:pStyle w:val="TOC2"/>
        <w:rPr>
          <w:rFonts w:asciiTheme="minorHAnsi" w:eastAsiaTheme="minorEastAsia" w:hAnsiTheme="minorHAnsi" w:cstheme="minorBidi"/>
          <w:bCs w:val="0"/>
          <w:sz w:val="22"/>
        </w:rPr>
      </w:pPr>
      <w:hyperlink w:anchor="_Toc33792812" w:history="1">
        <w:r w:rsidR="0011282F" w:rsidRPr="00A22BC2">
          <w:rPr>
            <w:rStyle w:val="Hyperlink"/>
          </w:rPr>
          <w:t>3.8</w:t>
        </w:r>
        <w:r w:rsidR="0011282F">
          <w:rPr>
            <w:rFonts w:asciiTheme="minorHAnsi" w:eastAsiaTheme="minorEastAsia" w:hAnsiTheme="minorHAnsi" w:cstheme="minorBidi"/>
            <w:bCs w:val="0"/>
            <w:sz w:val="22"/>
          </w:rPr>
          <w:tab/>
        </w:r>
        <w:r w:rsidR="0011282F" w:rsidRPr="00A22BC2">
          <w:rPr>
            <w:rStyle w:val="Hyperlink"/>
          </w:rPr>
          <w:t>Measuring success of engagement efforts</w:t>
        </w:r>
        <w:r w:rsidR="0011282F">
          <w:rPr>
            <w:webHidden/>
          </w:rPr>
          <w:tab/>
        </w:r>
        <w:r w:rsidR="0011282F">
          <w:rPr>
            <w:webHidden/>
          </w:rPr>
          <w:fldChar w:fldCharType="begin"/>
        </w:r>
        <w:r w:rsidR="0011282F">
          <w:rPr>
            <w:webHidden/>
          </w:rPr>
          <w:instrText xml:space="preserve"> PAGEREF _Toc33792812 \h </w:instrText>
        </w:r>
        <w:r w:rsidR="0011282F">
          <w:rPr>
            <w:webHidden/>
          </w:rPr>
        </w:r>
        <w:r w:rsidR="0011282F">
          <w:rPr>
            <w:webHidden/>
          </w:rPr>
          <w:fldChar w:fldCharType="separate"/>
        </w:r>
        <w:r w:rsidR="0011282F">
          <w:rPr>
            <w:webHidden/>
          </w:rPr>
          <w:t>6</w:t>
        </w:r>
        <w:r w:rsidR="0011282F">
          <w:rPr>
            <w:webHidden/>
          </w:rPr>
          <w:fldChar w:fldCharType="end"/>
        </w:r>
      </w:hyperlink>
    </w:p>
    <w:p w14:paraId="2E3FCB1E" w14:textId="3CCE1A85" w:rsidR="0011282F" w:rsidRDefault="00DD55AA">
      <w:pPr>
        <w:pStyle w:val="TOC2"/>
        <w:rPr>
          <w:rFonts w:asciiTheme="minorHAnsi" w:eastAsiaTheme="minorEastAsia" w:hAnsiTheme="minorHAnsi" w:cstheme="minorBidi"/>
          <w:bCs w:val="0"/>
          <w:sz w:val="22"/>
        </w:rPr>
      </w:pPr>
      <w:hyperlink w:anchor="_Toc33792813" w:history="1">
        <w:r w:rsidR="0011282F" w:rsidRPr="00A22BC2">
          <w:rPr>
            <w:rStyle w:val="Hyperlink"/>
          </w:rPr>
          <w:t>3.9</w:t>
        </w:r>
        <w:r w:rsidR="0011282F">
          <w:rPr>
            <w:rFonts w:asciiTheme="minorHAnsi" w:eastAsiaTheme="minorEastAsia" w:hAnsiTheme="minorHAnsi" w:cstheme="minorBidi"/>
            <w:bCs w:val="0"/>
            <w:sz w:val="22"/>
          </w:rPr>
          <w:tab/>
        </w:r>
        <w:r w:rsidR="0011282F" w:rsidRPr="00A22BC2">
          <w:rPr>
            <w:rStyle w:val="Hyperlink"/>
          </w:rPr>
          <w:t>Outreach</w:t>
        </w:r>
        <w:r w:rsidR="0011282F">
          <w:rPr>
            <w:webHidden/>
          </w:rPr>
          <w:tab/>
        </w:r>
        <w:r w:rsidR="0011282F">
          <w:rPr>
            <w:webHidden/>
          </w:rPr>
          <w:fldChar w:fldCharType="begin"/>
        </w:r>
        <w:r w:rsidR="0011282F">
          <w:rPr>
            <w:webHidden/>
          </w:rPr>
          <w:instrText xml:space="preserve"> PAGEREF _Toc33792813 \h </w:instrText>
        </w:r>
        <w:r w:rsidR="0011282F">
          <w:rPr>
            <w:webHidden/>
          </w:rPr>
        </w:r>
        <w:r w:rsidR="0011282F">
          <w:rPr>
            <w:webHidden/>
          </w:rPr>
          <w:fldChar w:fldCharType="separate"/>
        </w:r>
        <w:r w:rsidR="0011282F">
          <w:rPr>
            <w:webHidden/>
          </w:rPr>
          <w:t>6</w:t>
        </w:r>
        <w:r w:rsidR="0011282F">
          <w:rPr>
            <w:webHidden/>
          </w:rPr>
          <w:fldChar w:fldCharType="end"/>
        </w:r>
      </w:hyperlink>
    </w:p>
    <w:p w14:paraId="60600A2C" w14:textId="757CD824" w:rsidR="0011282F" w:rsidRDefault="00DD55AA">
      <w:pPr>
        <w:pStyle w:val="TOC2"/>
        <w:rPr>
          <w:rFonts w:asciiTheme="minorHAnsi" w:eastAsiaTheme="minorEastAsia" w:hAnsiTheme="minorHAnsi" w:cstheme="minorBidi"/>
          <w:bCs w:val="0"/>
          <w:sz w:val="22"/>
        </w:rPr>
      </w:pPr>
      <w:hyperlink w:anchor="_Toc33792814" w:history="1">
        <w:r w:rsidR="0011282F" w:rsidRPr="00A22BC2">
          <w:rPr>
            <w:rStyle w:val="Hyperlink"/>
          </w:rPr>
          <w:t>3.10</w:t>
        </w:r>
        <w:r w:rsidR="0011282F">
          <w:rPr>
            <w:rFonts w:asciiTheme="minorHAnsi" w:eastAsiaTheme="minorEastAsia" w:hAnsiTheme="minorHAnsi" w:cstheme="minorBidi"/>
            <w:bCs w:val="0"/>
            <w:sz w:val="22"/>
          </w:rPr>
          <w:tab/>
        </w:r>
        <w:r w:rsidR="0011282F" w:rsidRPr="00A22BC2">
          <w:rPr>
            <w:rStyle w:val="Hyperlink"/>
          </w:rPr>
          <w:t>Public Comment</w:t>
        </w:r>
        <w:r w:rsidR="0011282F">
          <w:rPr>
            <w:webHidden/>
          </w:rPr>
          <w:tab/>
        </w:r>
        <w:r w:rsidR="0011282F">
          <w:rPr>
            <w:webHidden/>
          </w:rPr>
          <w:fldChar w:fldCharType="begin"/>
        </w:r>
        <w:r w:rsidR="0011282F">
          <w:rPr>
            <w:webHidden/>
          </w:rPr>
          <w:instrText xml:space="preserve"> PAGEREF _Toc33792814 \h </w:instrText>
        </w:r>
        <w:r w:rsidR="0011282F">
          <w:rPr>
            <w:webHidden/>
          </w:rPr>
        </w:r>
        <w:r w:rsidR="0011282F">
          <w:rPr>
            <w:webHidden/>
          </w:rPr>
          <w:fldChar w:fldCharType="separate"/>
        </w:r>
        <w:r w:rsidR="0011282F">
          <w:rPr>
            <w:webHidden/>
          </w:rPr>
          <w:t>7</w:t>
        </w:r>
        <w:r w:rsidR="0011282F">
          <w:rPr>
            <w:webHidden/>
          </w:rPr>
          <w:fldChar w:fldCharType="end"/>
        </w:r>
      </w:hyperlink>
    </w:p>
    <w:p w14:paraId="5F7336BD" w14:textId="3D5E8AB9" w:rsidR="0011282F" w:rsidRDefault="00DD55AA">
      <w:pPr>
        <w:pStyle w:val="TOC2"/>
        <w:rPr>
          <w:rFonts w:asciiTheme="minorHAnsi" w:eastAsiaTheme="minorEastAsia" w:hAnsiTheme="minorHAnsi" w:cstheme="minorBidi"/>
          <w:bCs w:val="0"/>
          <w:sz w:val="22"/>
        </w:rPr>
      </w:pPr>
      <w:hyperlink w:anchor="_Toc33792815" w:history="1">
        <w:r w:rsidR="0011282F" w:rsidRPr="00A22BC2">
          <w:rPr>
            <w:rStyle w:val="Hyperlink"/>
          </w:rPr>
          <w:t>3.11</w:t>
        </w:r>
        <w:r w:rsidR="0011282F">
          <w:rPr>
            <w:rFonts w:asciiTheme="minorHAnsi" w:eastAsiaTheme="minorEastAsia" w:hAnsiTheme="minorHAnsi" w:cstheme="minorBidi"/>
            <w:bCs w:val="0"/>
            <w:sz w:val="22"/>
          </w:rPr>
          <w:tab/>
        </w:r>
        <w:r w:rsidR="0011282F" w:rsidRPr="00A22BC2">
          <w:rPr>
            <w:rStyle w:val="Hyperlink"/>
          </w:rPr>
          <w:t>Recording all Council and advisory body meetings</w:t>
        </w:r>
        <w:r w:rsidR="0011282F">
          <w:rPr>
            <w:webHidden/>
          </w:rPr>
          <w:tab/>
        </w:r>
        <w:r w:rsidR="0011282F">
          <w:rPr>
            <w:webHidden/>
          </w:rPr>
          <w:fldChar w:fldCharType="begin"/>
        </w:r>
        <w:r w:rsidR="0011282F">
          <w:rPr>
            <w:webHidden/>
          </w:rPr>
          <w:instrText xml:space="preserve"> PAGEREF _Toc33792815 \h </w:instrText>
        </w:r>
        <w:r w:rsidR="0011282F">
          <w:rPr>
            <w:webHidden/>
          </w:rPr>
        </w:r>
        <w:r w:rsidR="0011282F">
          <w:rPr>
            <w:webHidden/>
          </w:rPr>
          <w:fldChar w:fldCharType="separate"/>
        </w:r>
        <w:r w:rsidR="0011282F">
          <w:rPr>
            <w:webHidden/>
          </w:rPr>
          <w:t>7</w:t>
        </w:r>
        <w:r w:rsidR="0011282F">
          <w:rPr>
            <w:webHidden/>
          </w:rPr>
          <w:fldChar w:fldCharType="end"/>
        </w:r>
      </w:hyperlink>
    </w:p>
    <w:p w14:paraId="6207DB0E" w14:textId="7614E0D3" w:rsidR="0011282F" w:rsidRDefault="00DD55AA">
      <w:pPr>
        <w:pStyle w:val="TOC2"/>
        <w:rPr>
          <w:rFonts w:asciiTheme="minorHAnsi" w:eastAsiaTheme="minorEastAsia" w:hAnsiTheme="minorHAnsi" w:cstheme="minorBidi"/>
          <w:bCs w:val="0"/>
          <w:sz w:val="22"/>
        </w:rPr>
      </w:pPr>
      <w:hyperlink w:anchor="_Toc33792816" w:history="1">
        <w:r w:rsidR="0011282F" w:rsidRPr="00A22BC2">
          <w:rPr>
            <w:rStyle w:val="Hyperlink"/>
          </w:rPr>
          <w:t>3.12</w:t>
        </w:r>
        <w:r w:rsidR="0011282F">
          <w:rPr>
            <w:rFonts w:asciiTheme="minorHAnsi" w:eastAsiaTheme="minorEastAsia" w:hAnsiTheme="minorHAnsi" w:cstheme="minorBidi"/>
            <w:bCs w:val="0"/>
            <w:sz w:val="22"/>
          </w:rPr>
          <w:tab/>
        </w:r>
        <w:r w:rsidR="0011282F" w:rsidRPr="00A22BC2">
          <w:rPr>
            <w:rStyle w:val="Hyperlink"/>
          </w:rPr>
          <w:t>Cultural Awareness training</w:t>
        </w:r>
        <w:r w:rsidR="0011282F">
          <w:rPr>
            <w:webHidden/>
          </w:rPr>
          <w:tab/>
        </w:r>
        <w:r w:rsidR="0011282F">
          <w:rPr>
            <w:webHidden/>
          </w:rPr>
          <w:fldChar w:fldCharType="begin"/>
        </w:r>
        <w:r w:rsidR="0011282F">
          <w:rPr>
            <w:webHidden/>
          </w:rPr>
          <w:instrText xml:space="preserve"> PAGEREF _Toc33792816 \h </w:instrText>
        </w:r>
        <w:r w:rsidR="0011282F">
          <w:rPr>
            <w:webHidden/>
          </w:rPr>
        </w:r>
        <w:r w:rsidR="0011282F">
          <w:rPr>
            <w:webHidden/>
          </w:rPr>
          <w:fldChar w:fldCharType="separate"/>
        </w:r>
        <w:r w:rsidR="0011282F">
          <w:rPr>
            <w:webHidden/>
          </w:rPr>
          <w:t>7</w:t>
        </w:r>
        <w:r w:rsidR="0011282F">
          <w:rPr>
            <w:webHidden/>
          </w:rPr>
          <w:fldChar w:fldCharType="end"/>
        </w:r>
      </w:hyperlink>
    </w:p>
    <w:p w14:paraId="626BA597" w14:textId="5A7793DC" w:rsidR="0011282F" w:rsidRDefault="00DD55AA">
      <w:pPr>
        <w:pStyle w:val="TOC2"/>
        <w:rPr>
          <w:rFonts w:asciiTheme="minorHAnsi" w:eastAsiaTheme="minorEastAsia" w:hAnsiTheme="minorHAnsi" w:cstheme="minorBidi"/>
          <w:bCs w:val="0"/>
          <w:sz w:val="22"/>
        </w:rPr>
      </w:pPr>
      <w:hyperlink w:anchor="_Toc33792817" w:history="1">
        <w:r w:rsidR="0011282F" w:rsidRPr="00A22BC2">
          <w:rPr>
            <w:rStyle w:val="Hyperlink"/>
          </w:rPr>
          <w:t>3.13</w:t>
        </w:r>
        <w:r w:rsidR="0011282F">
          <w:rPr>
            <w:rFonts w:asciiTheme="minorHAnsi" w:eastAsiaTheme="minorEastAsia" w:hAnsiTheme="minorHAnsi" w:cstheme="minorBidi"/>
            <w:bCs w:val="0"/>
            <w:sz w:val="22"/>
          </w:rPr>
          <w:tab/>
        </w:r>
        <w:r w:rsidR="0011282F" w:rsidRPr="00A22BC2">
          <w:rPr>
            <w:rStyle w:val="Hyperlink"/>
          </w:rPr>
          <w:t>Co-Production of knowledge</w:t>
        </w:r>
        <w:r w:rsidR="0011282F">
          <w:rPr>
            <w:webHidden/>
          </w:rPr>
          <w:tab/>
        </w:r>
        <w:r w:rsidR="0011282F">
          <w:rPr>
            <w:webHidden/>
          </w:rPr>
          <w:fldChar w:fldCharType="begin"/>
        </w:r>
        <w:r w:rsidR="0011282F">
          <w:rPr>
            <w:webHidden/>
          </w:rPr>
          <w:instrText xml:space="preserve"> PAGEREF _Toc33792817 \h </w:instrText>
        </w:r>
        <w:r w:rsidR="0011282F">
          <w:rPr>
            <w:webHidden/>
          </w:rPr>
        </w:r>
        <w:r w:rsidR="0011282F">
          <w:rPr>
            <w:webHidden/>
          </w:rPr>
          <w:fldChar w:fldCharType="separate"/>
        </w:r>
        <w:r w:rsidR="0011282F">
          <w:rPr>
            <w:webHidden/>
          </w:rPr>
          <w:t>8</w:t>
        </w:r>
        <w:r w:rsidR="0011282F">
          <w:rPr>
            <w:webHidden/>
          </w:rPr>
          <w:fldChar w:fldCharType="end"/>
        </w:r>
      </w:hyperlink>
    </w:p>
    <w:p w14:paraId="56BC7536" w14:textId="7974E20F" w:rsidR="0011282F" w:rsidRDefault="00DD55AA">
      <w:pPr>
        <w:pStyle w:val="TOC2"/>
        <w:rPr>
          <w:rFonts w:asciiTheme="minorHAnsi" w:eastAsiaTheme="minorEastAsia" w:hAnsiTheme="minorHAnsi" w:cstheme="minorBidi"/>
          <w:bCs w:val="0"/>
          <w:sz w:val="22"/>
        </w:rPr>
      </w:pPr>
      <w:hyperlink w:anchor="_Toc33792818" w:history="1">
        <w:r w:rsidR="0011282F" w:rsidRPr="00A22BC2">
          <w:rPr>
            <w:rStyle w:val="Hyperlink"/>
          </w:rPr>
          <w:t>3.14</w:t>
        </w:r>
        <w:r w:rsidR="0011282F">
          <w:rPr>
            <w:rFonts w:asciiTheme="minorHAnsi" w:eastAsiaTheme="minorEastAsia" w:hAnsiTheme="minorHAnsi" w:cstheme="minorBidi"/>
            <w:bCs w:val="0"/>
            <w:sz w:val="22"/>
          </w:rPr>
          <w:tab/>
        </w:r>
        <w:r w:rsidR="0011282F" w:rsidRPr="00A22BC2">
          <w:rPr>
            <w:rStyle w:val="Hyperlink"/>
          </w:rPr>
          <w:t>Recognizing Tribes as governments throughout the Council process</w:t>
        </w:r>
        <w:r w:rsidR="0011282F">
          <w:rPr>
            <w:webHidden/>
          </w:rPr>
          <w:tab/>
        </w:r>
        <w:r w:rsidR="0011282F">
          <w:rPr>
            <w:webHidden/>
          </w:rPr>
          <w:fldChar w:fldCharType="begin"/>
        </w:r>
        <w:r w:rsidR="0011282F">
          <w:rPr>
            <w:webHidden/>
          </w:rPr>
          <w:instrText xml:space="preserve"> PAGEREF _Toc33792818 \h </w:instrText>
        </w:r>
        <w:r w:rsidR="0011282F">
          <w:rPr>
            <w:webHidden/>
          </w:rPr>
        </w:r>
        <w:r w:rsidR="0011282F">
          <w:rPr>
            <w:webHidden/>
          </w:rPr>
          <w:fldChar w:fldCharType="separate"/>
        </w:r>
        <w:r w:rsidR="0011282F">
          <w:rPr>
            <w:webHidden/>
          </w:rPr>
          <w:t>8</w:t>
        </w:r>
        <w:r w:rsidR="0011282F">
          <w:rPr>
            <w:webHidden/>
          </w:rPr>
          <w:fldChar w:fldCharType="end"/>
        </w:r>
      </w:hyperlink>
    </w:p>
    <w:p w14:paraId="16E96CEA" w14:textId="4249C24A" w:rsidR="0011282F" w:rsidRDefault="00DD55AA">
      <w:pPr>
        <w:pStyle w:val="TOC1"/>
        <w:rPr>
          <w:rFonts w:asciiTheme="minorHAnsi" w:eastAsiaTheme="minorEastAsia" w:hAnsiTheme="minorHAnsi" w:cstheme="minorBidi"/>
          <w:bCs w:val="0"/>
          <w:iCs w:val="0"/>
          <w:sz w:val="22"/>
          <w:szCs w:val="22"/>
        </w:rPr>
      </w:pPr>
      <w:hyperlink w:anchor="_Toc33792819" w:history="1">
        <w:r w:rsidR="0011282F" w:rsidRPr="00A22BC2">
          <w:rPr>
            <w:rStyle w:val="Hyperlink"/>
          </w:rPr>
          <w:t>4</w:t>
        </w:r>
        <w:r w:rsidR="0011282F">
          <w:rPr>
            <w:rFonts w:asciiTheme="minorHAnsi" w:eastAsiaTheme="minorEastAsia" w:hAnsiTheme="minorHAnsi" w:cstheme="minorBidi"/>
            <w:bCs w:val="0"/>
            <w:iCs w:val="0"/>
            <w:sz w:val="22"/>
            <w:szCs w:val="22"/>
          </w:rPr>
          <w:tab/>
        </w:r>
        <w:r w:rsidR="0011282F" w:rsidRPr="00A22BC2">
          <w:rPr>
            <w:rStyle w:val="Hyperlink"/>
          </w:rPr>
          <w:t>Potential constraints for the Council</w:t>
        </w:r>
        <w:r w:rsidR="0011282F">
          <w:rPr>
            <w:webHidden/>
          </w:rPr>
          <w:tab/>
        </w:r>
        <w:r w:rsidR="0011282F">
          <w:rPr>
            <w:webHidden/>
          </w:rPr>
          <w:fldChar w:fldCharType="begin"/>
        </w:r>
        <w:r w:rsidR="0011282F">
          <w:rPr>
            <w:webHidden/>
          </w:rPr>
          <w:instrText xml:space="preserve"> PAGEREF _Toc33792819 \h </w:instrText>
        </w:r>
        <w:r w:rsidR="0011282F">
          <w:rPr>
            <w:webHidden/>
          </w:rPr>
        </w:r>
        <w:r w:rsidR="0011282F">
          <w:rPr>
            <w:webHidden/>
          </w:rPr>
          <w:fldChar w:fldCharType="separate"/>
        </w:r>
        <w:r w:rsidR="0011282F">
          <w:rPr>
            <w:webHidden/>
          </w:rPr>
          <w:t>8</w:t>
        </w:r>
        <w:r w:rsidR="0011282F">
          <w:rPr>
            <w:webHidden/>
          </w:rPr>
          <w:fldChar w:fldCharType="end"/>
        </w:r>
      </w:hyperlink>
    </w:p>
    <w:p w14:paraId="14040DC0" w14:textId="0FC87C88" w:rsidR="0011282F" w:rsidRDefault="00DD55AA">
      <w:pPr>
        <w:pStyle w:val="TOC2"/>
        <w:rPr>
          <w:rFonts w:asciiTheme="minorHAnsi" w:eastAsiaTheme="minorEastAsia" w:hAnsiTheme="minorHAnsi" w:cstheme="minorBidi"/>
          <w:bCs w:val="0"/>
          <w:sz w:val="22"/>
        </w:rPr>
      </w:pPr>
      <w:hyperlink w:anchor="_Toc33792820" w:history="1">
        <w:r w:rsidR="0011282F" w:rsidRPr="00A22BC2">
          <w:rPr>
            <w:rStyle w:val="Hyperlink"/>
          </w:rPr>
          <w:t>4.1</w:t>
        </w:r>
        <w:r w:rsidR="0011282F">
          <w:rPr>
            <w:rFonts w:asciiTheme="minorHAnsi" w:eastAsiaTheme="minorEastAsia" w:hAnsiTheme="minorHAnsi" w:cstheme="minorBidi"/>
            <w:bCs w:val="0"/>
            <w:sz w:val="22"/>
          </w:rPr>
          <w:tab/>
        </w:r>
        <w:r w:rsidR="0011282F" w:rsidRPr="00A22BC2">
          <w:rPr>
            <w:rStyle w:val="Hyperlink"/>
          </w:rPr>
          <w:t>Legal constraints</w:t>
        </w:r>
        <w:r w:rsidR="0011282F">
          <w:rPr>
            <w:webHidden/>
          </w:rPr>
          <w:tab/>
        </w:r>
        <w:r w:rsidR="0011282F">
          <w:rPr>
            <w:webHidden/>
          </w:rPr>
          <w:fldChar w:fldCharType="begin"/>
        </w:r>
        <w:r w:rsidR="0011282F">
          <w:rPr>
            <w:webHidden/>
          </w:rPr>
          <w:instrText xml:space="preserve"> PAGEREF _Toc33792820 \h </w:instrText>
        </w:r>
        <w:r w:rsidR="0011282F">
          <w:rPr>
            <w:webHidden/>
          </w:rPr>
        </w:r>
        <w:r w:rsidR="0011282F">
          <w:rPr>
            <w:webHidden/>
          </w:rPr>
          <w:fldChar w:fldCharType="separate"/>
        </w:r>
        <w:r w:rsidR="0011282F">
          <w:rPr>
            <w:webHidden/>
          </w:rPr>
          <w:t>8</w:t>
        </w:r>
        <w:r w:rsidR="0011282F">
          <w:rPr>
            <w:webHidden/>
          </w:rPr>
          <w:fldChar w:fldCharType="end"/>
        </w:r>
      </w:hyperlink>
    </w:p>
    <w:p w14:paraId="7A902FD3" w14:textId="3E1225A8" w:rsidR="0011282F" w:rsidRDefault="00DD55AA">
      <w:pPr>
        <w:pStyle w:val="TOC2"/>
        <w:rPr>
          <w:rFonts w:asciiTheme="minorHAnsi" w:eastAsiaTheme="minorEastAsia" w:hAnsiTheme="minorHAnsi" w:cstheme="minorBidi"/>
          <w:bCs w:val="0"/>
          <w:sz w:val="22"/>
        </w:rPr>
      </w:pPr>
      <w:hyperlink w:anchor="_Toc33792821" w:history="1">
        <w:r w:rsidR="0011282F" w:rsidRPr="00A22BC2">
          <w:rPr>
            <w:rStyle w:val="Hyperlink"/>
          </w:rPr>
          <w:t>4.2</w:t>
        </w:r>
        <w:r w:rsidR="0011282F">
          <w:rPr>
            <w:rFonts w:asciiTheme="minorHAnsi" w:eastAsiaTheme="minorEastAsia" w:hAnsiTheme="minorHAnsi" w:cstheme="minorBidi"/>
            <w:bCs w:val="0"/>
            <w:sz w:val="22"/>
          </w:rPr>
          <w:tab/>
        </w:r>
        <w:r w:rsidR="0011282F" w:rsidRPr="00A22BC2">
          <w:rPr>
            <w:rStyle w:val="Hyperlink"/>
          </w:rPr>
          <w:t>Logistical constraints</w:t>
        </w:r>
        <w:r w:rsidR="0011282F">
          <w:rPr>
            <w:webHidden/>
          </w:rPr>
          <w:tab/>
        </w:r>
        <w:r w:rsidR="0011282F">
          <w:rPr>
            <w:webHidden/>
          </w:rPr>
          <w:fldChar w:fldCharType="begin"/>
        </w:r>
        <w:r w:rsidR="0011282F">
          <w:rPr>
            <w:webHidden/>
          </w:rPr>
          <w:instrText xml:space="preserve"> PAGEREF _Toc33792821 \h </w:instrText>
        </w:r>
        <w:r w:rsidR="0011282F">
          <w:rPr>
            <w:webHidden/>
          </w:rPr>
        </w:r>
        <w:r w:rsidR="0011282F">
          <w:rPr>
            <w:webHidden/>
          </w:rPr>
          <w:fldChar w:fldCharType="separate"/>
        </w:r>
        <w:r w:rsidR="0011282F">
          <w:rPr>
            <w:webHidden/>
          </w:rPr>
          <w:t>8</w:t>
        </w:r>
        <w:r w:rsidR="0011282F">
          <w:rPr>
            <w:webHidden/>
          </w:rPr>
          <w:fldChar w:fldCharType="end"/>
        </w:r>
      </w:hyperlink>
    </w:p>
    <w:p w14:paraId="0887B0E2" w14:textId="5ABE82CC" w:rsidR="0011282F" w:rsidRDefault="00DD55AA">
      <w:pPr>
        <w:pStyle w:val="TOC2"/>
        <w:rPr>
          <w:rFonts w:asciiTheme="minorHAnsi" w:eastAsiaTheme="minorEastAsia" w:hAnsiTheme="minorHAnsi" w:cstheme="minorBidi"/>
          <w:bCs w:val="0"/>
          <w:sz w:val="22"/>
        </w:rPr>
      </w:pPr>
      <w:hyperlink w:anchor="_Toc33792822" w:history="1">
        <w:r w:rsidR="0011282F" w:rsidRPr="00A22BC2">
          <w:rPr>
            <w:rStyle w:val="Hyperlink"/>
          </w:rPr>
          <w:t>4.3</w:t>
        </w:r>
        <w:r w:rsidR="0011282F">
          <w:rPr>
            <w:rFonts w:asciiTheme="minorHAnsi" w:eastAsiaTheme="minorEastAsia" w:hAnsiTheme="minorHAnsi" w:cstheme="minorBidi"/>
            <w:bCs w:val="0"/>
            <w:sz w:val="22"/>
          </w:rPr>
          <w:tab/>
        </w:r>
        <w:r w:rsidR="0011282F" w:rsidRPr="00A22BC2">
          <w:rPr>
            <w:rStyle w:val="Hyperlink"/>
          </w:rPr>
          <w:t>Cost constraints</w:t>
        </w:r>
        <w:r w:rsidR="0011282F">
          <w:rPr>
            <w:webHidden/>
          </w:rPr>
          <w:tab/>
        </w:r>
        <w:r w:rsidR="0011282F">
          <w:rPr>
            <w:webHidden/>
          </w:rPr>
          <w:fldChar w:fldCharType="begin"/>
        </w:r>
        <w:r w:rsidR="0011282F">
          <w:rPr>
            <w:webHidden/>
          </w:rPr>
          <w:instrText xml:space="preserve"> PAGEREF _Toc33792822 \h </w:instrText>
        </w:r>
        <w:r w:rsidR="0011282F">
          <w:rPr>
            <w:webHidden/>
          </w:rPr>
        </w:r>
        <w:r w:rsidR="0011282F">
          <w:rPr>
            <w:webHidden/>
          </w:rPr>
          <w:fldChar w:fldCharType="separate"/>
        </w:r>
        <w:r w:rsidR="0011282F">
          <w:rPr>
            <w:webHidden/>
          </w:rPr>
          <w:t>8</w:t>
        </w:r>
        <w:r w:rsidR="0011282F">
          <w:rPr>
            <w:webHidden/>
          </w:rPr>
          <w:fldChar w:fldCharType="end"/>
        </w:r>
      </w:hyperlink>
    </w:p>
    <w:p w14:paraId="5899920F" w14:textId="37DB9BCB" w:rsidR="0011282F" w:rsidRDefault="00DD55AA">
      <w:pPr>
        <w:pStyle w:val="TOC2"/>
        <w:rPr>
          <w:rFonts w:asciiTheme="minorHAnsi" w:eastAsiaTheme="minorEastAsia" w:hAnsiTheme="minorHAnsi" w:cstheme="minorBidi"/>
          <w:bCs w:val="0"/>
          <w:sz w:val="22"/>
        </w:rPr>
      </w:pPr>
      <w:hyperlink w:anchor="_Toc33792823" w:history="1">
        <w:r w:rsidR="0011282F" w:rsidRPr="00A22BC2">
          <w:rPr>
            <w:rStyle w:val="Hyperlink"/>
          </w:rPr>
          <w:t>4.4</w:t>
        </w:r>
        <w:r w:rsidR="0011282F">
          <w:rPr>
            <w:rFonts w:asciiTheme="minorHAnsi" w:eastAsiaTheme="minorEastAsia" w:hAnsiTheme="minorHAnsi" w:cstheme="minorBidi"/>
            <w:bCs w:val="0"/>
            <w:sz w:val="22"/>
          </w:rPr>
          <w:tab/>
        </w:r>
        <w:r w:rsidR="0011282F" w:rsidRPr="00A22BC2">
          <w:rPr>
            <w:rStyle w:val="Hyperlink"/>
          </w:rPr>
          <w:t>Other</w:t>
        </w:r>
        <w:r w:rsidR="0011282F">
          <w:rPr>
            <w:webHidden/>
          </w:rPr>
          <w:tab/>
        </w:r>
        <w:r w:rsidR="0011282F">
          <w:rPr>
            <w:webHidden/>
          </w:rPr>
          <w:fldChar w:fldCharType="begin"/>
        </w:r>
        <w:r w:rsidR="0011282F">
          <w:rPr>
            <w:webHidden/>
          </w:rPr>
          <w:instrText xml:space="preserve"> PAGEREF _Toc33792823 \h </w:instrText>
        </w:r>
        <w:r w:rsidR="0011282F">
          <w:rPr>
            <w:webHidden/>
          </w:rPr>
        </w:r>
        <w:r w:rsidR="0011282F">
          <w:rPr>
            <w:webHidden/>
          </w:rPr>
          <w:fldChar w:fldCharType="separate"/>
        </w:r>
        <w:r w:rsidR="0011282F">
          <w:rPr>
            <w:webHidden/>
          </w:rPr>
          <w:t>9</w:t>
        </w:r>
        <w:r w:rsidR="0011282F">
          <w:rPr>
            <w:webHidden/>
          </w:rPr>
          <w:fldChar w:fldCharType="end"/>
        </w:r>
      </w:hyperlink>
    </w:p>
    <w:p w14:paraId="35B6C177" w14:textId="16853FFD" w:rsidR="000908FC" w:rsidRDefault="001464ED" w:rsidP="005A7D46">
      <w:pPr>
        <w:rPr>
          <w:rFonts w:ascii="Arial" w:hAnsi="Arial" w:cs="Calibri"/>
          <w:bCs/>
          <w:i/>
          <w:iCs/>
          <w:sz w:val="14"/>
        </w:rPr>
      </w:pPr>
      <w:r>
        <w:rPr>
          <w:rFonts w:ascii="Arial" w:hAnsi="Arial" w:cs="Calibri"/>
          <w:bCs/>
          <w:iCs/>
          <w:noProof/>
          <w:sz w:val="14"/>
        </w:rPr>
        <w:fldChar w:fldCharType="end"/>
      </w:r>
    </w:p>
    <w:p w14:paraId="4B37FC95" w14:textId="21DBA257" w:rsidR="00510DF4" w:rsidRDefault="00514046" w:rsidP="00C11925">
      <w:pPr>
        <w:pStyle w:val="Heading1"/>
      </w:pPr>
      <w:bookmarkStart w:id="0" w:name="_Toc33792802"/>
      <w:r w:rsidRPr="003E1AEC">
        <w:t>Introduction</w:t>
      </w:r>
      <w:bookmarkEnd w:id="0"/>
    </w:p>
    <w:p w14:paraId="76A93654" w14:textId="4831C47C" w:rsidR="003E33D4" w:rsidRDefault="003E33D4" w:rsidP="00BD2423">
      <w:pPr>
        <w:pStyle w:val="BodyText"/>
      </w:pPr>
      <w:r>
        <w:t xml:space="preserve">The Community Engagement Committee (committee) was authorized and formed by the North Pacific Fishery Management Council (Council) in June 2018 to identify and recommend strategies for the Council to provide effective community engagement with rural and Alaska Native communities. The committee was formed after review of a discussion paper requested by the Council in April 2018 that presented an assessment of ideas for improving engagement by rural and Alaska Native communities in the Council process. The discussion paper </w:t>
      </w:r>
      <w:r w:rsidR="004A62E0">
        <w:t>had been tasked</w:t>
      </w:r>
      <w:r>
        <w:t xml:space="preserve"> by the Council after they heard requests to either reconstitute the Council’s Rural Outreach Committee or develop a new ad-hoc committee to consider community engagement strategies. </w:t>
      </w:r>
    </w:p>
    <w:p w14:paraId="0E48D6AB" w14:textId="77777777" w:rsidR="003E33D4" w:rsidRDefault="003E33D4" w:rsidP="00BD2423">
      <w:pPr>
        <w:pStyle w:val="BodyText"/>
      </w:pPr>
      <w:r>
        <w:t>In June 2018, the Council approved the following charter for the committee:</w:t>
      </w:r>
    </w:p>
    <w:p w14:paraId="1FF92374" w14:textId="77777777" w:rsidR="003E33D4" w:rsidRDefault="003E33D4" w:rsidP="003E33D4">
      <w:pPr>
        <w:pStyle w:val="BodyText"/>
        <w:ind w:left="720" w:right="720"/>
        <w:rPr>
          <w:i/>
          <w:iCs/>
        </w:rPr>
      </w:pPr>
      <w:r>
        <w:rPr>
          <w:i/>
          <w:iCs/>
        </w:rPr>
        <w:t>The North Pacific Fishery Management Council’s Community Engagement Committee is established to identify and recommend strategies for the Council and Council staff to enact processes that provide effective community engagement with rural and Alaska Native Communities. Effective community engagement may involve two-way communication between the Council and communities at additional stages of the Council process or a project and allow for community concerns, information, perspectives, and priorities to be shared clearly with the Council, whether part of an active Council action or not.</w:t>
      </w:r>
    </w:p>
    <w:p w14:paraId="01EFB61B" w14:textId="06968EEB" w:rsidR="00BD2423" w:rsidRDefault="003E33D4" w:rsidP="003E33D4">
      <w:pPr>
        <w:pStyle w:val="BodyText"/>
      </w:pPr>
      <w:proofErr w:type="gramStart"/>
      <w:r>
        <w:t>Also</w:t>
      </w:r>
      <w:proofErr w:type="gramEnd"/>
      <w:r>
        <w:t xml:space="preserve"> in June 2018, the Council solicited nominations </w:t>
      </w:r>
      <w:r w:rsidR="004D471D">
        <w:t xml:space="preserve">from rural and tribal representatives and people with the necessary expertise to accomplish the committee’s goals of assisting the Council in developing </w:t>
      </w:r>
      <w:r w:rsidR="004D471D">
        <w:lastRenderedPageBreak/>
        <w:t>successful engagement and outreach tools and processes. The committee was selected over the summer and formally appointed in October 2018. The initial committee appointees are listed below:</w:t>
      </w:r>
    </w:p>
    <w:p w14:paraId="170D88A2" w14:textId="77777777" w:rsidR="004D471D" w:rsidRDefault="004D471D" w:rsidP="004D471D">
      <w:pPr>
        <w:pStyle w:val="BodyText"/>
        <w:numPr>
          <w:ilvl w:val="0"/>
          <w:numId w:val="45"/>
        </w:numPr>
        <w:spacing w:after="0"/>
        <w:sectPr w:rsidR="004D471D" w:rsidSect="000B5D05">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299"/>
        </w:sectPr>
      </w:pPr>
    </w:p>
    <w:p w14:paraId="58F580EC" w14:textId="74D9B0FB" w:rsidR="004D471D" w:rsidRDefault="004D471D" w:rsidP="004D471D">
      <w:pPr>
        <w:pStyle w:val="BodyText"/>
        <w:numPr>
          <w:ilvl w:val="0"/>
          <w:numId w:val="45"/>
        </w:numPr>
        <w:spacing w:after="0"/>
      </w:pPr>
      <w:r>
        <w:t>Simon Kinneen (Co-chair)</w:t>
      </w:r>
    </w:p>
    <w:p w14:paraId="75AB629B" w14:textId="67AFA1CB" w:rsidR="004D471D" w:rsidRDefault="004D471D" w:rsidP="004D471D">
      <w:pPr>
        <w:pStyle w:val="BodyText"/>
        <w:numPr>
          <w:ilvl w:val="0"/>
          <w:numId w:val="45"/>
        </w:numPr>
        <w:spacing w:after="0"/>
      </w:pPr>
      <w:r>
        <w:t>Theresa Peterson (Co-chair)</w:t>
      </w:r>
    </w:p>
    <w:p w14:paraId="493A4427" w14:textId="0440AEFC" w:rsidR="004D471D" w:rsidRDefault="004D471D" w:rsidP="004D471D">
      <w:pPr>
        <w:pStyle w:val="BodyText"/>
        <w:numPr>
          <w:ilvl w:val="0"/>
          <w:numId w:val="45"/>
        </w:numPr>
        <w:spacing w:after="0"/>
      </w:pPr>
      <w:r>
        <w:t>Mellisa Heflin</w:t>
      </w:r>
    </w:p>
    <w:p w14:paraId="4085A036" w14:textId="1C626F2B" w:rsidR="004D471D" w:rsidRDefault="004D471D" w:rsidP="004D471D">
      <w:pPr>
        <w:pStyle w:val="BodyText"/>
        <w:numPr>
          <w:ilvl w:val="0"/>
          <w:numId w:val="45"/>
        </w:numPr>
        <w:spacing w:after="0"/>
      </w:pPr>
      <w:r>
        <w:t>Jennifer Hooper</w:t>
      </w:r>
    </w:p>
    <w:p w14:paraId="074F8B95" w14:textId="509823AA" w:rsidR="004D471D" w:rsidRDefault="004D471D" w:rsidP="004D471D">
      <w:pPr>
        <w:pStyle w:val="BodyText"/>
        <w:numPr>
          <w:ilvl w:val="0"/>
          <w:numId w:val="45"/>
        </w:numPr>
        <w:spacing w:after="0"/>
      </w:pPr>
      <w:r>
        <w:t>Robert Keith</w:t>
      </w:r>
    </w:p>
    <w:p w14:paraId="779D081F" w14:textId="076FBFAB" w:rsidR="004D471D" w:rsidRDefault="004D471D" w:rsidP="004D471D">
      <w:pPr>
        <w:pStyle w:val="BodyText"/>
        <w:numPr>
          <w:ilvl w:val="0"/>
          <w:numId w:val="45"/>
        </w:numPr>
        <w:spacing w:after="0"/>
      </w:pPr>
      <w:r>
        <w:t>Nicole Kimball</w:t>
      </w:r>
    </w:p>
    <w:p w14:paraId="6518B924" w14:textId="395EB6A9" w:rsidR="004D471D" w:rsidRDefault="004D471D" w:rsidP="004D471D">
      <w:pPr>
        <w:pStyle w:val="BodyText"/>
        <w:numPr>
          <w:ilvl w:val="0"/>
          <w:numId w:val="45"/>
        </w:numPr>
        <w:spacing w:after="0"/>
      </w:pPr>
      <w:r>
        <w:t>Marissa Merculieff</w:t>
      </w:r>
    </w:p>
    <w:p w14:paraId="01924159" w14:textId="7219689A" w:rsidR="004D471D" w:rsidRDefault="004D471D" w:rsidP="004D471D">
      <w:pPr>
        <w:pStyle w:val="BodyText"/>
        <w:numPr>
          <w:ilvl w:val="0"/>
          <w:numId w:val="45"/>
        </w:numPr>
        <w:spacing w:after="0"/>
      </w:pPr>
      <w:r>
        <w:t>Tom Panamaroff</w:t>
      </w:r>
    </w:p>
    <w:p w14:paraId="53CEC777" w14:textId="3DD08B93" w:rsidR="004D471D" w:rsidRDefault="004D471D" w:rsidP="004D471D">
      <w:pPr>
        <w:pStyle w:val="BodyText"/>
        <w:numPr>
          <w:ilvl w:val="0"/>
          <w:numId w:val="45"/>
        </w:numPr>
        <w:spacing w:after="0"/>
      </w:pPr>
      <w:r>
        <w:t>Becca Robbins-Gisclair</w:t>
      </w:r>
    </w:p>
    <w:p w14:paraId="04876364" w14:textId="3986355E" w:rsidR="004D471D" w:rsidRDefault="004D471D" w:rsidP="004D471D">
      <w:pPr>
        <w:pStyle w:val="BodyText"/>
        <w:numPr>
          <w:ilvl w:val="0"/>
          <w:numId w:val="45"/>
        </w:numPr>
      </w:pPr>
      <w:r>
        <w:t>Rob Sanderson</w:t>
      </w:r>
    </w:p>
    <w:p w14:paraId="07AB5427" w14:textId="77777777" w:rsidR="004D471D" w:rsidRDefault="004D471D" w:rsidP="004D471D">
      <w:pPr>
        <w:pStyle w:val="BodyText"/>
        <w:spacing w:after="0"/>
        <w:sectPr w:rsidR="004D471D" w:rsidSect="004D471D">
          <w:type w:val="continuous"/>
          <w:pgSz w:w="12240" w:h="15840" w:code="1"/>
          <w:pgMar w:top="1440" w:right="1440" w:bottom="1440" w:left="1440" w:header="720" w:footer="720" w:gutter="0"/>
          <w:pgNumType w:start="1"/>
          <w:cols w:num="2" w:space="540"/>
          <w:titlePg/>
          <w:docGrid w:linePitch="299"/>
        </w:sectPr>
      </w:pPr>
    </w:p>
    <w:p w14:paraId="6CBA2B5E" w14:textId="1A7A71CB" w:rsidR="004D471D" w:rsidRDefault="004D471D" w:rsidP="004E0BF1">
      <w:pPr>
        <w:pStyle w:val="BodyText"/>
      </w:pPr>
      <w:r>
        <w:t xml:space="preserve">Ms. Peterson no longer </w:t>
      </w:r>
      <w:r w:rsidR="004A62E0">
        <w:t>serves</w:t>
      </w:r>
      <w:r>
        <w:t xml:space="preserve"> as Co-chair, but remains on the committee.</w:t>
      </w:r>
      <w:r w:rsidR="00E940A0">
        <w:t xml:space="preserve"> At its first meeting in March 2019, the committee approved Terms of Reference (Appendix A) and established a draft schedule of meetings necessary to meet the committee’s objectives.</w:t>
      </w:r>
    </w:p>
    <w:p w14:paraId="72FF086D" w14:textId="7C397CDB" w:rsidR="004E0BF1" w:rsidRDefault="000970E3" w:rsidP="004D6D61">
      <w:pPr>
        <w:pStyle w:val="BodyText"/>
      </w:pPr>
      <w:r w:rsidRPr="000970E3">
        <w:t xml:space="preserve">The </w:t>
      </w:r>
      <w:r w:rsidR="00FC7BDB">
        <w:t xml:space="preserve">June 2018 </w:t>
      </w:r>
      <w:r w:rsidRPr="000970E3">
        <w:t xml:space="preserve">Council motion forming the committee stated that it will assist the Council in further developing successful engagement and outreach tools and processes to facilitate improved communication and understanding between rural communities and tribes and the Council, but not develop specific policy recommendations. </w:t>
      </w:r>
      <w:r>
        <w:t>It also stated that t</w:t>
      </w:r>
      <w:r w:rsidRPr="000970E3">
        <w:t>his committee should provide recommendations to augment, not replace, the Council’s existing community outreach effor</w:t>
      </w:r>
      <w:r w:rsidR="00FC7BDB">
        <w:t xml:space="preserve">ts. </w:t>
      </w:r>
      <w:r w:rsidR="004E0BF1">
        <w:t xml:space="preserve">The committee </w:t>
      </w:r>
      <w:r w:rsidR="00FC7BDB">
        <w:t xml:space="preserve">task </w:t>
      </w:r>
      <w:r w:rsidR="004E0BF1">
        <w:t xml:space="preserve">is to prepare a report that identifies recommendations that the Council can </w:t>
      </w:r>
      <w:r w:rsidR="00C44612">
        <w:t xml:space="preserve">consider </w:t>
      </w:r>
      <w:proofErr w:type="gramStart"/>
      <w:r w:rsidR="004E0BF1">
        <w:t>to improve</w:t>
      </w:r>
      <w:proofErr w:type="gramEnd"/>
      <w:r w:rsidR="004E0BF1">
        <w:t xml:space="preserve"> engagement with rural and Alaska Native communities. The committee is not intended to carry out engagement on behalf of the Council. Once the report is completed and presented to the </w:t>
      </w:r>
      <w:r w:rsidR="004E0BF1" w:rsidRPr="004D6D61">
        <w:t>Council</w:t>
      </w:r>
      <w:r w:rsidR="004E0BF1">
        <w:t>, the committee’s objectives will have been met, and the committee, an envisioned by the Council, will be dissolved.</w:t>
      </w:r>
    </w:p>
    <w:p w14:paraId="210A3675" w14:textId="42CE92D4" w:rsidR="004D6D61" w:rsidRPr="00BD2423" w:rsidRDefault="004A62E0" w:rsidP="004D471D">
      <w:pPr>
        <w:pStyle w:val="BodyText"/>
        <w:spacing w:after="0"/>
      </w:pPr>
      <w:r>
        <w:t>Although t</w:t>
      </w:r>
      <w:r w:rsidR="004D6D61">
        <w:t>here are legal, logistical, and cost constraints within which the Council must make decisions regarding adopting community engagement strategies and activities</w:t>
      </w:r>
      <w:r>
        <w:t>,</w:t>
      </w:r>
      <w:r w:rsidRPr="004A62E0">
        <w:t xml:space="preserve"> </w:t>
      </w:r>
      <w:r>
        <w:t>it is not the intention of the committee at this point to apply any constraints to the potential strategies and ideas</w:t>
      </w:r>
      <w:r w:rsidR="004D6D61">
        <w:t>. The Council will consider those constraints when they make their decisions</w:t>
      </w:r>
      <w:r w:rsidR="00FC7BDB">
        <w:t>.</w:t>
      </w:r>
      <w:r w:rsidR="004D6D61">
        <w:t xml:space="preserve"> </w:t>
      </w:r>
    </w:p>
    <w:p w14:paraId="25D56626" w14:textId="7AC0CCCF" w:rsidR="00F561C2" w:rsidRDefault="004E0BF1" w:rsidP="00C11925">
      <w:pPr>
        <w:pStyle w:val="Heading1"/>
      </w:pPr>
      <w:bookmarkStart w:id="1" w:name="_Toc33792803"/>
      <w:r>
        <w:t>Meetings</w:t>
      </w:r>
      <w:bookmarkEnd w:id="1"/>
    </w:p>
    <w:p w14:paraId="7DA71B5F" w14:textId="7BA33E7E" w:rsidR="009222EB" w:rsidRDefault="009222EB" w:rsidP="004E0BF1">
      <w:pPr>
        <w:pStyle w:val="BodyText"/>
      </w:pPr>
      <w:r>
        <w:t xml:space="preserve">This section provides brief summaries of the in-person and teleconference meetings. Details of the </w:t>
      </w:r>
      <w:r w:rsidR="00873613">
        <w:t>suggestions</w:t>
      </w:r>
      <w:r>
        <w:t xml:space="preserve"> from the committee, discussed at various meetings, will be provided in Section</w:t>
      </w:r>
      <w:r w:rsidR="003919D6">
        <w:t xml:space="preserve"> </w:t>
      </w:r>
      <w:r w:rsidR="00873613">
        <w:fldChar w:fldCharType="begin"/>
      </w:r>
      <w:r w:rsidR="00873613">
        <w:instrText xml:space="preserve"> REF _Ref23846556 \r \h </w:instrText>
      </w:r>
      <w:r w:rsidR="00873613">
        <w:fldChar w:fldCharType="separate"/>
      </w:r>
      <w:r w:rsidR="00873613">
        <w:t>3</w:t>
      </w:r>
      <w:r w:rsidR="00873613">
        <w:fldChar w:fldCharType="end"/>
      </w:r>
      <w:r w:rsidR="009E1F04">
        <w:t>. Reports of each meeting are included in Appendix A.</w:t>
      </w:r>
    </w:p>
    <w:p w14:paraId="611A625E" w14:textId="4566F9C9" w:rsidR="00DF60FC" w:rsidRDefault="00DF60FC" w:rsidP="00DF60FC">
      <w:pPr>
        <w:pStyle w:val="Heading3"/>
      </w:pPr>
      <w:r>
        <w:t>March 2019</w:t>
      </w:r>
    </w:p>
    <w:p w14:paraId="517E2BAB" w14:textId="2E08876F" w:rsidR="004E0BF1" w:rsidRDefault="004E0BF1" w:rsidP="00DF60FC">
      <w:pPr>
        <w:pStyle w:val="BodyText"/>
      </w:pPr>
      <w:r>
        <w:t xml:space="preserve">The committee held its first meeting on 20 </w:t>
      </w:r>
      <w:r w:rsidR="0011282F">
        <w:t>March</w:t>
      </w:r>
      <w:r>
        <w:t xml:space="preserve"> 2019 in Anchorage, AK. The purpose of the first meeting was to review the draft Terms of Reference and Standard Operating Procedures, review the purpose and charter of the committee, and develop tentative plans for the committee to meet its objective. The committee identified an approximately one-year timeline for the committee to develop recommendations to the </w:t>
      </w:r>
      <w:r w:rsidR="0011282F">
        <w:t>Council and</w:t>
      </w:r>
      <w:r>
        <w:t xml:space="preserve"> suggested that the schedule could include four in-person meetings and at least one teleconference. Additional meetings would be considered if necessary. The committee recommended that at least one of the in-person meetings should be scheduled in a rural community, potentially in association with meetings of other rural or tribal organizations. At that first meeting, the committee requested that staff provide a list of communication, outreach, and engagement tools that are currently in use by the Council. The committee felt that a comprehensive list of tools currently in use would better enable them to identify potential gaps or deficiencies in the Council’s engagement strategies. The committee also requested that NMFS staff provide information about NMFS’ tribal consultation and co-management efforts, and noted that other organizations such as the U.S. Fish and Wildlife Service Regional Advisory Councils or other fishery management councils may have unique tools for engagement that the Council should consider</w:t>
      </w:r>
      <w:r w:rsidR="009222EB">
        <w:t xml:space="preserve">. </w:t>
      </w:r>
    </w:p>
    <w:p w14:paraId="24C148AD" w14:textId="191B0AB5" w:rsidR="00DF60FC" w:rsidRDefault="00DF60FC" w:rsidP="00DF60FC">
      <w:pPr>
        <w:pStyle w:val="Heading3"/>
      </w:pPr>
      <w:r>
        <w:lastRenderedPageBreak/>
        <w:t>April 2019</w:t>
      </w:r>
    </w:p>
    <w:p w14:paraId="1268888F" w14:textId="60BBB81E" w:rsidR="009E1F04" w:rsidRDefault="009E1F04" w:rsidP="004E0BF1">
      <w:pPr>
        <w:pStyle w:val="BodyText"/>
      </w:pPr>
      <w:r>
        <w:t xml:space="preserve">The committee met via teleconference on 29 </w:t>
      </w:r>
      <w:r w:rsidR="00FC0F07">
        <w:t>April</w:t>
      </w:r>
      <w:r>
        <w:t xml:space="preserve"> 2019 to review the list of engagement tools and strategies that are currently employed by the Council. The teleconference was an opportunity for the committee to ask questions of the staff about each item. The committee elected to discuss the existing tools and strategies at the next in-person meeting.</w:t>
      </w:r>
    </w:p>
    <w:p w14:paraId="04C9C69E" w14:textId="32F6B58C" w:rsidR="00DF60FC" w:rsidRDefault="00DF60FC" w:rsidP="00DF60FC">
      <w:pPr>
        <w:pStyle w:val="Heading3"/>
      </w:pPr>
      <w:r>
        <w:t>June 2019</w:t>
      </w:r>
    </w:p>
    <w:p w14:paraId="0A0A1B8E" w14:textId="6B463285" w:rsidR="009E1F04" w:rsidRDefault="009E1F04" w:rsidP="004E0BF1">
      <w:pPr>
        <w:pStyle w:val="BodyText"/>
      </w:pPr>
      <w:r>
        <w:t xml:space="preserve">The committee met on 4 </w:t>
      </w:r>
      <w:r w:rsidR="0011282F">
        <w:t>June</w:t>
      </w:r>
      <w:r>
        <w:t xml:space="preserve"> 2019 in Sitka, AK. The purpose of the meeting was to review the list of existing engagement tools and strategies employed by the </w:t>
      </w:r>
      <w:r w:rsidR="0011282F">
        <w:t>Council and</w:t>
      </w:r>
      <w:r>
        <w:t xml:space="preserve"> begin to develop recommendations </w:t>
      </w:r>
      <w:r w:rsidR="008013BC">
        <w:t>to augment the current approach</w:t>
      </w:r>
      <w:r>
        <w:t xml:space="preserve">. The committee noted that much of the work </w:t>
      </w:r>
      <w:r w:rsidR="004674FD">
        <w:t xml:space="preserve">that the Council and staff currently engage in are focused outreach around specific Council actions, rather than </w:t>
      </w:r>
      <w:r w:rsidR="008013BC">
        <w:t xml:space="preserve">general </w:t>
      </w:r>
      <w:r w:rsidR="004674FD">
        <w:t>community engagement. The CEC recognized the useful</w:t>
      </w:r>
      <w:r w:rsidR="008013BC">
        <w:t>ness</w:t>
      </w:r>
      <w:r w:rsidR="004674FD">
        <w:t xml:space="preserve"> and effectiveness of these activities, and agreed that focused outreach should continue, where appropriate. The committee also suggested that strategies and programs to improve two-way engagement strategies, as the committee is tasked, </w:t>
      </w:r>
      <w:r w:rsidR="008013BC">
        <w:t xml:space="preserve">are </w:t>
      </w:r>
      <w:r w:rsidR="004674FD">
        <w:t>important. The committee identified a number of possible tools and strategies for the Council to consider</w:t>
      </w:r>
      <w:r w:rsidR="00A722B3">
        <w:t>, identified in Section 3 of this report. Final consensus recommendations are provided in Section 5</w:t>
      </w:r>
      <w:r w:rsidR="004674FD">
        <w:t xml:space="preserve">. </w:t>
      </w:r>
    </w:p>
    <w:p w14:paraId="777C8613" w14:textId="6511E005" w:rsidR="00DF60FC" w:rsidRDefault="00DF60FC" w:rsidP="00DF60FC">
      <w:pPr>
        <w:pStyle w:val="Heading3"/>
      </w:pPr>
      <w:r>
        <w:t>October 2019</w:t>
      </w:r>
    </w:p>
    <w:p w14:paraId="33E68DD5" w14:textId="34DACD81" w:rsidR="004674FD" w:rsidRDefault="004674FD" w:rsidP="004E0BF1">
      <w:pPr>
        <w:pStyle w:val="BodyText"/>
      </w:pPr>
      <w:r>
        <w:t xml:space="preserve">The committee met on 1 </w:t>
      </w:r>
      <w:r w:rsidR="0011282F">
        <w:t>October</w:t>
      </w:r>
      <w:r>
        <w:t xml:space="preserve"> 2019 in Homer, AK. The purpose of the meeting was to continue to review existing Council engagement strategies and develop recommendations for new strategies and tools to improve the Council’s engagement with rural and Alaska Native communities. After the June committee meeting, the Council began to implement some of the improvements that the committee identified. Those improvements were presented to the committee and included development of flyers and other materials designed to introduce the Council to community members that may not be familiar with the Council or its process. The committee was also informed of the evening “Introduction to the Council” session that was held on the evening of 1 October 2019. This session was implemented at the recommendation of the committee and is intended to be available whenever the Council holds a meeting in a</w:t>
      </w:r>
      <w:r w:rsidR="00DF60FC">
        <w:t xml:space="preserve">n Alaskan community outside of Anchorage or Juneau. Council staff also informed the committee that the introductory session was intended to be a learning opportunity and the presentations can be modified, as appropriate, for different communities. The committee was also informed by staff that Council staff, Council agency partners, and Council members will be receiving cultural awareness training in November and December, also as recommended by the committee. </w:t>
      </w:r>
    </w:p>
    <w:p w14:paraId="50BDD6F0" w14:textId="2FBC9D48" w:rsidR="00DF60FC" w:rsidRDefault="004236EB" w:rsidP="004E0BF1">
      <w:pPr>
        <w:pStyle w:val="BodyText"/>
      </w:pPr>
      <w:r>
        <w:t xml:space="preserve">The committee also received a summary of tribal consultation policies and procedures in place </w:t>
      </w:r>
      <w:r w:rsidR="00B33F5F">
        <w:t xml:space="preserve">at NMFS Alaska Region. Although the responsibility for tribal consultation lies with NMFS and not the Council, the committee was interested in identifying policies and practices that may be utilized to improve the Council’s engagement procedures. Some CEC members regularly request tribal consultations from agencies and have relevant experience with those requests at either the national or regional level. Both the committee and NMFS noted the importance of early notice to fully engage tribes, and some wondered whether the appropriate action to initiate consultation was during the Council process or after Council action when the agency considers regulations or rulemaking. The committee noted that Tribes receive many letters from Federal agencies </w:t>
      </w:r>
      <w:r w:rsidR="00F11159">
        <w:t xml:space="preserve">about issues on which they may wish to request consultation. The volume and complexity of information can sometimes make it difficult to discern what information is relevant for each Tribe. </w:t>
      </w:r>
      <w:r w:rsidR="00DD5BF6">
        <w:t>In earlier meetings when tribal consultation was discussed, the committee noted that it is important to understand that although there are likely to be tools and processes that may be useful to the Council, it is well outside of the scope of the committee to address the Agency’s consultation processes.</w:t>
      </w:r>
    </w:p>
    <w:p w14:paraId="36F07619" w14:textId="046BD527" w:rsidR="00B4482C" w:rsidRPr="000B5D05" w:rsidRDefault="00F11159" w:rsidP="00C11925">
      <w:pPr>
        <w:pStyle w:val="Heading1"/>
      </w:pPr>
      <w:bookmarkStart w:id="2" w:name="_Ref23846556"/>
      <w:bookmarkStart w:id="3" w:name="_Toc33792804"/>
      <w:r>
        <w:lastRenderedPageBreak/>
        <w:t>Potential tools and strategies to improve engagement</w:t>
      </w:r>
      <w:bookmarkEnd w:id="2"/>
      <w:bookmarkEnd w:id="3"/>
    </w:p>
    <w:p w14:paraId="41EF7D97" w14:textId="70B0DAF4" w:rsidR="003200FA" w:rsidRDefault="00F11159" w:rsidP="00D60769">
      <w:pPr>
        <w:pStyle w:val="BodyText"/>
      </w:pPr>
      <w:r>
        <w:t>This section presents the potential tools and strategies discussed by the committee to improve the Council’s engagement with rural and Alaska Native communities.</w:t>
      </w:r>
      <w:r w:rsidR="0099600A">
        <w:t xml:space="preserve"> </w:t>
      </w:r>
      <w:bookmarkStart w:id="4" w:name="_Hlk44315918"/>
      <w:r w:rsidR="0099600A">
        <w:t xml:space="preserve">Until the committee has opportunity to review and develop these further, these should not be considered </w:t>
      </w:r>
      <w:r w:rsidR="00D7113B">
        <w:t>final</w:t>
      </w:r>
      <w:r w:rsidR="0099600A">
        <w:t xml:space="preserve"> recommendations from the committee. </w:t>
      </w:r>
      <w:r w:rsidR="00D7113B">
        <w:t>Final</w:t>
      </w:r>
      <w:r w:rsidR="0099600A">
        <w:t xml:space="preserve"> recommendations will be presented to the Council when the committee presents its report.</w:t>
      </w:r>
    </w:p>
    <w:bookmarkEnd w:id="4"/>
    <w:p w14:paraId="06D64AB0" w14:textId="04F0C65C" w:rsidR="0099600A" w:rsidRDefault="004D6D61" w:rsidP="00D60769">
      <w:pPr>
        <w:pStyle w:val="BodyText"/>
      </w:pPr>
      <w:r>
        <w:t xml:space="preserve">At the first meeting of the committee, the committee decided that they would be able to provide strategies and actions for the Council to consider, so chose not to solicit proposals from the public. They invited and encouraged interested public to attend meetings, </w:t>
      </w:r>
      <w:r w:rsidR="00256453">
        <w:t xml:space="preserve">provide public comment, </w:t>
      </w:r>
      <w:r>
        <w:t xml:space="preserve">talk with committee members, and provide input as much as possible. </w:t>
      </w:r>
    </w:p>
    <w:p w14:paraId="7D542B83" w14:textId="7E53302E" w:rsidR="004D6D61" w:rsidRDefault="004D6D61" w:rsidP="00D60769">
      <w:pPr>
        <w:pStyle w:val="BodyText"/>
      </w:pPr>
      <w:r>
        <w:t>Throughout the process, the committee noted that the outreach (information out from the Council to the public) is a good process and should continue. The committee many times expressed that the intention is to enhance outreach efforts to engagement (two</w:t>
      </w:r>
      <w:r w:rsidR="0037323F">
        <w:t>-</w:t>
      </w:r>
      <w:r>
        <w:t>way transfer of information), where appropriate.</w:t>
      </w:r>
      <w:r w:rsidR="00DD5BF6">
        <w:t xml:space="preserve"> </w:t>
      </w:r>
    </w:p>
    <w:p w14:paraId="1C388B9C" w14:textId="2D2D9FD6" w:rsidR="001170CD" w:rsidRDefault="00560422" w:rsidP="00D60769">
      <w:pPr>
        <w:pStyle w:val="BodyText"/>
      </w:pPr>
      <w:r>
        <w:t xml:space="preserve">The following sections identify the list of engagement ideas developed by the committee for the Council to consider. The engagement ideas are presented here in a list in no </w:t>
      </w:r>
      <w:proofErr w:type="gramStart"/>
      <w:r>
        <w:t>particular order</w:t>
      </w:r>
      <w:proofErr w:type="gramEnd"/>
      <w:r>
        <w:t xml:space="preserve">. </w:t>
      </w:r>
    </w:p>
    <w:p w14:paraId="4A599375" w14:textId="37A2771C" w:rsidR="00560422" w:rsidRDefault="00560422" w:rsidP="00560422">
      <w:pPr>
        <w:pStyle w:val="Heading2"/>
      </w:pPr>
      <w:bookmarkStart w:id="5" w:name="_Toc33792805"/>
      <w:r>
        <w:t xml:space="preserve">Tribal </w:t>
      </w:r>
      <w:r w:rsidR="001147D6">
        <w:t xml:space="preserve">and Rural Community </w:t>
      </w:r>
      <w:r>
        <w:t>Liaison</w:t>
      </w:r>
      <w:bookmarkEnd w:id="5"/>
    </w:p>
    <w:p w14:paraId="687316DA" w14:textId="615F93FE" w:rsidR="00257117" w:rsidRDefault="00257117" w:rsidP="004349C7">
      <w:pPr>
        <w:pStyle w:val="BodyText"/>
      </w:pPr>
      <w:r>
        <w:t xml:space="preserve">At several meetings, the committee </w:t>
      </w:r>
      <w:r w:rsidR="00256453">
        <w:t xml:space="preserve">discussed </w:t>
      </w:r>
      <w:r w:rsidR="00D7113B">
        <w:t>whether</w:t>
      </w:r>
      <w:r>
        <w:t xml:space="preserve"> the Council </w:t>
      </w:r>
      <w:r w:rsidR="00256453">
        <w:t xml:space="preserve">should </w:t>
      </w:r>
      <w:r>
        <w:t xml:space="preserve">develop and hire a Tribal and Rural Community Liaison position. The preference of the committee is that the Tribal and Rural Community Liaison would be a stand-alone position. The liaison would connect rural and tribal citizens and organizations to the Council process and act as a point of first contact to help rural and tribal stakeholders and organizations navigate the Council process. The committee suggested that the liaison should work across Council actions to provide information and guidance for rural and tribal stakeholders that wish to become engaged generally or on specific Council actions. The committee noted that many Federal agencies that engage with rural and tribal communities </w:t>
      </w:r>
      <w:r w:rsidR="00256453">
        <w:t xml:space="preserve">and are required to undertake tribal consultation </w:t>
      </w:r>
      <w:r>
        <w:t>have a tribal liaison on staff (e.g., USFWS), and suggested that those job descriptions could serve as a model from which the Council could design their own position.</w:t>
      </w:r>
    </w:p>
    <w:p w14:paraId="6FF9A862" w14:textId="116B9A12" w:rsidR="00257117" w:rsidRDefault="00257117" w:rsidP="004349C7">
      <w:pPr>
        <w:pStyle w:val="BodyText"/>
      </w:pPr>
      <w:r>
        <w:t xml:space="preserve">The committee recognized that a stand-alone position would require additional funding, and suggested that if funding were preventative, the duties of a </w:t>
      </w:r>
      <w:r w:rsidR="001147D6">
        <w:t xml:space="preserve">tribal </w:t>
      </w:r>
      <w:r>
        <w:t xml:space="preserve">and </w:t>
      </w:r>
      <w:r w:rsidR="001147D6">
        <w:t xml:space="preserve">rural community </w:t>
      </w:r>
      <w:r>
        <w:t xml:space="preserve">liaison should be added to an existing staff member as part of their Full Time Employee duties. Some expressed concern that several staff members are now engaged either in outreach activities or the Council’s current social science efforts. Combining these responsibilities for a single staff member may require rewriting job descriptions and may cause disruptions with other staff responsibilities. However, the committee expressed that while disruptions might affect short-term responsibilities, the long-term benefits of a </w:t>
      </w:r>
      <w:r w:rsidR="001147D6">
        <w:t xml:space="preserve">tribal </w:t>
      </w:r>
      <w:r>
        <w:t xml:space="preserve">and </w:t>
      </w:r>
      <w:r w:rsidR="001147D6">
        <w:t xml:space="preserve">rural community </w:t>
      </w:r>
      <w:r>
        <w:t xml:space="preserve">liaison on staff would be worth the short-term disruptions. </w:t>
      </w:r>
    </w:p>
    <w:p w14:paraId="0518294A" w14:textId="3AC06406" w:rsidR="002C1640" w:rsidRDefault="002C1640" w:rsidP="001147D6">
      <w:pPr>
        <w:pStyle w:val="Heading2"/>
      </w:pPr>
      <w:bookmarkStart w:id="6" w:name="_Toc33792806"/>
      <w:r>
        <w:t>Co-presentation from Tribal representatives on all agenda items</w:t>
      </w:r>
      <w:bookmarkEnd w:id="6"/>
    </w:p>
    <w:p w14:paraId="01CA0E67" w14:textId="540DE0C5" w:rsidR="001147D6" w:rsidRDefault="00C44612" w:rsidP="001147D6">
      <w:pPr>
        <w:pStyle w:val="BodyText"/>
      </w:pPr>
      <w:r>
        <w:t xml:space="preserve">The Council periodically receives reports from industry cooperative members </w:t>
      </w:r>
      <w:r w:rsidR="0078547A">
        <w:t xml:space="preserve">at the request of the Council </w:t>
      </w:r>
      <w:r>
        <w:t>on issues of importance to the cooperatives, bycatch management, or other management issue</w:t>
      </w:r>
      <w:r w:rsidR="0078547A">
        <w:t>s</w:t>
      </w:r>
      <w:r w:rsidR="001147D6">
        <w:t xml:space="preserve">. Some </w:t>
      </w:r>
      <w:r>
        <w:t xml:space="preserve">committee members </w:t>
      </w:r>
      <w:r w:rsidR="001147D6">
        <w:t>felt that it would be useful for the Council to receive similar reports from tribal organizations</w:t>
      </w:r>
      <w:r w:rsidR="004A62E0">
        <w:t xml:space="preserve"> (perhaps as a B Report)</w:t>
      </w:r>
      <w:r w:rsidR="001147D6">
        <w:t xml:space="preserve">. </w:t>
      </w:r>
      <w:r>
        <w:t>The committee</w:t>
      </w:r>
      <w:r w:rsidR="001147D6">
        <w:t xml:space="preserve"> suggested that the Council should offer the opportunity for tribal presentations, but that the opportunity might not be taken up for all agenda items. Some committee members stated that it could be a responsibility of the tribal and rural community liaison to work with tribal </w:t>
      </w:r>
      <w:r w:rsidR="0063267C">
        <w:t xml:space="preserve">and rural </w:t>
      </w:r>
      <w:r w:rsidR="001147D6">
        <w:t xml:space="preserve">stakeholders to determine when </w:t>
      </w:r>
      <w:r w:rsidR="0063267C">
        <w:t>tribes and rural communities might wish to provide a report.</w:t>
      </w:r>
    </w:p>
    <w:p w14:paraId="028BABC9" w14:textId="15D597EA" w:rsidR="002C1640" w:rsidRDefault="002C1640" w:rsidP="002C1640">
      <w:pPr>
        <w:pStyle w:val="Heading2"/>
      </w:pPr>
      <w:bookmarkStart w:id="7" w:name="_Toc33792807"/>
      <w:r>
        <w:lastRenderedPageBreak/>
        <w:t>Standing Community Engagement o</w:t>
      </w:r>
      <w:r w:rsidR="0066417E">
        <w:t>r</w:t>
      </w:r>
      <w:r>
        <w:t xml:space="preserve"> Tribal Advisory Committee</w:t>
      </w:r>
      <w:bookmarkEnd w:id="7"/>
    </w:p>
    <w:p w14:paraId="162D13BE" w14:textId="74E3C968" w:rsidR="0063267C" w:rsidRDefault="0063267C" w:rsidP="0063267C">
      <w:pPr>
        <w:pStyle w:val="BodyText"/>
      </w:pPr>
      <w:r>
        <w:t xml:space="preserve">The committee </w:t>
      </w:r>
      <w:r w:rsidR="0078547A">
        <w:t xml:space="preserve">discussed whether </w:t>
      </w:r>
      <w:r>
        <w:t xml:space="preserve">the Council should have a standing committee to address and track the Council’s engagement work. The Community Engagement Committee was </w:t>
      </w:r>
      <w:r w:rsidR="0078547A">
        <w:t>established as an ad-</w:t>
      </w:r>
      <w:r w:rsidR="00DD55AA">
        <w:t>hoc committee</w:t>
      </w:r>
      <w:r>
        <w:t xml:space="preserve"> to provide recommendations to the Council to improve two-way engagement. A standing committee would continue to develop and improve the Council’s community engagement.</w:t>
      </w:r>
    </w:p>
    <w:p w14:paraId="237154F4" w14:textId="799C0C96" w:rsidR="002C1640" w:rsidRDefault="002C1640" w:rsidP="002C1640">
      <w:pPr>
        <w:pStyle w:val="Heading2"/>
      </w:pPr>
      <w:bookmarkStart w:id="8" w:name="_Toc33792808"/>
      <w:r>
        <w:t>Tribal Consultation</w:t>
      </w:r>
      <w:bookmarkEnd w:id="8"/>
    </w:p>
    <w:p w14:paraId="729BE17B" w14:textId="072C1E0C" w:rsidR="0063267C" w:rsidRDefault="00AF4E93" w:rsidP="0063267C">
      <w:pPr>
        <w:pStyle w:val="BodyText"/>
      </w:pPr>
      <w:r>
        <w:t xml:space="preserve">The committee spent a great deal of time on the concept of Tribal Consultation. The community engagement committee was formed because the Council is not responsible for Tribal Consultation, as all Federal agencies are. Rather, the Council develops policy and NMFS, as the action agency, is responsible for Tribal Consultation. The committee noted </w:t>
      </w:r>
      <w:r w:rsidR="00A375D7">
        <w:t>that there is a time disparity between a decision made by the Council and when</w:t>
      </w:r>
      <w:r w:rsidR="00FD32F6">
        <w:t xml:space="preserve"> NMFS’</w:t>
      </w:r>
      <w:r w:rsidR="00A375D7">
        <w:t xml:space="preserve"> tribal consultation occurs. </w:t>
      </w:r>
      <w:r w:rsidR="002D32A2">
        <w:t xml:space="preserve">NMFS must, by necessity, conduct consultations after the Council has made a recommendation on a particular action. NMFS cannot initiate consultation without having a proposed action. The committee noted that consultation that occurs during the analysis and decision-making period would allow for more meaningful input to the process. While the committee recognized that the Council does not have the ability to change how and when NMFS initiates consultation, the committee felt that there could be an opportunity to create a process whereby information from tribal and rural communities could be incorporated as the Council is reviewing analyses and deliberating decisions. </w:t>
      </w:r>
      <w:r w:rsidR="00FD32F6">
        <w:t>Some committee members noted that this is precisely the reason that the community engagement committee was formed, and noted that the Council has created the Social Sciences Planning Team and the Local and Traditional</w:t>
      </w:r>
      <w:r w:rsidR="00044EFC">
        <w:t xml:space="preserve"> Knowledge</w:t>
      </w:r>
      <w:r w:rsidR="00FD32F6">
        <w:t xml:space="preserve"> and Subsistence Action Module for the BS FEP specifically to consider ways to incorporate social and local and traditional information into the Council decision-making process. </w:t>
      </w:r>
    </w:p>
    <w:p w14:paraId="477DBF24" w14:textId="2BC38988" w:rsidR="00FD32F6" w:rsidRDefault="004E778B" w:rsidP="00FD32F6">
      <w:pPr>
        <w:pStyle w:val="Heading2"/>
      </w:pPr>
      <w:bookmarkStart w:id="9" w:name="_Toc33792809"/>
      <w:r>
        <w:t xml:space="preserve">Modifying </w:t>
      </w:r>
      <w:r w:rsidR="002C1640">
        <w:t xml:space="preserve">Public </w:t>
      </w:r>
      <w:bookmarkEnd w:id="9"/>
      <w:r>
        <w:t>Comment Procedures</w:t>
      </w:r>
    </w:p>
    <w:p w14:paraId="2E5C5F68" w14:textId="7885A847" w:rsidR="00DF520C" w:rsidRDefault="00DF520C" w:rsidP="00DF520C">
      <w:pPr>
        <w:pStyle w:val="BodyText"/>
      </w:pPr>
      <w:r>
        <w:t>Members of the committee and member</w:t>
      </w:r>
      <w:r w:rsidR="0078547A">
        <w:t>s</w:t>
      </w:r>
      <w:r>
        <w:t xml:space="preserve"> of the public from rural communities have expressed that providing public testimony is a challenge that can prevent their voices from being heard at the Council. Some of the contributors to making public testimony a challenge include </w:t>
      </w:r>
      <w:r w:rsidR="004D782D">
        <w:t>significant costs and logistical challenges</w:t>
      </w:r>
      <w:r w:rsidR="0078547A">
        <w:t xml:space="preserve"> of traveling to meetings</w:t>
      </w:r>
      <w:r w:rsidR="004D782D">
        <w:t xml:space="preserve">, </w:t>
      </w:r>
      <w:r>
        <w:t xml:space="preserve">a lack of understanding about why it is important to testify, a lack of understanding of terminology and acronyms used by the Council, a lack of historical knowledge of fishery management in Alaska, and fear of testifying in an unfamiliar and unfriendly setting. </w:t>
      </w:r>
    </w:p>
    <w:p w14:paraId="13DD0BF2" w14:textId="56CC762B" w:rsidR="004D782D" w:rsidRDefault="004D782D" w:rsidP="00DF520C">
      <w:pPr>
        <w:pStyle w:val="BodyText"/>
      </w:pPr>
      <w:r>
        <w:t xml:space="preserve">The Council has taken many steps to make testifying in writing easier for all stakeholders. Each committee meeting, advisory body meeting, and Council meeting has an electronic agenda that is available via </w:t>
      </w:r>
      <w:hyperlink r:id="rId11" w:history="1">
        <w:r w:rsidRPr="004D782D">
          <w:rPr>
            <w:rStyle w:val="Hyperlink"/>
          </w:rPr>
          <w:t>meetings.npfmc.org</w:t>
        </w:r>
      </w:hyperlink>
      <w:r>
        <w:t xml:space="preserve"> and contains links to allow stakeholders to provide written testimony on any agenda item. </w:t>
      </w:r>
      <w:r w:rsidR="004A62E0">
        <w:t xml:space="preserve">An option </w:t>
      </w:r>
      <w:r w:rsidR="004B7BC2">
        <w:t xml:space="preserve">discussed by the committee </w:t>
      </w:r>
      <w:r w:rsidR="004A62E0">
        <w:t xml:space="preserve">could be to also accept an audio recording of comment that could be attached, as is done for a written comment file. </w:t>
      </w:r>
      <w:r>
        <w:t>Some stakeholders, however, may not have regular computer or internet access and may still wish to provide testimony in person. The community engagement committee considered several possibilities to allow tribal and rural stakeholders to provide oral testimony from their communities, or in person testimony during the meeting.</w:t>
      </w:r>
    </w:p>
    <w:p w14:paraId="7DEE87F1" w14:textId="54746838" w:rsidR="004D782D" w:rsidRDefault="00776C78" w:rsidP="00DF520C">
      <w:pPr>
        <w:pStyle w:val="BodyText"/>
      </w:pPr>
      <w:r>
        <w:t>To address logistical and cost issues, the committee considered providing opportunity on the Council’s agenda (e.g.,</w:t>
      </w:r>
      <w:r w:rsidR="004E778B">
        <w:t xml:space="preserve"> during</w:t>
      </w:r>
      <w:r>
        <w:t xml:space="preserve"> B Reports) to allow testimony on any agenda item from those stakeholders who are unable to stay for the entire Council meeting. This could provide opportunity for stakeholders to be present for committee, SSC, and AP meetings and provide testimony to the Council in a few days rather than remaining at the meeting for a week or more. The committee considered whether this </w:t>
      </w:r>
      <w:r w:rsidR="0078547A">
        <w:t xml:space="preserve">could </w:t>
      </w:r>
      <w:r>
        <w:t xml:space="preserve">be offered only to rural stakeholders or </w:t>
      </w:r>
      <w:r w:rsidR="0078547A">
        <w:t xml:space="preserve">must be made </w:t>
      </w:r>
      <w:r>
        <w:t xml:space="preserve">available to all </w:t>
      </w:r>
      <w:r w:rsidR="0011282F">
        <w:t xml:space="preserve">stakeholders </w:t>
      </w:r>
      <w:r w:rsidR="0078547A">
        <w:t xml:space="preserve">and </w:t>
      </w:r>
      <w:r>
        <w:t xml:space="preserve">acknowledged that this </w:t>
      </w:r>
      <w:r w:rsidR="00044EFC">
        <w:t>c</w:t>
      </w:r>
      <w:r>
        <w:t xml:space="preserve">ould be </w:t>
      </w:r>
      <w:r w:rsidR="00044EFC">
        <w:t xml:space="preserve">logistically challenging. </w:t>
      </w:r>
      <w:r>
        <w:t xml:space="preserve"> </w:t>
      </w:r>
    </w:p>
    <w:p w14:paraId="1F338AE4" w14:textId="674F7FA1" w:rsidR="00776C78" w:rsidRDefault="00776C78" w:rsidP="00DF520C">
      <w:pPr>
        <w:pStyle w:val="BodyText"/>
      </w:pPr>
      <w:bookmarkStart w:id="10" w:name="_GoBack"/>
      <w:r>
        <w:lastRenderedPageBreak/>
        <w:t xml:space="preserve">Another opportunity to address logistical and cost constraints for rural stakeholders </w:t>
      </w:r>
      <w:r w:rsidR="004B7BC2">
        <w:t>could be</w:t>
      </w:r>
      <w:r>
        <w:t xml:space="preserve"> to allow </w:t>
      </w:r>
      <w:bookmarkEnd w:id="10"/>
      <w:r>
        <w:t xml:space="preserve">testimony via teleconference or videoconferencing services. Many of the hub communities have teleconference and videoconference services. Travel from outlying communities to the hubs could substantially reduce travel costs for stakeholders </w:t>
      </w:r>
      <w:r w:rsidR="004B7BC2">
        <w:t>compared to</w:t>
      </w:r>
      <w:r>
        <w:t xml:space="preserve"> travel to hub communities, then to Anchorage or other communities in Alaska, Washington, or Oregon where the Council meeting is held. Committee members noted that other meetings have provided opportunities for videoconference testimony, so this is not new to rural or tribal stakeholders. Committee members acknowledged that this may add considerable time to Council meetings, depending on the number of rural communities and stakeholders </w:t>
      </w:r>
      <w:r w:rsidR="002A455A">
        <w:t xml:space="preserve">that </w:t>
      </w:r>
      <w:r>
        <w:t xml:space="preserve">participated. </w:t>
      </w:r>
      <w:r w:rsidR="007252FF">
        <w:t xml:space="preserve">Committee members also questioned whether the normal 3- or 6-minute time constraint for personal or organizational comment could be </w:t>
      </w:r>
      <w:r w:rsidR="004B7BC2">
        <w:t>lengthened</w:t>
      </w:r>
      <w:r w:rsidR="007252FF">
        <w:t xml:space="preserve"> for videoconference or teleconference testimony. </w:t>
      </w:r>
    </w:p>
    <w:p w14:paraId="463FF780" w14:textId="6FE04257" w:rsidR="007252FF" w:rsidRPr="00DF520C" w:rsidRDefault="002A455A" w:rsidP="00DF520C">
      <w:pPr>
        <w:pStyle w:val="BodyText"/>
      </w:pPr>
      <w:r>
        <w:t xml:space="preserve">The committee also considered ways to address the fear of testifying that prevents some tribal and rural stakeholders from providing testimony. The committee acknowledged that the multiple opportunities for written comment provided by the Council may address some fears, but when stakeholders wish to provide testimony in person the unfamiliar and potentially intimidating Council setting can be a barrier. To address this, the committee </w:t>
      </w:r>
      <w:r w:rsidR="008050DD">
        <w:t xml:space="preserve">discussed </w:t>
      </w:r>
      <w:r>
        <w:t xml:space="preserve">allowing a single testifier to speak for multiple community members </w:t>
      </w:r>
      <w:proofErr w:type="gramStart"/>
      <w:r>
        <w:t>as a way to</w:t>
      </w:r>
      <w:proofErr w:type="gramEnd"/>
      <w:r>
        <w:t xml:space="preserve"> indicate to the Council that multiple community members share the comment or concern. This could be done by allowing the community members present to briefly stand before testimony is given to indicate their agreement</w:t>
      </w:r>
      <w:r w:rsidR="0052559A">
        <w:t xml:space="preserve">. Another opportunity suggested by the committee is to allow testifiers to waive the opportunity for questions. This may remedy the fear of speaking publicly that some stakeholders, who may be willing to read a prepared statement, say prevents them from testifying. The committee acknowledged that questioning testifiers is an important part of the Council </w:t>
      </w:r>
      <w:r w:rsidR="0011282F">
        <w:t>process and</w:t>
      </w:r>
      <w:r w:rsidR="0052559A">
        <w:t xml:space="preserve"> may be vital to clarify the intent of the </w:t>
      </w:r>
      <w:r w:rsidR="004E778B">
        <w:t>comment</w:t>
      </w:r>
      <w:r w:rsidR="0052559A">
        <w:t xml:space="preserve">, but reiterate that it can be a barrier to some stakeholders providing any </w:t>
      </w:r>
      <w:r w:rsidR="004E778B">
        <w:t>comment</w:t>
      </w:r>
      <w:r w:rsidR="0052559A">
        <w:t xml:space="preserve">. </w:t>
      </w:r>
      <w:r>
        <w:t xml:space="preserve"> </w:t>
      </w:r>
    </w:p>
    <w:p w14:paraId="6457CE32" w14:textId="7AAE3598" w:rsidR="002C1640" w:rsidRDefault="002C1640" w:rsidP="002C1640">
      <w:pPr>
        <w:pStyle w:val="Heading2"/>
      </w:pPr>
      <w:bookmarkStart w:id="11" w:name="_Toc33792810"/>
      <w:r>
        <w:t>Travel support</w:t>
      </w:r>
      <w:bookmarkEnd w:id="11"/>
    </w:p>
    <w:p w14:paraId="084AFAA3" w14:textId="15D9E75D" w:rsidR="0052559A" w:rsidRDefault="00A9392A" w:rsidP="0052559A">
      <w:pPr>
        <w:pStyle w:val="BodyText"/>
      </w:pPr>
      <w:r>
        <w:t>Committee members and public comment made it very clear that Council meeting logistics are a major impediment for rural Alaskan participation. The costs associated with air travel to Anchorage or other city in or outside of Alaska, food and lodging, and other associated costs make it very difficult for individuals to attend, and can make it prohibitive for representatives of communities or organizations to attend Council meetings in or out of Alaska. Man</w:t>
      </w:r>
      <w:r w:rsidR="004E778B">
        <w:t>y</w:t>
      </w:r>
      <w:r>
        <w:t xml:space="preserve"> of the suggestions considered by the committee focused on ways to either reduce direct costs to rural Alaskan attendees, particularly for individual</w:t>
      </w:r>
      <w:r w:rsidR="004E778B">
        <w:t>s</w:t>
      </w:r>
      <w:r>
        <w:t xml:space="preserve"> </w:t>
      </w:r>
      <w:r w:rsidR="004E778B">
        <w:t>and</w:t>
      </w:r>
      <w:r>
        <w:t xml:space="preserve"> organizations without financial means to send representatives, or alternatives to attending a Council meeting that still allow participation by rural Alaskan residents.</w:t>
      </w:r>
    </w:p>
    <w:p w14:paraId="00E7CDE5" w14:textId="12A5C435" w:rsidR="00A9392A" w:rsidRDefault="009D73C2" w:rsidP="0052559A">
      <w:pPr>
        <w:pStyle w:val="BodyText"/>
      </w:pPr>
      <w:r>
        <w:t xml:space="preserve">One alternative discussed by the committee to ease the logistic constraints on direct participation is development of travel scholarships that could provide funding for Tribes to participate in Council meetings. The intention is to reach Tribes and people who are not already part of the Council process, those that have not been able to participate previously. </w:t>
      </w:r>
      <w:r w:rsidR="001C5EBB">
        <w:t xml:space="preserve">Possibilities for scholarships include Federally funded scholarships operated through the Council, and non-Federally funded operated through regional </w:t>
      </w:r>
      <w:r w:rsidR="008050DD">
        <w:t xml:space="preserve">Alaska Native </w:t>
      </w:r>
      <w:r w:rsidR="001C5EBB">
        <w:t xml:space="preserve">corporations, CDQ groups, or other non-profit organizations. Existing mentorship and training programs (e.g., NSF Partners in Education and Research, AK Sea Grant Young Fishermen) might be expanded to provide opportunities for Tribal and rural communities to participate in the Council process. </w:t>
      </w:r>
    </w:p>
    <w:p w14:paraId="4089C61F" w14:textId="6DDF2F77" w:rsidR="002C1640" w:rsidRDefault="002C1640" w:rsidP="002C1640">
      <w:pPr>
        <w:pStyle w:val="Heading2"/>
      </w:pPr>
      <w:bookmarkStart w:id="12" w:name="_Toc33792811"/>
      <w:r>
        <w:t>Council travel to rural communities</w:t>
      </w:r>
      <w:bookmarkEnd w:id="12"/>
    </w:p>
    <w:p w14:paraId="262CD5C7" w14:textId="7D191454" w:rsidR="001C5EBB" w:rsidRPr="001C5EBB" w:rsidRDefault="001C5EBB" w:rsidP="001C5EBB">
      <w:pPr>
        <w:pStyle w:val="BodyText"/>
      </w:pPr>
      <w:r>
        <w:t xml:space="preserve">Another opportunity to address costs for rural residents to travel to Council meetings is to </w:t>
      </w:r>
      <w:r w:rsidR="008050DD">
        <w:t xml:space="preserve">continue to </w:t>
      </w:r>
      <w:r>
        <w:t>provide opportunity to introduce Council members to rural Alaska.</w:t>
      </w:r>
      <w:r w:rsidR="008050DD">
        <w:t xml:space="preserve"> In the past, such travel has been associated with outreach on specific action items that are important to rural communities.</w:t>
      </w:r>
      <w:r>
        <w:t xml:space="preserve"> At several </w:t>
      </w:r>
      <w:r>
        <w:lastRenderedPageBreak/>
        <w:t>meetings, the committee expressed the importance of getting Council members to visit rural or Alaska Native communities at least once per year, outside of the Councils regular meeting schedule. The committee stressed that the Council should consider visiting both hub communities and smaller communities beyond the hubs. The last Council members</w:t>
      </w:r>
      <w:r w:rsidR="004E778B">
        <w:t>’</w:t>
      </w:r>
      <w:r>
        <w:t xml:space="preserve"> trip to St. Paul Island was noted as a successful model for Council member visits, but the committee also stressed that it is important that multiple Council members attend along with Council staff. </w:t>
      </w:r>
    </w:p>
    <w:p w14:paraId="01488306" w14:textId="6D5F8547" w:rsidR="002C1640" w:rsidRDefault="002C1640" w:rsidP="002C1640">
      <w:pPr>
        <w:pStyle w:val="Heading2"/>
      </w:pPr>
      <w:bookmarkStart w:id="13" w:name="_Toc33792812"/>
      <w:r>
        <w:t>Measuring success of engagement efforts</w:t>
      </w:r>
      <w:bookmarkEnd w:id="13"/>
    </w:p>
    <w:p w14:paraId="0488EB8F" w14:textId="3BA5C333" w:rsidR="001C5EBB" w:rsidRPr="001C5EBB" w:rsidRDefault="00243638" w:rsidP="001C5EBB">
      <w:pPr>
        <w:pStyle w:val="BodyText"/>
      </w:pPr>
      <w:r>
        <w:t>The committee discussed ways that the Council can track the effects of any engagement efforts that are ultimately enacted. For example, the committee has previously recommended using social media (e.g., Facebook) as a way to reach rural communities. Although Council staff tried multiple times to create a Council Facebook profile, the effort was not successful. New security actions implemented by Facebook make creating an organizational page extremely onerous. The committee noted that there should be some way to record strategies that were tried, and whether or not they were successful. Beyond that, the committee stated that the Council should consider developing qualitative and quantitative metrics through which the Council can measure the impact of its engagement strategies. No specific metrics were provided, but the Social Sciences Planning Team and the LK/TK/Subsistence Task Force may be able to consider and develop those metrics during their process.</w:t>
      </w:r>
    </w:p>
    <w:p w14:paraId="1E4314E4" w14:textId="613E6241" w:rsidR="002C1640" w:rsidRDefault="002C1640" w:rsidP="002C1640">
      <w:pPr>
        <w:pStyle w:val="Heading2"/>
      </w:pPr>
      <w:bookmarkStart w:id="14" w:name="_Toc33792813"/>
      <w:r>
        <w:t>Outreach</w:t>
      </w:r>
      <w:bookmarkEnd w:id="14"/>
    </w:p>
    <w:p w14:paraId="314C3294" w14:textId="25E807CB" w:rsidR="00243638" w:rsidRDefault="0061335A" w:rsidP="00243638">
      <w:pPr>
        <w:pStyle w:val="BodyText"/>
      </w:pPr>
      <w:r>
        <w:t xml:space="preserve">The committee has consistently stated that they recognize the difference between the outreach that the Council is already doing and two-way engagement. Although this committee was established to improve the Council’s engagement with tribal and rural communities, the committee has repeatedly expressed that the current outreach process is a good process and should continue. </w:t>
      </w:r>
    </w:p>
    <w:p w14:paraId="517FAB45" w14:textId="315F428E" w:rsidR="00002B27" w:rsidRDefault="00002B27" w:rsidP="00243638">
      <w:pPr>
        <w:pStyle w:val="BodyText"/>
      </w:pPr>
      <w:r>
        <w:t xml:space="preserve">The Council’s current outreach strategies were developed by the Outreach Committee which was active from 2009-2011. The outreach committee designed a three-prong strategy for informing communities of actions that the Council was considering at the time (e.g., Chinook salmon bycatch reduction). The strategy consisted of direct mailings to rural communities and tribal organizations, </w:t>
      </w:r>
      <w:r w:rsidR="0067116A">
        <w:t>attendance at regional meetings, and direct report to the Council</w:t>
      </w:r>
      <w:r>
        <w:t xml:space="preserve">. As an example, for the initial Chinook salmon bycatch reduction measures </w:t>
      </w:r>
      <w:r w:rsidR="0067116A">
        <w:t>Council staff sent direct mailings in 2009, 2010, and 2011 to more than 600 stakeholders, including community governments, regional and village Native Corporations, regional non-profits Native corporations, Tribal entities, Federal Subsistence Regional Advisory Councils, Community Develop Quota corporations, ADF&amp;G Regional Coordinators, and other community or Native entities. Council staff also hosted a statewide teleconference in 2010 to inform the public of the suite of alternatives that the Council was considering and allow the public to ask technical questions of the analysts. Council members and Council staff attend</w:t>
      </w:r>
      <w:r w:rsidR="00C12CC5">
        <w:t>ed</w:t>
      </w:r>
      <w:r w:rsidR="0067116A">
        <w:t xml:space="preserve"> </w:t>
      </w:r>
      <w:r w:rsidR="008050DD">
        <w:t xml:space="preserve">several </w:t>
      </w:r>
      <w:r w:rsidR="0067116A">
        <w:t>meetings</w:t>
      </w:r>
      <w:r w:rsidR="008050DD">
        <w:t>, often in rural locations,</w:t>
      </w:r>
      <w:r w:rsidR="0067116A">
        <w:t xml:space="preserve"> of the Yukon River Panel, Yukon River Drainage Fisheries Association, Yukon-Kuskokwim Delta Regional Advisory Council, Western Interior Regional Advisory Council, Eastern Interior Regional Advisory Council, Bristol Bay Regional Advisory Council, and Tanana Chiefs Conference</w:t>
      </w:r>
      <w:r w:rsidR="0067116A">
        <w:rPr>
          <w:rStyle w:val="FootnoteReference"/>
        </w:rPr>
        <w:footnoteReference w:id="2"/>
      </w:r>
      <w:r w:rsidR="0067116A">
        <w:t xml:space="preserve">. Council staff continue to visit Federal Subsistence Regional Advisory Councils annually, upon request, to provide the latest updates to salmon and halibut bycatch management measures. </w:t>
      </w:r>
    </w:p>
    <w:p w14:paraId="45A5A3A2" w14:textId="77777777" w:rsidR="008050DD" w:rsidRDefault="00C6789D" w:rsidP="00243638">
      <w:pPr>
        <w:pStyle w:val="BodyText"/>
      </w:pPr>
      <w:r>
        <w:t xml:space="preserve">A list of the communication, outreach, and engagement practices that the Council employs was provided to the committee in April 2019, and is included as Appendix B. The committee recommended that those practices should </w:t>
      </w:r>
      <w:r w:rsidR="0011282F">
        <w:t>continue and</w:t>
      </w:r>
      <w:r>
        <w:t xml:space="preserve"> be augmented by </w:t>
      </w:r>
      <w:r w:rsidR="008310E3">
        <w:t xml:space="preserve">improvements to information delivery and strategies to foster two-way engagement. </w:t>
      </w:r>
    </w:p>
    <w:p w14:paraId="5C5B5CDD" w14:textId="38685027" w:rsidR="00C12CC5" w:rsidRDefault="00C12CC5" w:rsidP="00C12CC5">
      <w:pPr>
        <w:pStyle w:val="Heading3"/>
      </w:pPr>
      <w:r>
        <w:lastRenderedPageBreak/>
        <w:t>Outreach recommendations enacted by the Council</w:t>
      </w:r>
    </w:p>
    <w:p w14:paraId="5EF22044" w14:textId="2B8EF946" w:rsidR="0067116A" w:rsidRPr="00243638" w:rsidRDefault="008310E3" w:rsidP="00243638">
      <w:pPr>
        <w:pStyle w:val="BodyText"/>
      </w:pPr>
      <w:r>
        <w:t xml:space="preserve">In June 2019, the committee identified a list of actions that the Council could consider. While this list was intended to inform this final report of the committee, Council leadership determined that some of the recommendations could be implemented immediately, without need to wait. In October 2019, Council staff identified a number of initiatives that the Council had enacted, based on the committee’s recommendation in June, including: new flyers and information materials prepared to support the “Introduction to the Council Process” informational session hosted by the Council on a Tuesday evening before the Council meeting started, </w:t>
      </w:r>
      <w:r w:rsidR="004A62E0">
        <w:t xml:space="preserve">a three-meeting outlook with staff leads identified, </w:t>
      </w:r>
      <w:r>
        <w:t xml:space="preserve">a brief summary of agenda items to quickly communicate the purpose of each agenda item, and the Council meeting press release that was distributed to print, radio, and television media outlets to inform the local community of the Council meeting. The committee commended Council staff for the work done and provided some feedback and potential improvements to the materials. Updates to the materials are being prepared and a second “Introduction to the Council Process” informational session </w:t>
      </w:r>
      <w:r w:rsidR="00C12CC5">
        <w:t>was</w:t>
      </w:r>
      <w:r>
        <w:t xml:space="preserve"> planned in association with the community engagement committee meeting in Bethel, AK in April 2020.</w:t>
      </w:r>
      <w:r w:rsidR="00C12CC5">
        <w:t xml:space="preserve"> However, restrictions from the COVID-19 pandemic precluded the committee meeting in Bethel. </w:t>
      </w:r>
    </w:p>
    <w:p w14:paraId="285B3935" w14:textId="507576FC" w:rsidR="002C1640" w:rsidRDefault="004E778B" w:rsidP="002C1640">
      <w:pPr>
        <w:pStyle w:val="Heading2"/>
      </w:pPr>
      <w:bookmarkStart w:id="15" w:name="_Toc33792814"/>
      <w:r>
        <w:t xml:space="preserve">Oral </w:t>
      </w:r>
      <w:r w:rsidR="002C1640">
        <w:t>Public Comment</w:t>
      </w:r>
      <w:bookmarkEnd w:id="15"/>
    </w:p>
    <w:p w14:paraId="7D3FD0BC" w14:textId="01CDA0EB" w:rsidR="00855690" w:rsidRDefault="00855690" w:rsidP="008310E3">
      <w:pPr>
        <w:pStyle w:val="BodyText"/>
      </w:pPr>
      <w:r>
        <w:t>As noted previously, the Council provides multiple opportunities for the public to provide comment or testimony throughout the process. Each action is generally reviewed by the Council and its advisory bodies at least twice, with oral and written comment opportunities at each meeting. In general, oral comment is provided for the benefit of the body meeting at the time, while written testimony will be included in each advisory body meeting. In other words, written testimony submitted via the online submission system (</w:t>
      </w:r>
      <w:hyperlink r:id="rId12" w:history="1">
        <w:r w:rsidRPr="00855690">
          <w:rPr>
            <w:rStyle w:val="Hyperlink"/>
          </w:rPr>
          <w:t>meetings.npfmc.org</w:t>
        </w:r>
      </w:hyperlink>
      <w:r>
        <w:t xml:space="preserve">) for a committee meeting will be included in that agenda item for the SSC, AP, and Council when those other bodies are also considering that item. This allows the comment to be submitted to each body as the commenter intended. </w:t>
      </w:r>
    </w:p>
    <w:p w14:paraId="3E4D9648" w14:textId="334A9A84" w:rsidR="008310E3" w:rsidRPr="008310E3" w:rsidRDefault="00855690" w:rsidP="008310E3">
      <w:pPr>
        <w:pStyle w:val="BodyText"/>
      </w:pPr>
      <w:r>
        <w:t xml:space="preserve">The committee has suggested that Council staff should summarize the public comment provided by each commenter in committee minutes. In </w:t>
      </w:r>
      <w:r w:rsidR="004E778B">
        <w:t>other</w:t>
      </w:r>
      <w:r>
        <w:t xml:space="preserve"> committees, staff have summarize</w:t>
      </w:r>
      <w:r w:rsidR="004E778B">
        <w:t>d</w:t>
      </w:r>
      <w:r>
        <w:t xml:space="preserve"> comments provided</w:t>
      </w:r>
      <w:r w:rsidR="005A5331">
        <w:t>. However, commenters have complained that summaries in committee minutes have</w:t>
      </w:r>
      <w:r w:rsidR="00174F0C">
        <w:t>, sometimes,</w:t>
      </w:r>
      <w:r w:rsidR="005A5331">
        <w:t xml:space="preserve"> not adequately conveyed </w:t>
      </w:r>
      <w:r w:rsidR="00A346D2">
        <w:t xml:space="preserve">what was intended. </w:t>
      </w:r>
      <w:r w:rsidR="004A62E0">
        <w:t xml:space="preserve">Thus, there is currently a staff policy that </w:t>
      </w:r>
      <w:r w:rsidR="00174F0C">
        <w:t>staff will not summarize public comment in committee reports</w:t>
      </w:r>
      <w:r w:rsidR="004A62E0">
        <w:t xml:space="preserve">. </w:t>
      </w:r>
      <w:r w:rsidR="00A346D2">
        <w:t xml:space="preserve">Allowing the commenter to provide their own oral or written comment removes the potential for misinterpretation and misreporting.  </w:t>
      </w:r>
    </w:p>
    <w:p w14:paraId="64B4C93D" w14:textId="73E1C0DE" w:rsidR="002C1640" w:rsidRDefault="002C1640" w:rsidP="002C1640">
      <w:pPr>
        <w:pStyle w:val="Heading2"/>
      </w:pPr>
      <w:bookmarkStart w:id="16" w:name="_Toc33792815"/>
      <w:r>
        <w:t>Recording all Council and advisory body meetings</w:t>
      </w:r>
      <w:bookmarkEnd w:id="16"/>
    </w:p>
    <w:p w14:paraId="36B0F531" w14:textId="76F2DDC3" w:rsidR="00A346D2" w:rsidRPr="00A346D2" w:rsidRDefault="00A346D2" w:rsidP="00A346D2">
      <w:pPr>
        <w:pStyle w:val="BodyText"/>
      </w:pPr>
      <w:r>
        <w:t>All Council meetings are recorded and the recording is made available to the public through the Council’s website (</w:t>
      </w:r>
      <w:hyperlink r:id="rId13" w:history="1">
        <w:r>
          <w:rPr>
            <w:rStyle w:val="Hyperlink"/>
          </w:rPr>
          <w:t>https://www.npfmc.org/council-meeting-archive/</w:t>
        </w:r>
      </w:hyperlink>
      <w:r>
        <w:t>). The Council’s policy is that only the Council meeting is recorded and archived. Some members of the community engagement committee expressed that all Council committee, SSC, AP, and other advisory body meetings should be recorded</w:t>
      </w:r>
      <w:r w:rsidR="005A5331">
        <w:t xml:space="preserve"> and made available to the public</w:t>
      </w:r>
      <w:r>
        <w:t xml:space="preserve">. </w:t>
      </w:r>
    </w:p>
    <w:p w14:paraId="370CC4C2" w14:textId="5EF6933C" w:rsidR="002C1640" w:rsidRDefault="002C1640" w:rsidP="002C1640">
      <w:pPr>
        <w:pStyle w:val="Heading2"/>
      </w:pPr>
      <w:bookmarkStart w:id="17" w:name="_Toc33792816"/>
      <w:r>
        <w:t>Cultural Awareness training</w:t>
      </w:r>
      <w:bookmarkEnd w:id="17"/>
    </w:p>
    <w:p w14:paraId="347B47DA" w14:textId="20FCA03C" w:rsidR="00A346D2" w:rsidRPr="00A346D2" w:rsidRDefault="00A346D2" w:rsidP="00A346D2">
      <w:pPr>
        <w:pStyle w:val="BodyText"/>
      </w:pPr>
      <w:r>
        <w:t xml:space="preserve">One of the recommendations from the community engagement committee was that new Council employees </w:t>
      </w:r>
      <w:r w:rsidR="00396FBA">
        <w:t xml:space="preserve">and Council members </w:t>
      </w:r>
      <w:r>
        <w:t>should have cultural awareness training, because many of the employees</w:t>
      </w:r>
      <w:r w:rsidR="00CC6CCD">
        <w:t xml:space="preserve"> and Council members</w:t>
      </w:r>
      <w:r>
        <w:t xml:space="preserve"> </w:t>
      </w:r>
      <w:r w:rsidR="00396FBA">
        <w:t>are unfamiliar with rural Alaska</w:t>
      </w:r>
      <w:r>
        <w:t>. Council leadership determined that this training was</w:t>
      </w:r>
      <w:r w:rsidR="000F7ECC">
        <w:t xml:space="preserve"> one of the recommendations that could be implemented immediately rather than waiting for the final committee report. Council staff, therefore, began a search for an organization that could provide training for Council staff, Council agency partners, and the Council members within the time and budget constraints of the Council. In general, the Council was seeking one-day training for Council staff and agency partners, and </w:t>
      </w:r>
      <w:proofErr w:type="gramStart"/>
      <w:r w:rsidR="000F7ECC">
        <w:t>3-4 hour</w:t>
      </w:r>
      <w:proofErr w:type="gramEnd"/>
      <w:r w:rsidR="000F7ECC">
        <w:t xml:space="preserve"> training for Council members. Although multiple organizations were </w:t>
      </w:r>
      <w:r w:rsidR="000F7ECC">
        <w:lastRenderedPageBreak/>
        <w:t xml:space="preserve">contacted, none had training materials that met the time constraints (most training was 40 hours). One proposal from a company recommended by resource development companies operating in rural Alaska met the constraints and </w:t>
      </w:r>
      <w:r w:rsidR="00E64ADD">
        <w:t xml:space="preserve">the company </w:t>
      </w:r>
      <w:r w:rsidR="000F7ECC">
        <w:t xml:space="preserve">was contracted to provide training. Unfortunately, the company was unable to meet the contract requirements and the contract was cancelled. Therefore, this remains one of the </w:t>
      </w:r>
      <w:r w:rsidR="00396FBA">
        <w:t xml:space="preserve">ongoing </w:t>
      </w:r>
      <w:r w:rsidR="000F7ECC">
        <w:t>priorities for staff, agency partner, and Council training.</w:t>
      </w:r>
    </w:p>
    <w:p w14:paraId="1223DD0E" w14:textId="2E189E9A" w:rsidR="002C1640" w:rsidRDefault="002C1640" w:rsidP="002C1640">
      <w:pPr>
        <w:pStyle w:val="Heading2"/>
      </w:pPr>
      <w:bookmarkStart w:id="18" w:name="_Toc33792817"/>
      <w:r>
        <w:t>Co-Production of knowledge</w:t>
      </w:r>
      <w:bookmarkEnd w:id="18"/>
    </w:p>
    <w:p w14:paraId="018945C7" w14:textId="2E82EAAC" w:rsidR="000F7ECC" w:rsidRPr="000F7ECC" w:rsidRDefault="005D0342" w:rsidP="000F7ECC">
      <w:pPr>
        <w:pStyle w:val="BodyText"/>
      </w:pPr>
      <w:r>
        <w:t>The committee at several times briefly discussed co-production of knowledge, a relatively new process to develop a body of knowledge that equally considers western “scientific” knowledge and traditional knowledge. Several other Council committees (Ecosystem Committee, Social Sciences Planning Team</w:t>
      </w:r>
      <w:r w:rsidR="00A75802">
        <w:t>, BS FEP LK/TK/Subsistence Task Force</w:t>
      </w:r>
      <w:r>
        <w:t>) have considered co-production of knowledge. The Council is not in a position to develop co-produced knowledge, but those other Council committees have expressed the value of co-produced knowledge, and this committee also encouraged the Council to consider co-produced knowledge on an equal footing as western “scientific” knowledge during its decision-making process.</w:t>
      </w:r>
    </w:p>
    <w:p w14:paraId="0E1F2988" w14:textId="34A752E5" w:rsidR="002C1640" w:rsidRPr="002C1640" w:rsidRDefault="002C1640" w:rsidP="002C1640">
      <w:pPr>
        <w:pStyle w:val="Heading2"/>
      </w:pPr>
      <w:bookmarkStart w:id="19" w:name="_Toc33792818"/>
      <w:r>
        <w:t>Recognizing Tribes as governments throughout the Council process</w:t>
      </w:r>
      <w:bookmarkEnd w:id="19"/>
    </w:p>
    <w:p w14:paraId="15F683DE" w14:textId="169BD41F" w:rsidR="00560422" w:rsidRDefault="005D0342" w:rsidP="00641960">
      <w:pPr>
        <w:pStyle w:val="BodyText"/>
      </w:pPr>
      <w:r>
        <w:t xml:space="preserve">The community engagement committee had some discussion about Federal recognition of Tribes as co-equal governments. Although the Council is not a Federal agency, some committee members felt that the Council could also consider Tribal entities as governments and develop protocols for including Tribes in the process. </w:t>
      </w:r>
    </w:p>
    <w:p w14:paraId="154515E4" w14:textId="12ED1502" w:rsidR="00D527FD" w:rsidRDefault="00512E16" w:rsidP="00D527FD">
      <w:pPr>
        <w:pStyle w:val="Heading1"/>
      </w:pPr>
      <w:bookmarkStart w:id="20" w:name="_Toc33792819"/>
      <w:r>
        <w:t>Potential constraints for the Council</w:t>
      </w:r>
      <w:bookmarkEnd w:id="20"/>
    </w:p>
    <w:p w14:paraId="2C4BB9DB" w14:textId="400D57F1" w:rsidR="00512E16" w:rsidRDefault="00512E16" w:rsidP="00512E16">
      <w:pPr>
        <w:pStyle w:val="BodyText"/>
      </w:pPr>
      <w:r>
        <w:t xml:space="preserve">The introduction to this paper noted that there may be logistical, legal, or cost constraints that the Council would consider as any recommendations are implemented. The recommendations of the committee are presented without regard to those constraints to accurately reflect the intention of the committee, who recognized that some of these recommendations would be considered aspirational and may not be immediately implementable. </w:t>
      </w:r>
      <w:r w:rsidR="0025679C">
        <w:t>The intention is not to address any and all constraints now, but to identify some of the known constraints to allow the committee, the public, and the Council to be aware of them as they consider this report</w:t>
      </w:r>
      <w:r>
        <w:t>.</w:t>
      </w:r>
    </w:p>
    <w:p w14:paraId="64BF0D81" w14:textId="5631D2E6" w:rsidR="00512E16" w:rsidRDefault="00512E16" w:rsidP="00512E16">
      <w:pPr>
        <w:pStyle w:val="Heading2"/>
      </w:pPr>
      <w:bookmarkStart w:id="21" w:name="_Toc33792820"/>
      <w:r>
        <w:t>Legal constraints</w:t>
      </w:r>
      <w:bookmarkEnd w:id="21"/>
    </w:p>
    <w:p w14:paraId="5074B82B" w14:textId="4AA36D89" w:rsidR="00512E16" w:rsidRDefault="00512E16" w:rsidP="00512E16">
      <w:pPr>
        <w:pStyle w:val="BodyText"/>
      </w:pPr>
      <w:r>
        <w:t xml:space="preserve">Legal constraints, if they exist, </w:t>
      </w:r>
      <w:r w:rsidR="00A75802">
        <w:t>may</w:t>
      </w:r>
      <w:r>
        <w:t xml:space="preserve"> be the most challenging for the Council to address. </w:t>
      </w:r>
      <w:r w:rsidR="00E477E1">
        <w:t>General Counsel will likely be involved in any decisions that are taken by the Council</w:t>
      </w:r>
      <w:r w:rsidR="00A75802">
        <w:t xml:space="preserve"> that have legal implications</w:t>
      </w:r>
      <w:r w:rsidR="00E477E1">
        <w:t>. Although these recommendations may not be considered management measures, National Standard 4, which prohibits discrimination between residents of different states, may apply to some. Special dispensation for public comment, travel, or other matter</w:t>
      </w:r>
      <w:r w:rsidR="00396FBA">
        <w:t>s</w:t>
      </w:r>
      <w:r w:rsidR="00E477E1">
        <w:t xml:space="preserve"> may not be </w:t>
      </w:r>
      <w:r w:rsidR="00A75802">
        <w:t>authorized under the Council’s funding grant</w:t>
      </w:r>
      <w:r w:rsidR="00E477E1">
        <w:t xml:space="preserve">. </w:t>
      </w:r>
    </w:p>
    <w:p w14:paraId="29E19B29" w14:textId="01717D41" w:rsidR="00E477E1" w:rsidRDefault="00E477E1" w:rsidP="00E477E1">
      <w:pPr>
        <w:pStyle w:val="Heading2"/>
      </w:pPr>
      <w:bookmarkStart w:id="22" w:name="_Toc33792821"/>
      <w:r>
        <w:t>Logistical constraints</w:t>
      </w:r>
      <w:bookmarkEnd w:id="22"/>
    </w:p>
    <w:p w14:paraId="79DEE70C" w14:textId="1EE2AC1A" w:rsidR="00E477E1" w:rsidRDefault="004969D2" w:rsidP="00E477E1">
      <w:pPr>
        <w:pStyle w:val="BodyText"/>
      </w:pPr>
      <w:r>
        <w:t xml:space="preserve">Some of the recommendations from the committee may result in logistical challenges that could extend Council </w:t>
      </w:r>
      <w:r w:rsidR="00D41DF8">
        <w:t>meetings or</w:t>
      </w:r>
      <w:r>
        <w:t xml:space="preserve"> involve complicated travel arrangements. The Council will have to consider the expected benefits of some actions compared with the expected challenges for meetings that are already logistically complex. Other recommendations may involve telecommunications or internet bandwidth challenges that may preclude some communities from hosting Council meetings or advisory body meetings. This may be particularly true for some outlying communities which the committee has </w:t>
      </w:r>
      <w:r w:rsidR="00D41DF8">
        <w:lastRenderedPageBreak/>
        <w:t>prioritized for engagement. As internet connectivity is improved throughout Alaska, this constraint may be</w:t>
      </w:r>
      <w:r w:rsidR="00E64ADD">
        <w:t>come</w:t>
      </w:r>
      <w:r w:rsidR="00D41DF8">
        <w:t xml:space="preserve"> less important.</w:t>
      </w:r>
    </w:p>
    <w:p w14:paraId="38C4E59A" w14:textId="7F4ACF9C" w:rsidR="00D41DF8" w:rsidRDefault="00D41DF8" w:rsidP="00D41DF8">
      <w:pPr>
        <w:pStyle w:val="Heading2"/>
      </w:pPr>
      <w:bookmarkStart w:id="23" w:name="_Toc33792822"/>
      <w:r>
        <w:t>Cost constraints</w:t>
      </w:r>
      <w:bookmarkEnd w:id="23"/>
    </w:p>
    <w:p w14:paraId="6BE83094" w14:textId="4B3CB0B0" w:rsidR="004D6D61" w:rsidRDefault="00D41DF8" w:rsidP="00D60769">
      <w:pPr>
        <w:pStyle w:val="BodyText"/>
      </w:pPr>
      <w:r>
        <w:t xml:space="preserve">Some of the recommendations from the committee involve either new or modified staff positions, or additional travel for staff and Council members. The current budget climate creates challenges to increases in staff or travel costs. </w:t>
      </w:r>
      <w:r w:rsidR="00E64ADD">
        <w:t xml:space="preserve">The committee recognized the challenges that </w:t>
      </w:r>
      <w:r w:rsidR="00A75802">
        <w:t xml:space="preserve">level funding or </w:t>
      </w:r>
      <w:r w:rsidR="00E64ADD">
        <w:t>declining budgets create, but encourages the Council to consider the recommendations from the committee as staffing, travel, and other issues are considered.</w:t>
      </w:r>
    </w:p>
    <w:p w14:paraId="230B0D18" w14:textId="160940CD" w:rsidR="0025679C" w:rsidRDefault="0025679C" w:rsidP="0025679C">
      <w:pPr>
        <w:pStyle w:val="Heading2"/>
      </w:pPr>
      <w:bookmarkStart w:id="24" w:name="_Toc33792823"/>
      <w:r>
        <w:t>Other</w:t>
      </w:r>
      <w:bookmarkEnd w:id="24"/>
    </w:p>
    <w:p w14:paraId="7C07BB61" w14:textId="47E2AFAD" w:rsidR="0025679C" w:rsidRDefault="0025679C" w:rsidP="0025679C">
      <w:pPr>
        <w:pStyle w:val="BodyText"/>
      </w:pPr>
      <w:r>
        <w:t xml:space="preserve">There may be other constraints that analysts have not yet identified that may preclude some recommendations or may require adjustments or tradeoffs to be made. </w:t>
      </w:r>
      <w:r w:rsidR="00E64ADD">
        <w:t>The committee recognized that those constraints would be considered as Council leadership makes their decisions.</w:t>
      </w:r>
    </w:p>
    <w:p w14:paraId="0EF8BBD9" w14:textId="56BFE74D" w:rsidR="00E64ADD" w:rsidRDefault="00E64ADD" w:rsidP="00E64ADD">
      <w:pPr>
        <w:pStyle w:val="Heading1"/>
      </w:pPr>
      <w:r>
        <w:t>Conclusions</w:t>
      </w:r>
    </w:p>
    <w:p w14:paraId="1B194E24" w14:textId="4EF44F36" w:rsidR="00E64ADD" w:rsidRDefault="00E64ADD" w:rsidP="00E64ADD">
      <w:pPr>
        <w:pStyle w:val="BodyText"/>
      </w:pPr>
      <w:r>
        <w:t xml:space="preserve">The community engagement committee was established by the Council in June 2018 to consider opportunities to improve the Council’s engagement with tribal and rural Alaskan communities. The committee first met in March 2019, and through four in-person meetings and one teleconference over the course of one year </w:t>
      </w:r>
      <w:r w:rsidR="00FF3ADA">
        <w:t xml:space="preserve">the committee has prepared this list of recommendations for the Council to consider. Recommendations are made by consensus of the committee, and are each designed to address difficulties for tribal and rural Alaskan participation in Council activities, </w:t>
      </w:r>
      <w:r w:rsidR="00396FBA">
        <w:t xml:space="preserve">to augment current approaches, </w:t>
      </w:r>
      <w:r w:rsidR="00FF3ADA">
        <w:t xml:space="preserve">or to remedy perceived deficiencies in Council policy or procedure. </w:t>
      </w:r>
    </w:p>
    <w:p w14:paraId="239A451E" w14:textId="7907C5B5" w:rsidR="00FF3ADA" w:rsidRDefault="00FF3ADA" w:rsidP="00E64ADD">
      <w:pPr>
        <w:pStyle w:val="BodyText"/>
      </w:pPr>
      <w:r>
        <w:t xml:space="preserve">The community engagement committee encourages the Council to continue to strive to achieve equal participation from rural and urban stakeholders and continue to seek strategies and technologies to encourage participation from tribal and rural communities. </w:t>
      </w:r>
    </w:p>
    <w:p w14:paraId="3A38A99D" w14:textId="1C3DE2CE" w:rsidR="00802D8F" w:rsidRPr="00802D8F" w:rsidRDefault="00802D8F" w:rsidP="00E64ADD">
      <w:pPr>
        <w:pStyle w:val="BodyText"/>
      </w:pPr>
      <w:r w:rsidRPr="00802D8F">
        <w:rPr>
          <w:b/>
          <w:bCs/>
        </w:rPr>
        <w:t>[</w:t>
      </w:r>
      <w:r>
        <w:rPr>
          <w:b/>
          <w:bCs/>
        </w:rPr>
        <w:t>PLACEHOLDER: BULLETED LIST OF CONSENSUS RECOMMENDATIONS WILL GO HERE]</w:t>
      </w:r>
    </w:p>
    <w:sectPr w:rsidR="00802D8F" w:rsidRPr="00802D8F" w:rsidSect="004D471D">
      <w:type w:val="continuous"/>
      <w:pgSz w:w="12240" w:h="15840" w:code="1"/>
      <w:pgMar w:top="1440" w:right="1440" w:bottom="1440" w:left="1440" w:header="720" w:footer="720"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8912" w16cex:dateUtc="2020-06-30T17: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AA99F" w14:textId="77777777" w:rsidR="006A41C3" w:rsidRDefault="006A41C3">
      <w:r>
        <w:separator/>
      </w:r>
    </w:p>
  </w:endnote>
  <w:endnote w:type="continuationSeparator" w:id="0">
    <w:p w14:paraId="57B42503" w14:textId="77777777" w:rsidR="006A41C3" w:rsidRDefault="006A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4228" w14:textId="27C6CAB0" w:rsidR="00457C04" w:rsidRPr="006F5B6B" w:rsidRDefault="009F4DAD" w:rsidP="00072D3B">
    <w:pPr>
      <w:pStyle w:val="Footer"/>
      <w:tabs>
        <w:tab w:val="clear" w:pos="4320"/>
        <w:tab w:val="clear" w:pos="8640"/>
        <w:tab w:val="center" w:pos="4680"/>
        <w:tab w:val="right" w:pos="9360"/>
      </w:tabs>
      <w:rPr>
        <w:rFonts w:ascii="Arial" w:hAnsi="Arial" w:cs="Arial"/>
        <w:sz w:val="20"/>
      </w:rPr>
    </w:pPr>
    <w:r>
      <w:rPr>
        <w:rFonts w:ascii="Arial" w:hAnsi="Arial" w:cs="Arial"/>
        <w:i/>
        <w:sz w:val="18"/>
        <w:szCs w:val="18"/>
      </w:rPr>
      <w:t>Community Engagement Committee Report, December 2019</w:t>
    </w:r>
    <w:r w:rsidR="00457C04">
      <w:rPr>
        <w:rFonts w:ascii="Arial" w:hAnsi="Arial" w:cs="Arial"/>
        <w:i/>
        <w:sz w:val="20"/>
      </w:rPr>
      <w:tab/>
    </w:r>
    <w:r w:rsidR="00457C04" w:rsidRPr="006F5B6B">
      <w:rPr>
        <w:rFonts w:ascii="Arial" w:hAnsi="Arial" w:cs="Arial"/>
        <w:sz w:val="20"/>
      </w:rPr>
      <w:tab/>
    </w:r>
    <w:r w:rsidR="00457C04" w:rsidRPr="006F5B6B">
      <w:rPr>
        <w:rStyle w:val="PageNumber"/>
        <w:rFonts w:ascii="Arial" w:hAnsi="Arial" w:cs="Arial"/>
        <w:sz w:val="20"/>
      </w:rPr>
      <w:fldChar w:fldCharType="begin"/>
    </w:r>
    <w:r w:rsidR="00457C04" w:rsidRPr="006F5B6B">
      <w:rPr>
        <w:rStyle w:val="PageNumber"/>
        <w:rFonts w:ascii="Arial" w:hAnsi="Arial" w:cs="Arial"/>
        <w:sz w:val="20"/>
      </w:rPr>
      <w:instrText xml:space="preserve"> PAGE </w:instrText>
    </w:r>
    <w:r w:rsidR="00457C04" w:rsidRPr="006F5B6B">
      <w:rPr>
        <w:rStyle w:val="PageNumber"/>
        <w:rFonts w:ascii="Arial" w:hAnsi="Arial" w:cs="Arial"/>
        <w:sz w:val="20"/>
      </w:rPr>
      <w:fldChar w:fldCharType="separate"/>
    </w:r>
    <w:r w:rsidR="006F29CC">
      <w:rPr>
        <w:rStyle w:val="PageNumber"/>
        <w:rFonts w:ascii="Arial" w:hAnsi="Arial" w:cs="Arial"/>
        <w:noProof/>
        <w:sz w:val="20"/>
      </w:rPr>
      <w:t>2</w:t>
    </w:r>
    <w:r w:rsidR="00457C04" w:rsidRPr="006F5B6B">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3F407" w14:textId="77777777" w:rsidR="00E961F1" w:rsidRDefault="00E961F1" w:rsidP="00E961F1">
    <w:pPr>
      <w:pStyle w:val="Footer"/>
      <w:rPr>
        <w:rStyle w:val="il"/>
        <w:rFonts w:ascii="Arial" w:hAnsi="Arial" w:cs="Arial"/>
        <w:color w:val="222222"/>
        <w:sz w:val="18"/>
        <w:szCs w:val="19"/>
        <w:u w:val="single"/>
        <w:shd w:val="clear" w:color="auto" w:fill="FFFFFF"/>
      </w:rPr>
    </w:pPr>
  </w:p>
  <w:p w14:paraId="6262B5AC" w14:textId="6FBAB9B9" w:rsidR="006F29CC" w:rsidRPr="00B7424D" w:rsidRDefault="006F29CC" w:rsidP="00C11925">
    <w:pPr>
      <w:pStyle w:val="Footer"/>
      <w:shd w:val="clear" w:color="auto" w:fill="D9D9D9" w:themeFill="background1" w:themeFillShade="D9"/>
      <w:rPr>
        <w:sz w:val="20"/>
      </w:rPr>
    </w:pPr>
    <w:r w:rsidRPr="00C11925">
      <w:rPr>
        <w:rStyle w:val="il"/>
        <w:rFonts w:ascii="Arial" w:hAnsi="Arial" w:cs="Arial"/>
        <w:color w:val="222222"/>
        <w:sz w:val="18"/>
        <w:szCs w:val="19"/>
        <w:u w:val="single"/>
        <w:shd w:val="clear" w:color="auto" w:fill="D9D9D9" w:themeFill="background1" w:themeFillShade="D9"/>
      </w:rPr>
      <w:t xml:space="preserve">Accessibility </w:t>
    </w:r>
    <w:r w:rsidRPr="00C11925">
      <w:rPr>
        <w:rFonts w:ascii="Arial" w:hAnsi="Arial" w:cs="Arial"/>
        <w:color w:val="222222"/>
        <w:sz w:val="18"/>
        <w:szCs w:val="19"/>
        <w:u w:val="single"/>
        <w:shd w:val="clear" w:color="auto" w:fill="D9D9D9" w:themeFill="background1" w:themeFillShade="D9"/>
      </w:rPr>
      <w:t>of this Document</w:t>
    </w:r>
    <w:r w:rsidRPr="00E961F1">
      <w:rPr>
        <w:rFonts w:ascii="Arial" w:hAnsi="Arial" w:cs="Arial"/>
        <w:color w:val="222222"/>
        <w:sz w:val="18"/>
        <w:szCs w:val="19"/>
      </w:rPr>
      <w:t xml:space="preserve">:  </w:t>
    </w:r>
    <w:r w:rsidR="00062863" w:rsidRPr="00E961F1">
      <w:rPr>
        <w:rFonts w:ascii="Arial" w:hAnsi="Arial" w:cs="Arial"/>
        <w:color w:val="222222"/>
        <w:sz w:val="18"/>
        <w:szCs w:val="19"/>
      </w:rPr>
      <w:t>E</w:t>
    </w:r>
    <w:r w:rsidRPr="00E961F1">
      <w:rPr>
        <w:rFonts w:ascii="Arial" w:hAnsi="Arial" w:cs="Arial"/>
        <w:color w:val="222222"/>
        <w:sz w:val="18"/>
        <w:szCs w:val="19"/>
      </w:rPr>
      <w:t xml:space="preserve">ffort has been made to make this document accessible to individuals </w:t>
    </w:r>
    <w:r w:rsidR="007557EB" w:rsidRPr="00E961F1">
      <w:rPr>
        <w:rFonts w:ascii="Arial" w:hAnsi="Arial" w:cs="Arial"/>
        <w:color w:val="222222"/>
        <w:sz w:val="18"/>
        <w:szCs w:val="19"/>
      </w:rPr>
      <w:t xml:space="preserve">with disabilities </w:t>
    </w:r>
    <w:r w:rsidRPr="00E961F1">
      <w:rPr>
        <w:rFonts w:ascii="Arial" w:hAnsi="Arial" w:cs="Arial"/>
        <w:color w:val="222222"/>
        <w:sz w:val="18"/>
        <w:szCs w:val="19"/>
      </w:rPr>
      <w:t>and compliant with Section 508 of the Rehabilitation Act. The complexity of this document may make access difficult for some. If you encounter information that you cannot access or use, please</w:t>
    </w:r>
    <w:r w:rsidR="007557EB" w:rsidRPr="00E961F1">
      <w:rPr>
        <w:rFonts w:ascii="Arial" w:hAnsi="Arial" w:cs="Arial"/>
        <w:color w:val="222222"/>
        <w:sz w:val="18"/>
        <w:szCs w:val="19"/>
      </w:rPr>
      <w:t xml:space="preserve"> </w:t>
    </w:r>
    <w:r w:rsidRPr="00C11925">
      <w:rPr>
        <w:rFonts w:ascii="Arial" w:hAnsi="Arial" w:cs="Arial"/>
        <w:color w:val="222222"/>
        <w:sz w:val="18"/>
        <w:szCs w:val="19"/>
        <w:shd w:val="clear" w:color="auto" w:fill="D9D9D9" w:themeFill="background1" w:themeFillShade="D9"/>
      </w:rPr>
      <w:t xml:space="preserve">call us at </w:t>
    </w:r>
    <w:hyperlink r:id="rId1" w:tgtFrame="_blank" w:history="1">
      <w:r w:rsidRPr="00E961F1">
        <w:rPr>
          <w:rStyle w:val="Hyperlink"/>
          <w:rFonts w:ascii="Arial" w:hAnsi="Arial" w:cs="Arial"/>
          <w:color w:val="1155CC"/>
          <w:sz w:val="18"/>
          <w:szCs w:val="19"/>
        </w:rPr>
        <w:t>907-</w:t>
      </w:r>
      <w:r w:rsidR="007557EB" w:rsidRPr="00E961F1">
        <w:rPr>
          <w:rStyle w:val="Hyperlink"/>
          <w:rFonts w:ascii="Arial" w:hAnsi="Arial" w:cs="Arial"/>
          <w:color w:val="1155CC"/>
          <w:sz w:val="18"/>
          <w:szCs w:val="19"/>
        </w:rPr>
        <w:t>271-2809</w:t>
      </w:r>
    </w:hyperlink>
    <w:r w:rsidRPr="00E961F1">
      <w:rPr>
        <w:rFonts w:ascii="Arial" w:hAnsi="Arial" w:cs="Arial"/>
        <w:color w:val="222222"/>
        <w:sz w:val="18"/>
        <w:szCs w:val="19"/>
      </w:rPr>
      <w:t xml:space="preserve"> so that we may assist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74E04" w14:textId="77777777" w:rsidR="006A41C3" w:rsidRDefault="006A41C3" w:rsidP="007E3A6C">
      <w:pPr>
        <w:spacing w:after="60"/>
      </w:pPr>
      <w:r>
        <w:separator/>
      </w:r>
    </w:p>
  </w:footnote>
  <w:footnote w:type="continuationSeparator" w:id="0">
    <w:p w14:paraId="2623A0BD" w14:textId="77777777" w:rsidR="006A41C3" w:rsidRDefault="006A41C3">
      <w:r>
        <w:continuationSeparator/>
      </w:r>
    </w:p>
  </w:footnote>
  <w:footnote w:id="1">
    <w:p w14:paraId="1434ACE6" w14:textId="7142D9DA" w:rsidR="00457C04" w:rsidRPr="00B54E25" w:rsidRDefault="00457C04">
      <w:pPr>
        <w:pStyle w:val="FootnoteText"/>
        <w:rPr>
          <w:rFonts w:ascii="Arial" w:hAnsi="Arial" w:cs="Arial"/>
          <w:sz w:val="16"/>
        </w:rPr>
      </w:pPr>
      <w:r w:rsidRPr="00457C04">
        <w:rPr>
          <w:rStyle w:val="FootnoteReference"/>
          <w:rFonts w:ascii="Arial" w:hAnsi="Arial" w:cs="Arial"/>
          <w:sz w:val="16"/>
        </w:rPr>
        <w:footnoteRef/>
      </w:r>
      <w:r w:rsidRPr="00457C04">
        <w:rPr>
          <w:rFonts w:ascii="Arial" w:hAnsi="Arial" w:cs="Arial"/>
          <w:sz w:val="16"/>
        </w:rPr>
        <w:t xml:space="preserve"> Prepared by </w:t>
      </w:r>
      <w:r w:rsidR="00393642">
        <w:rPr>
          <w:rFonts w:ascii="Arial" w:hAnsi="Arial" w:cs="Arial"/>
          <w:sz w:val="16"/>
        </w:rPr>
        <w:t>Steve MacLean</w:t>
      </w:r>
      <w:r w:rsidRPr="00457C04">
        <w:rPr>
          <w:rFonts w:ascii="Arial" w:hAnsi="Arial" w:cs="Arial"/>
          <w:sz w:val="16"/>
        </w:rPr>
        <w:t>, Council staff</w:t>
      </w:r>
      <w:r w:rsidR="00393642">
        <w:rPr>
          <w:rFonts w:ascii="Arial" w:hAnsi="Arial" w:cs="Arial"/>
          <w:sz w:val="16"/>
        </w:rPr>
        <w:t>.</w:t>
      </w:r>
    </w:p>
  </w:footnote>
  <w:footnote w:id="2">
    <w:p w14:paraId="6412C1DD" w14:textId="057F1E3E" w:rsidR="0067116A" w:rsidRDefault="0067116A">
      <w:pPr>
        <w:pStyle w:val="FootnoteText"/>
      </w:pPr>
      <w:r>
        <w:rPr>
          <w:rStyle w:val="FootnoteReference"/>
        </w:rPr>
        <w:footnoteRef/>
      </w:r>
      <w:r>
        <w:t xml:space="preserve"> Described in Council discussion paper: Review of Council Rural Community Outreach. Available at </w:t>
      </w:r>
      <w:r w:rsidRPr="0067116A">
        <w:t>http://npfmc.legistar.com/gateway.aspx?M=F&amp;ID=19ac55aa-5238-46f3-9d17-4e8dcb504b52.pdf</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9F213" w14:textId="2CEC3EE6" w:rsidR="007557EB" w:rsidRPr="000B5D05" w:rsidRDefault="003574C7" w:rsidP="000B5D05">
    <w:pPr>
      <w:pStyle w:val="AgendaHeader"/>
    </w:pPr>
    <w:r>
      <w:t>Community Engagement Committee Report</w:t>
    </w:r>
  </w:p>
  <w:p w14:paraId="6D14DD44" w14:textId="6B674539" w:rsidR="00072D3B" w:rsidRPr="000B5D05" w:rsidRDefault="0069723C" w:rsidP="000B5D05">
    <w:pPr>
      <w:pStyle w:val="AgendaHeader"/>
    </w:pPr>
    <w:r>
      <w:t>June</w:t>
    </w:r>
    <w:r w:rsidR="003574C7">
      <w:t xml:space="preserve"> </w:t>
    </w:r>
    <w:r>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CA26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FA18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9BE0B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0ECAF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4C33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68EE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BA8F3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CEB0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E01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458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558C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0415C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2502D3"/>
    <w:multiLevelType w:val="hybridMultilevel"/>
    <w:tmpl w:val="2BEC48A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51CC0"/>
    <w:multiLevelType w:val="hybridMultilevel"/>
    <w:tmpl w:val="642A1B9E"/>
    <w:lvl w:ilvl="0" w:tplc="2738EF3C">
      <w:start w:val="20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5D47FB"/>
    <w:multiLevelType w:val="hybridMultilevel"/>
    <w:tmpl w:val="750E0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AD4481"/>
    <w:multiLevelType w:val="multilevel"/>
    <w:tmpl w:val="04090027"/>
    <w:lvl w:ilvl="0">
      <w:start w:val="1"/>
      <w:numFmt w:val="upperRoman"/>
      <w:lvlText w:val="%1."/>
      <w:lvlJc w:val="left"/>
      <w:pPr>
        <w:ind w:left="360" w:firstLine="0"/>
      </w:pPr>
    </w:lvl>
    <w:lvl w:ilvl="1">
      <w:start w:val="1"/>
      <w:numFmt w:val="upperLetter"/>
      <w:lvlText w:val="%2."/>
      <w:lvlJc w:val="left"/>
      <w:pPr>
        <w:ind w:left="1080" w:firstLine="0"/>
      </w:pPr>
    </w:lvl>
    <w:lvl w:ilvl="2">
      <w:start w:val="1"/>
      <w:numFmt w:val="decimal"/>
      <w:lvlText w:val="%3."/>
      <w:lvlJc w:val="left"/>
      <w:pPr>
        <w:ind w:left="1800" w:firstLine="0"/>
      </w:pPr>
    </w:lvl>
    <w:lvl w:ilvl="3">
      <w:start w:val="1"/>
      <w:numFmt w:val="lowerLetter"/>
      <w:lvlText w:val="%4)"/>
      <w:lvlJc w:val="left"/>
      <w:pPr>
        <w:ind w:left="2520" w:firstLine="0"/>
      </w:pPr>
    </w:lvl>
    <w:lvl w:ilvl="4">
      <w:start w:val="1"/>
      <w:numFmt w:val="decimal"/>
      <w:lvlText w:val="(%5)"/>
      <w:lvlJc w:val="left"/>
      <w:pPr>
        <w:ind w:left="3240" w:firstLine="0"/>
      </w:pPr>
    </w:lvl>
    <w:lvl w:ilvl="5">
      <w:start w:val="1"/>
      <w:numFmt w:val="lowerLetter"/>
      <w:lvlText w:val="(%6)"/>
      <w:lvlJc w:val="left"/>
      <w:pPr>
        <w:ind w:left="3960" w:firstLine="0"/>
      </w:pPr>
    </w:lvl>
    <w:lvl w:ilvl="6">
      <w:start w:val="1"/>
      <w:numFmt w:val="lowerRoman"/>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120" w:firstLine="0"/>
      </w:pPr>
    </w:lvl>
  </w:abstractNum>
  <w:abstractNum w:abstractNumId="16" w15:restartNumberingAfterBreak="0">
    <w:nsid w:val="10FD6DDC"/>
    <w:multiLevelType w:val="hybridMultilevel"/>
    <w:tmpl w:val="AC1C4A70"/>
    <w:lvl w:ilvl="0" w:tplc="85A810F4">
      <w:start w:val="20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3D414F"/>
    <w:multiLevelType w:val="hybridMultilevel"/>
    <w:tmpl w:val="4D9CD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A16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4920DA"/>
    <w:multiLevelType w:val="multilevel"/>
    <w:tmpl w:val="2736B506"/>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F716ABF"/>
    <w:multiLevelType w:val="hybridMultilevel"/>
    <w:tmpl w:val="E4787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1069D9"/>
    <w:multiLevelType w:val="hybridMultilevel"/>
    <w:tmpl w:val="F91C3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E405FB"/>
    <w:multiLevelType w:val="hybridMultilevel"/>
    <w:tmpl w:val="CBFC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7B7D31"/>
    <w:multiLevelType w:val="hybridMultilevel"/>
    <w:tmpl w:val="05B2EEF8"/>
    <w:lvl w:ilvl="0" w:tplc="EC7617C4">
      <w:start w:val="20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095FA6"/>
    <w:multiLevelType w:val="hybridMultilevel"/>
    <w:tmpl w:val="4E4AE2E4"/>
    <w:lvl w:ilvl="0" w:tplc="A2BC9FF6">
      <w:start w:val="20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F07F13"/>
    <w:multiLevelType w:val="multilevel"/>
    <w:tmpl w:val="B94E6EEE"/>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5F228F1"/>
    <w:multiLevelType w:val="hybridMultilevel"/>
    <w:tmpl w:val="C1AA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F0062"/>
    <w:multiLevelType w:val="hybridMultilevel"/>
    <w:tmpl w:val="9B76A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C1DCE"/>
    <w:multiLevelType w:val="hybridMultilevel"/>
    <w:tmpl w:val="324E2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5E3BE3"/>
    <w:multiLevelType w:val="hybridMultilevel"/>
    <w:tmpl w:val="839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CE1F0B"/>
    <w:multiLevelType w:val="hybridMultilevel"/>
    <w:tmpl w:val="5C9EA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731BF"/>
    <w:multiLevelType w:val="hybridMultilevel"/>
    <w:tmpl w:val="2AEE48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D2432"/>
    <w:multiLevelType w:val="hybridMultilevel"/>
    <w:tmpl w:val="5580A8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4747D7"/>
    <w:multiLevelType w:val="hybridMultilevel"/>
    <w:tmpl w:val="8DC0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E15B44"/>
    <w:multiLevelType w:val="hybridMultilevel"/>
    <w:tmpl w:val="10366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504F0"/>
    <w:multiLevelType w:val="hybridMultilevel"/>
    <w:tmpl w:val="259C5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070C4"/>
    <w:multiLevelType w:val="hybridMultilevel"/>
    <w:tmpl w:val="A0568324"/>
    <w:lvl w:ilvl="0" w:tplc="275EBED6">
      <w:start w:val="20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F1C62"/>
    <w:multiLevelType w:val="hybridMultilevel"/>
    <w:tmpl w:val="178A6CD8"/>
    <w:lvl w:ilvl="0" w:tplc="AE56C01C">
      <w:start w:val="6"/>
      <w:numFmt w:val="decimal"/>
      <w:lvlText w:val="%1.0"/>
      <w:lvlJc w:val="left"/>
      <w:pPr>
        <w:ind w:left="720" w:hanging="360"/>
      </w:pPr>
      <w:rPr>
        <w:rFonts w:ascii="Trebuchet MS" w:hAnsi="Trebuchet M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2A293F"/>
    <w:multiLevelType w:val="hybridMultilevel"/>
    <w:tmpl w:val="2DD25532"/>
    <w:lvl w:ilvl="0" w:tplc="DDACC5D2">
      <w:start w:val="1"/>
      <w:numFmt w:val="decimal"/>
      <w:lvlText w:val="%1.0"/>
      <w:lvlJc w:val="left"/>
      <w:pPr>
        <w:ind w:left="720" w:hanging="360"/>
      </w:pPr>
      <w:rPr>
        <w:rFonts w:ascii="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F21FD"/>
    <w:multiLevelType w:val="hybridMultilevel"/>
    <w:tmpl w:val="D16C9378"/>
    <w:lvl w:ilvl="0" w:tplc="C38EB16A">
      <w:start w:val="201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1902E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6D64964"/>
    <w:multiLevelType w:val="hybridMultilevel"/>
    <w:tmpl w:val="9F10D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2D0C25"/>
    <w:multiLevelType w:val="hybridMultilevel"/>
    <w:tmpl w:val="403C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2F40E7"/>
    <w:multiLevelType w:val="hybridMultilevel"/>
    <w:tmpl w:val="63E85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181C9F"/>
    <w:multiLevelType w:val="hybridMultilevel"/>
    <w:tmpl w:val="5A58416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9"/>
  </w:num>
  <w:num w:numId="2">
    <w:abstractNumId w:val="32"/>
  </w:num>
  <w:num w:numId="3">
    <w:abstractNumId w:val="34"/>
  </w:num>
  <w:num w:numId="4">
    <w:abstractNumId w:val="12"/>
  </w:num>
  <w:num w:numId="5">
    <w:abstractNumId w:val="17"/>
  </w:num>
  <w:num w:numId="6">
    <w:abstractNumId w:val="14"/>
  </w:num>
  <w:num w:numId="7">
    <w:abstractNumId w:val="44"/>
  </w:num>
  <w:num w:numId="8">
    <w:abstractNumId w:val="37"/>
  </w:num>
  <w:num w:numId="9">
    <w:abstractNumId w:val="38"/>
  </w:num>
  <w:num w:numId="10">
    <w:abstractNumId w:val="40"/>
  </w:num>
  <w:num w:numId="11">
    <w:abstractNumId w:val="10"/>
  </w:num>
  <w:num w:numId="12">
    <w:abstractNumId w:val="18"/>
  </w:num>
  <w:num w:numId="13">
    <w:abstractNumId w:val="25"/>
  </w:num>
  <w:num w:numId="14">
    <w:abstractNumId w:val="11"/>
  </w:num>
  <w:num w:numId="15">
    <w:abstractNumId w:val="15"/>
  </w:num>
  <w:num w:numId="16">
    <w:abstractNumId w:val="41"/>
  </w:num>
  <w:num w:numId="17">
    <w:abstractNumId w:val="22"/>
  </w:num>
  <w:num w:numId="18">
    <w:abstractNumId w:val="21"/>
  </w:num>
  <w:num w:numId="19">
    <w:abstractNumId w:val="31"/>
  </w:num>
  <w:num w:numId="20">
    <w:abstractNumId w:val="42"/>
  </w:num>
  <w:num w:numId="21">
    <w:abstractNumId w:val="20"/>
  </w:num>
  <w:num w:numId="22">
    <w:abstractNumId w:val="27"/>
  </w:num>
  <w:num w:numId="23">
    <w:abstractNumId w:val="35"/>
  </w:num>
  <w:num w:numId="24">
    <w:abstractNumId w:val="28"/>
  </w:num>
  <w:num w:numId="25">
    <w:abstractNumId w:val="30"/>
  </w:num>
  <w:num w:numId="26">
    <w:abstractNumId w:val="13"/>
  </w:num>
  <w:num w:numId="27">
    <w:abstractNumId w:val="24"/>
  </w:num>
  <w:num w:numId="28">
    <w:abstractNumId w:val="36"/>
  </w:num>
  <w:num w:numId="29">
    <w:abstractNumId w:val="16"/>
  </w:num>
  <w:num w:numId="30">
    <w:abstractNumId w:val="23"/>
  </w:num>
  <w:num w:numId="31">
    <w:abstractNumId w:val="39"/>
  </w:num>
  <w:num w:numId="32">
    <w:abstractNumId w:val="0"/>
  </w:num>
  <w:num w:numId="33">
    <w:abstractNumId w:val="1"/>
  </w:num>
  <w:num w:numId="34">
    <w:abstractNumId w:val="2"/>
  </w:num>
  <w:num w:numId="35">
    <w:abstractNumId w:val="3"/>
  </w:num>
  <w:num w:numId="36">
    <w:abstractNumId w:val="8"/>
  </w:num>
  <w:num w:numId="37">
    <w:abstractNumId w:val="4"/>
  </w:num>
  <w:num w:numId="38">
    <w:abstractNumId w:val="5"/>
  </w:num>
  <w:num w:numId="39">
    <w:abstractNumId w:val="6"/>
  </w:num>
  <w:num w:numId="40">
    <w:abstractNumId w:val="7"/>
  </w:num>
  <w:num w:numId="41">
    <w:abstractNumId w:val="9"/>
  </w:num>
  <w:num w:numId="42">
    <w:abstractNumId w:val="33"/>
  </w:num>
  <w:num w:numId="43">
    <w:abstractNumId w:val="43"/>
  </w:num>
  <w:num w:numId="44">
    <w:abstractNumId w:val="26"/>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wNTY3NDU2NTA1tDBV0lEKTi0uzszPAykwNK4FAIxwOFMtAAAA"/>
  </w:docVars>
  <w:rsids>
    <w:rsidRoot w:val="00510D72"/>
    <w:rsid w:val="00000082"/>
    <w:rsid w:val="00002B27"/>
    <w:rsid w:val="00002EC3"/>
    <w:rsid w:val="00005289"/>
    <w:rsid w:val="00005312"/>
    <w:rsid w:val="00007591"/>
    <w:rsid w:val="00010ED8"/>
    <w:rsid w:val="00011981"/>
    <w:rsid w:val="00012926"/>
    <w:rsid w:val="000138EA"/>
    <w:rsid w:val="00013AFE"/>
    <w:rsid w:val="00013D05"/>
    <w:rsid w:val="00015226"/>
    <w:rsid w:val="000168EC"/>
    <w:rsid w:val="000172AC"/>
    <w:rsid w:val="00017499"/>
    <w:rsid w:val="00020641"/>
    <w:rsid w:val="00020F37"/>
    <w:rsid w:val="0002175C"/>
    <w:rsid w:val="00023847"/>
    <w:rsid w:val="000258B9"/>
    <w:rsid w:val="00025D2F"/>
    <w:rsid w:val="0002669A"/>
    <w:rsid w:val="00031676"/>
    <w:rsid w:val="00035308"/>
    <w:rsid w:val="00044EFC"/>
    <w:rsid w:val="00050CF0"/>
    <w:rsid w:val="000525E4"/>
    <w:rsid w:val="00052B6F"/>
    <w:rsid w:val="00054043"/>
    <w:rsid w:val="00062863"/>
    <w:rsid w:val="00063271"/>
    <w:rsid w:val="000632DB"/>
    <w:rsid w:val="00064713"/>
    <w:rsid w:val="00072D3B"/>
    <w:rsid w:val="000766C1"/>
    <w:rsid w:val="00077414"/>
    <w:rsid w:val="00080E20"/>
    <w:rsid w:val="00082EDD"/>
    <w:rsid w:val="000858EE"/>
    <w:rsid w:val="000908FC"/>
    <w:rsid w:val="000951DA"/>
    <w:rsid w:val="000970E3"/>
    <w:rsid w:val="000A1BB8"/>
    <w:rsid w:val="000A53A8"/>
    <w:rsid w:val="000A5FC4"/>
    <w:rsid w:val="000A758C"/>
    <w:rsid w:val="000B2A43"/>
    <w:rsid w:val="000B3FDF"/>
    <w:rsid w:val="000B41B8"/>
    <w:rsid w:val="000B4FEF"/>
    <w:rsid w:val="000B5AB3"/>
    <w:rsid w:val="000B5D05"/>
    <w:rsid w:val="000B6AEE"/>
    <w:rsid w:val="000B7497"/>
    <w:rsid w:val="000C2132"/>
    <w:rsid w:val="000D0A0A"/>
    <w:rsid w:val="000D20B6"/>
    <w:rsid w:val="000D27FE"/>
    <w:rsid w:val="000D2A45"/>
    <w:rsid w:val="000D61E8"/>
    <w:rsid w:val="000E0299"/>
    <w:rsid w:val="000E0F42"/>
    <w:rsid w:val="000E35E4"/>
    <w:rsid w:val="000F0D20"/>
    <w:rsid w:val="000F141A"/>
    <w:rsid w:val="000F403F"/>
    <w:rsid w:val="000F78DF"/>
    <w:rsid w:val="000F7D56"/>
    <w:rsid w:val="000F7ECC"/>
    <w:rsid w:val="00102694"/>
    <w:rsid w:val="00103FE5"/>
    <w:rsid w:val="00104C8E"/>
    <w:rsid w:val="0011099F"/>
    <w:rsid w:val="0011282F"/>
    <w:rsid w:val="001147D6"/>
    <w:rsid w:val="00114E76"/>
    <w:rsid w:val="0011597D"/>
    <w:rsid w:val="001170CD"/>
    <w:rsid w:val="00121917"/>
    <w:rsid w:val="0012339E"/>
    <w:rsid w:val="00125118"/>
    <w:rsid w:val="00125950"/>
    <w:rsid w:val="00127E60"/>
    <w:rsid w:val="00130920"/>
    <w:rsid w:val="0013418B"/>
    <w:rsid w:val="00135C44"/>
    <w:rsid w:val="00136D5B"/>
    <w:rsid w:val="00136FC4"/>
    <w:rsid w:val="001415AF"/>
    <w:rsid w:val="001417C5"/>
    <w:rsid w:val="001430B7"/>
    <w:rsid w:val="00146432"/>
    <w:rsid w:val="001464ED"/>
    <w:rsid w:val="00146D51"/>
    <w:rsid w:val="001471C6"/>
    <w:rsid w:val="001477D6"/>
    <w:rsid w:val="0015077C"/>
    <w:rsid w:val="00157C10"/>
    <w:rsid w:val="001647E3"/>
    <w:rsid w:val="001659A2"/>
    <w:rsid w:val="001669BC"/>
    <w:rsid w:val="00167297"/>
    <w:rsid w:val="001706E5"/>
    <w:rsid w:val="00170CAA"/>
    <w:rsid w:val="001713E5"/>
    <w:rsid w:val="00171E00"/>
    <w:rsid w:val="00174F0C"/>
    <w:rsid w:val="001807AA"/>
    <w:rsid w:val="00180D9E"/>
    <w:rsid w:val="00180DB0"/>
    <w:rsid w:val="00182A0B"/>
    <w:rsid w:val="00184AD5"/>
    <w:rsid w:val="00186AD9"/>
    <w:rsid w:val="00190066"/>
    <w:rsid w:val="00190E1D"/>
    <w:rsid w:val="001922A1"/>
    <w:rsid w:val="00192DF3"/>
    <w:rsid w:val="00193125"/>
    <w:rsid w:val="001938F1"/>
    <w:rsid w:val="0019756B"/>
    <w:rsid w:val="001A0DEE"/>
    <w:rsid w:val="001A1769"/>
    <w:rsid w:val="001A4EE1"/>
    <w:rsid w:val="001A547B"/>
    <w:rsid w:val="001A62B4"/>
    <w:rsid w:val="001A6660"/>
    <w:rsid w:val="001C1E4A"/>
    <w:rsid w:val="001C2FD4"/>
    <w:rsid w:val="001C3E3B"/>
    <w:rsid w:val="001C3F99"/>
    <w:rsid w:val="001C4D49"/>
    <w:rsid w:val="001C5EBB"/>
    <w:rsid w:val="001C6FAE"/>
    <w:rsid w:val="001D1B30"/>
    <w:rsid w:val="001D1F56"/>
    <w:rsid w:val="001D5E4B"/>
    <w:rsid w:val="001E0BCE"/>
    <w:rsid w:val="001E26A6"/>
    <w:rsid w:val="001E4187"/>
    <w:rsid w:val="001E6BDF"/>
    <w:rsid w:val="001F4EAB"/>
    <w:rsid w:val="001F61A1"/>
    <w:rsid w:val="002006FD"/>
    <w:rsid w:val="00206720"/>
    <w:rsid w:val="00207D93"/>
    <w:rsid w:val="00213A4C"/>
    <w:rsid w:val="00213B65"/>
    <w:rsid w:val="0021483D"/>
    <w:rsid w:val="0021688E"/>
    <w:rsid w:val="0022048E"/>
    <w:rsid w:val="002204D7"/>
    <w:rsid w:val="002212EE"/>
    <w:rsid w:val="00227966"/>
    <w:rsid w:val="00227D63"/>
    <w:rsid w:val="00230AE8"/>
    <w:rsid w:val="00231379"/>
    <w:rsid w:val="00232A77"/>
    <w:rsid w:val="0023675A"/>
    <w:rsid w:val="002375F8"/>
    <w:rsid w:val="0024348B"/>
    <w:rsid w:val="00243638"/>
    <w:rsid w:val="00243DC9"/>
    <w:rsid w:val="00245D28"/>
    <w:rsid w:val="002475D5"/>
    <w:rsid w:val="00251DAD"/>
    <w:rsid w:val="00253E6F"/>
    <w:rsid w:val="00256453"/>
    <w:rsid w:val="0025679C"/>
    <w:rsid w:val="00256E92"/>
    <w:rsid w:val="00257117"/>
    <w:rsid w:val="00260ADF"/>
    <w:rsid w:val="002610DB"/>
    <w:rsid w:val="00263B20"/>
    <w:rsid w:val="00265E67"/>
    <w:rsid w:val="00270271"/>
    <w:rsid w:val="00270BEC"/>
    <w:rsid w:val="0027447C"/>
    <w:rsid w:val="00274FEE"/>
    <w:rsid w:val="00275B50"/>
    <w:rsid w:val="002778B3"/>
    <w:rsid w:val="00281667"/>
    <w:rsid w:val="00281D53"/>
    <w:rsid w:val="00282FEB"/>
    <w:rsid w:val="0028382E"/>
    <w:rsid w:val="0028532D"/>
    <w:rsid w:val="00292C3A"/>
    <w:rsid w:val="00293692"/>
    <w:rsid w:val="002948A9"/>
    <w:rsid w:val="002A0E0B"/>
    <w:rsid w:val="002A455A"/>
    <w:rsid w:val="002A5D04"/>
    <w:rsid w:val="002B1DE7"/>
    <w:rsid w:val="002B2A24"/>
    <w:rsid w:val="002B5168"/>
    <w:rsid w:val="002B74E7"/>
    <w:rsid w:val="002B78FB"/>
    <w:rsid w:val="002C0804"/>
    <w:rsid w:val="002C1640"/>
    <w:rsid w:val="002C2F1D"/>
    <w:rsid w:val="002C5A41"/>
    <w:rsid w:val="002C5A9A"/>
    <w:rsid w:val="002D10A1"/>
    <w:rsid w:val="002D139E"/>
    <w:rsid w:val="002D15D6"/>
    <w:rsid w:val="002D32A2"/>
    <w:rsid w:val="002D59CC"/>
    <w:rsid w:val="002D5BED"/>
    <w:rsid w:val="002D78EA"/>
    <w:rsid w:val="002E2181"/>
    <w:rsid w:val="002E2E88"/>
    <w:rsid w:val="002E3747"/>
    <w:rsid w:val="002E4ADC"/>
    <w:rsid w:val="002E5A19"/>
    <w:rsid w:val="002E5B69"/>
    <w:rsid w:val="002F102E"/>
    <w:rsid w:val="002F4204"/>
    <w:rsid w:val="002F4BC3"/>
    <w:rsid w:val="002F505C"/>
    <w:rsid w:val="002F59FC"/>
    <w:rsid w:val="002F77AE"/>
    <w:rsid w:val="00304536"/>
    <w:rsid w:val="00307377"/>
    <w:rsid w:val="00311DC1"/>
    <w:rsid w:val="0031328C"/>
    <w:rsid w:val="00313A11"/>
    <w:rsid w:val="0031439D"/>
    <w:rsid w:val="00315AD0"/>
    <w:rsid w:val="00315E6C"/>
    <w:rsid w:val="003200FA"/>
    <w:rsid w:val="003201C6"/>
    <w:rsid w:val="00320507"/>
    <w:rsid w:val="003214E3"/>
    <w:rsid w:val="00321D9B"/>
    <w:rsid w:val="00323D8E"/>
    <w:rsid w:val="00323FEC"/>
    <w:rsid w:val="00324CF0"/>
    <w:rsid w:val="0032660A"/>
    <w:rsid w:val="00327480"/>
    <w:rsid w:val="0033014F"/>
    <w:rsid w:val="003312BE"/>
    <w:rsid w:val="00331CE2"/>
    <w:rsid w:val="003331EC"/>
    <w:rsid w:val="00335FDE"/>
    <w:rsid w:val="0033660A"/>
    <w:rsid w:val="003414D4"/>
    <w:rsid w:val="00342C20"/>
    <w:rsid w:val="00343A3C"/>
    <w:rsid w:val="0034426A"/>
    <w:rsid w:val="00346077"/>
    <w:rsid w:val="00347B58"/>
    <w:rsid w:val="003500C7"/>
    <w:rsid w:val="00354C80"/>
    <w:rsid w:val="003574C7"/>
    <w:rsid w:val="0036025A"/>
    <w:rsid w:val="00362F97"/>
    <w:rsid w:val="003654CB"/>
    <w:rsid w:val="003654E3"/>
    <w:rsid w:val="00366CBC"/>
    <w:rsid w:val="00366CC0"/>
    <w:rsid w:val="00367BEA"/>
    <w:rsid w:val="00367DE1"/>
    <w:rsid w:val="0037323F"/>
    <w:rsid w:val="00380FE7"/>
    <w:rsid w:val="003848C5"/>
    <w:rsid w:val="00387336"/>
    <w:rsid w:val="003919D6"/>
    <w:rsid w:val="00391DE8"/>
    <w:rsid w:val="00393642"/>
    <w:rsid w:val="00394CE4"/>
    <w:rsid w:val="00395CC3"/>
    <w:rsid w:val="00396FBA"/>
    <w:rsid w:val="003A01BC"/>
    <w:rsid w:val="003A1AFC"/>
    <w:rsid w:val="003A37DE"/>
    <w:rsid w:val="003B1B0F"/>
    <w:rsid w:val="003B244F"/>
    <w:rsid w:val="003B428B"/>
    <w:rsid w:val="003B4333"/>
    <w:rsid w:val="003B4BE2"/>
    <w:rsid w:val="003B6807"/>
    <w:rsid w:val="003C2016"/>
    <w:rsid w:val="003C2925"/>
    <w:rsid w:val="003C54E8"/>
    <w:rsid w:val="003C7403"/>
    <w:rsid w:val="003D0208"/>
    <w:rsid w:val="003D2A7B"/>
    <w:rsid w:val="003D3558"/>
    <w:rsid w:val="003D396B"/>
    <w:rsid w:val="003D5B79"/>
    <w:rsid w:val="003D5E4F"/>
    <w:rsid w:val="003D6066"/>
    <w:rsid w:val="003D6DC3"/>
    <w:rsid w:val="003E1AEC"/>
    <w:rsid w:val="003E33D4"/>
    <w:rsid w:val="003E5840"/>
    <w:rsid w:val="003E5B5C"/>
    <w:rsid w:val="003E7A5F"/>
    <w:rsid w:val="003F2C19"/>
    <w:rsid w:val="003F31AB"/>
    <w:rsid w:val="003F46EB"/>
    <w:rsid w:val="003F53D2"/>
    <w:rsid w:val="003F5676"/>
    <w:rsid w:val="003F5BC4"/>
    <w:rsid w:val="003F671A"/>
    <w:rsid w:val="003F798A"/>
    <w:rsid w:val="00401FF7"/>
    <w:rsid w:val="0040380B"/>
    <w:rsid w:val="00406C05"/>
    <w:rsid w:val="00406C36"/>
    <w:rsid w:val="00407D6F"/>
    <w:rsid w:val="004107E7"/>
    <w:rsid w:val="00411279"/>
    <w:rsid w:val="004118A5"/>
    <w:rsid w:val="00412283"/>
    <w:rsid w:val="0041493D"/>
    <w:rsid w:val="00417D03"/>
    <w:rsid w:val="00417F23"/>
    <w:rsid w:val="00421D86"/>
    <w:rsid w:val="00423221"/>
    <w:rsid w:val="004236EB"/>
    <w:rsid w:val="00423932"/>
    <w:rsid w:val="00425CCF"/>
    <w:rsid w:val="00430EEA"/>
    <w:rsid w:val="0043138D"/>
    <w:rsid w:val="004334D4"/>
    <w:rsid w:val="004349C7"/>
    <w:rsid w:val="00437171"/>
    <w:rsid w:val="004404A9"/>
    <w:rsid w:val="004412B7"/>
    <w:rsid w:val="004475A9"/>
    <w:rsid w:val="00453513"/>
    <w:rsid w:val="00453F85"/>
    <w:rsid w:val="0045449F"/>
    <w:rsid w:val="00455045"/>
    <w:rsid w:val="00455407"/>
    <w:rsid w:val="00456A64"/>
    <w:rsid w:val="00457C04"/>
    <w:rsid w:val="00457E70"/>
    <w:rsid w:val="004626CA"/>
    <w:rsid w:val="00463B40"/>
    <w:rsid w:val="00466395"/>
    <w:rsid w:val="004674FD"/>
    <w:rsid w:val="004717D1"/>
    <w:rsid w:val="00473A7F"/>
    <w:rsid w:val="004808AE"/>
    <w:rsid w:val="004863D2"/>
    <w:rsid w:val="00486810"/>
    <w:rsid w:val="00486EAC"/>
    <w:rsid w:val="004875C5"/>
    <w:rsid w:val="00487AB8"/>
    <w:rsid w:val="004921DE"/>
    <w:rsid w:val="004927E9"/>
    <w:rsid w:val="00494C2B"/>
    <w:rsid w:val="0049524C"/>
    <w:rsid w:val="004969D2"/>
    <w:rsid w:val="004A0A25"/>
    <w:rsid w:val="004A4145"/>
    <w:rsid w:val="004A46BF"/>
    <w:rsid w:val="004A495B"/>
    <w:rsid w:val="004A4BC2"/>
    <w:rsid w:val="004A62E0"/>
    <w:rsid w:val="004A6E4C"/>
    <w:rsid w:val="004A7BED"/>
    <w:rsid w:val="004B18DD"/>
    <w:rsid w:val="004B35E6"/>
    <w:rsid w:val="004B5067"/>
    <w:rsid w:val="004B6CAF"/>
    <w:rsid w:val="004B70D7"/>
    <w:rsid w:val="004B7BC2"/>
    <w:rsid w:val="004C602D"/>
    <w:rsid w:val="004D0BE8"/>
    <w:rsid w:val="004D3C8E"/>
    <w:rsid w:val="004D43B6"/>
    <w:rsid w:val="004D471D"/>
    <w:rsid w:val="004D6D61"/>
    <w:rsid w:val="004D782D"/>
    <w:rsid w:val="004D7FAE"/>
    <w:rsid w:val="004E0BF1"/>
    <w:rsid w:val="004E4AAE"/>
    <w:rsid w:val="004E778B"/>
    <w:rsid w:val="004F0018"/>
    <w:rsid w:val="004F7CF0"/>
    <w:rsid w:val="00501590"/>
    <w:rsid w:val="005019FB"/>
    <w:rsid w:val="00502629"/>
    <w:rsid w:val="005031B5"/>
    <w:rsid w:val="00505A92"/>
    <w:rsid w:val="005065BC"/>
    <w:rsid w:val="00510D72"/>
    <w:rsid w:val="00510DF4"/>
    <w:rsid w:val="00512237"/>
    <w:rsid w:val="00512E16"/>
    <w:rsid w:val="00512E8E"/>
    <w:rsid w:val="00514046"/>
    <w:rsid w:val="005146CF"/>
    <w:rsid w:val="00516637"/>
    <w:rsid w:val="00520895"/>
    <w:rsid w:val="0052193B"/>
    <w:rsid w:val="0052559A"/>
    <w:rsid w:val="00526741"/>
    <w:rsid w:val="005271ED"/>
    <w:rsid w:val="005302B4"/>
    <w:rsid w:val="0053084C"/>
    <w:rsid w:val="00531A85"/>
    <w:rsid w:val="00532F61"/>
    <w:rsid w:val="00533396"/>
    <w:rsid w:val="0053464B"/>
    <w:rsid w:val="00534926"/>
    <w:rsid w:val="00537D28"/>
    <w:rsid w:val="00541A94"/>
    <w:rsid w:val="00541B51"/>
    <w:rsid w:val="005447D2"/>
    <w:rsid w:val="00544850"/>
    <w:rsid w:val="00544DE3"/>
    <w:rsid w:val="00544E87"/>
    <w:rsid w:val="00544F1A"/>
    <w:rsid w:val="0054776C"/>
    <w:rsid w:val="00551C1F"/>
    <w:rsid w:val="00560422"/>
    <w:rsid w:val="005624E3"/>
    <w:rsid w:val="00563D2F"/>
    <w:rsid w:val="0056441E"/>
    <w:rsid w:val="005653D0"/>
    <w:rsid w:val="005658AC"/>
    <w:rsid w:val="00570107"/>
    <w:rsid w:val="0057483E"/>
    <w:rsid w:val="0058093F"/>
    <w:rsid w:val="00586578"/>
    <w:rsid w:val="0059013B"/>
    <w:rsid w:val="00591E5F"/>
    <w:rsid w:val="00595F37"/>
    <w:rsid w:val="0059772A"/>
    <w:rsid w:val="005A01CB"/>
    <w:rsid w:val="005A0ACF"/>
    <w:rsid w:val="005A137D"/>
    <w:rsid w:val="005A1749"/>
    <w:rsid w:val="005A5331"/>
    <w:rsid w:val="005A5FFB"/>
    <w:rsid w:val="005A758A"/>
    <w:rsid w:val="005A7D46"/>
    <w:rsid w:val="005B01C8"/>
    <w:rsid w:val="005B1453"/>
    <w:rsid w:val="005B22A0"/>
    <w:rsid w:val="005B310B"/>
    <w:rsid w:val="005B4D90"/>
    <w:rsid w:val="005B6729"/>
    <w:rsid w:val="005C346E"/>
    <w:rsid w:val="005C5505"/>
    <w:rsid w:val="005C7C8A"/>
    <w:rsid w:val="005D0342"/>
    <w:rsid w:val="005D31D4"/>
    <w:rsid w:val="005D510E"/>
    <w:rsid w:val="005D70BA"/>
    <w:rsid w:val="005D7C7D"/>
    <w:rsid w:val="005E0778"/>
    <w:rsid w:val="005E2281"/>
    <w:rsid w:val="005E2B19"/>
    <w:rsid w:val="005E329C"/>
    <w:rsid w:val="005E374F"/>
    <w:rsid w:val="005E3D23"/>
    <w:rsid w:val="005E4001"/>
    <w:rsid w:val="005E5E2D"/>
    <w:rsid w:val="005E76E6"/>
    <w:rsid w:val="005E773C"/>
    <w:rsid w:val="005F3FAC"/>
    <w:rsid w:val="005F4B95"/>
    <w:rsid w:val="005F7101"/>
    <w:rsid w:val="006035C7"/>
    <w:rsid w:val="0060487D"/>
    <w:rsid w:val="00605180"/>
    <w:rsid w:val="006074DD"/>
    <w:rsid w:val="00612F6F"/>
    <w:rsid w:val="0061335A"/>
    <w:rsid w:val="00613F11"/>
    <w:rsid w:val="00614C95"/>
    <w:rsid w:val="006224B1"/>
    <w:rsid w:val="00623CCB"/>
    <w:rsid w:val="0062577E"/>
    <w:rsid w:val="006259B5"/>
    <w:rsid w:val="006276CF"/>
    <w:rsid w:val="00631F5E"/>
    <w:rsid w:val="0063267C"/>
    <w:rsid w:val="00634EAC"/>
    <w:rsid w:val="00634FF5"/>
    <w:rsid w:val="006373A1"/>
    <w:rsid w:val="0063741C"/>
    <w:rsid w:val="006401CC"/>
    <w:rsid w:val="00640D10"/>
    <w:rsid w:val="00641960"/>
    <w:rsid w:val="00643809"/>
    <w:rsid w:val="00644B2A"/>
    <w:rsid w:val="0065002B"/>
    <w:rsid w:val="00650128"/>
    <w:rsid w:val="00650941"/>
    <w:rsid w:val="00651A2F"/>
    <w:rsid w:val="00652D73"/>
    <w:rsid w:val="0065544B"/>
    <w:rsid w:val="00655CA8"/>
    <w:rsid w:val="006564D4"/>
    <w:rsid w:val="006605F1"/>
    <w:rsid w:val="006607A8"/>
    <w:rsid w:val="00660D5A"/>
    <w:rsid w:val="00661733"/>
    <w:rsid w:val="0066417E"/>
    <w:rsid w:val="006642D6"/>
    <w:rsid w:val="0067116A"/>
    <w:rsid w:val="0067192D"/>
    <w:rsid w:val="0067252D"/>
    <w:rsid w:val="006747F3"/>
    <w:rsid w:val="006768C5"/>
    <w:rsid w:val="00676F16"/>
    <w:rsid w:val="00677E65"/>
    <w:rsid w:val="00677EE2"/>
    <w:rsid w:val="00682503"/>
    <w:rsid w:val="00687144"/>
    <w:rsid w:val="006922C3"/>
    <w:rsid w:val="00692D63"/>
    <w:rsid w:val="00693ADD"/>
    <w:rsid w:val="0069723C"/>
    <w:rsid w:val="006A0BDC"/>
    <w:rsid w:val="006A41C3"/>
    <w:rsid w:val="006A589F"/>
    <w:rsid w:val="006A7F60"/>
    <w:rsid w:val="006B39E9"/>
    <w:rsid w:val="006B5C11"/>
    <w:rsid w:val="006B7504"/>
    <w:rsid w:val="006C0017"/>
    <w:rsid w:val="006C3BF2"/>
    <w:rsid w:val="006C3EF7"/>
    <w:rsid w:val="006C4F32"/>
    <w:rsid w:val="006C5E2E"/>
    <w:rsid w:val="006C6AC7"/>
    <w:rsid w:val="006D1BEF"/>
    <w:rsid w:val="006D1DD5"/>
    <w:rsid w:val="006D1EDD"/>
    <w:rsid w:val="006D35A4"/>
    <w:rsid w:val="006D35DB"/>
    <w:rsid w:val="006D39E5"/>
    <w:rsid w:val="006D3E97"/>
    <w:rsid w:val="006D67CA"/>
    <w:rsid w:val="006E1818"/>
    <w:rsid w:val="006E3213"/>
    <w:rsid w:val="006E5D2E"/>
    <w:rsid w:val="006E73BA"/>
    <w:rsid w:val="006F02DB"/>
    <w:rsid w:val="006F1D69"/>
    <w:rsid w:val="006F1E9B"/>
    <w:rsid w:val="006F29CC"/>
    <w:rsid w:val="006F5811"/>
    <w:rsid w:val="006F5862"/>
    <w:rsid w:val="006F5B6B"/>
    <w:rsid w:val="006F6F45"/>
    <w:rsid w:val="006F74A8"/>
    <w:rsid w:val="006F79F0"/>
    <w:rsid w:val="0070367D"/>
    <w:rsid w:val="007109B2"/>
    <w:rsid w:val="0071184B"/>
    <w:rsid w:val="0071219E"/>
    <w:rsid w:val="00712985"/>
    <w:rsid w:val="00712AFE"/>
    <w:rsid w:val="00713BF3"/>
    <w:rsid w:val="007147DE"/>
    <w:rsid w:val="00714BFA"/>
    <w:rsid w:val="0072143A"/>
    <w:rsid w:val="007219CB"/>
    <w:rsid w:val="00721C61"/>
    <w:rsid w:val="0072310C"/>
    <w:rsid w:val="00725001"/>
    <w:rsid w:val="007252FF"/>
    <w:rsid w:val="0072555C"/>
    <w:rsid w:val="00727CA3"/>
    <w:rsid w:val="00730B3D"/>
    <w:rsid w:val="00732A26"/>
    <w:rsid w:val="00733EC0"/>
    <w:rsid w:val="0073485C"/>
    <w:rsid w:val="00737D99"/>
    <w:rsid w:val="00740AF4"/>
    <w:rsid w:val="00742A51"/>
    <w:rsid w:val="007458FE"/>
    <w:rsid w:val="007520EE"/>
    <w:rsid w:val="007556F2"/>
    <w:rsid w:val="007557EB"/>
    <w:rsid w:val="007602C3"/>
    <w:rsid w:val="00761070"/>
    <w:rsid w:val="007613D7"/>
    <w:rsid w:val="0076466A"/>
    <w:rsid w:val="00767698"/>
    <w:rsid w:val="00770490"/>
    <w:rsid w:val="00772FE1"/>
    <w:rsid w:val="00775EE1"/>
    <w:rsid w:val="00776C78"/>
    <w:rsid w:val="007847F8"/>
    <w:rsid w:val="007852D2"/>
    <w:rsid w:val="0078547A"/>
    <w:rsid w:val="00787F2E"/>
    <w:rsid w:val="00790990"/>
    <w:rsid w:val="007921D9"/>
    <w:rsid w:val="00793998"/>
    <w:rsid w:val="00797365"/>
    <w:rsid w:val="0079797A"/>
    <w:rsid w:val="007A03CA"/>
    <w:rsid w:val="007A303C"/>
    <w:rsid w:val="007A4BA6"/>
    <w:rsid w:val="007A4F56"/>
    <w:rsid w:val="007B1784"/>
    <w:rsid w:val="007B1D06"/>
    <w:rsid w:val="007B6748"/>
    <w:rsid w:val="007B71D4"/>
    <w:rsid w:val="007C052C"/>
    <w:rsid w:val="007C1F4E"/>
    <w:rsid w:val="007C287A"/>
    <w:rsid w:val="007C3334"/>
    <w:rsid w:val="007C7383"/>
    <w:rsid w:val="007C7DE5"/>
    <w:rsid w:val="007D1230"/>
    <w:rsid w:val="007D1347"/>
    <w:rsid w:val="007D3E02"/>
    <w:rsid w:val="007E11D3"/>
    <w:rsid w:val="007E3A6C"/>
    <w:rsid w:val="007E62AD"/>
    <w:rsid w:val="007E68D9"/>
    <w:rsid w:val="007F0DCD"/>
    <w:rsid w:val="007F16A5"/>
    <w:rsid w:val="007F4724"/>
    <w:rsid w:val="007F480F"/>
    <w:rsid w:val="008013BC"/>
    <w:rsid w:val="008015FA"/>
    <w:rsid w:val="00802D8F"/>
    <w:rsid w:val="0080317E"/>
    <w:rsid w:val="008050DD"/>
    <w:rsid w:val="0080713F"/>
    <w:rsid w:val="0080793A"/>
    <w:rsid w:val="008136ED"/>
    <w:rsid w:val="00816416"/>
    <w:rsid w:val="0081743E"/>
    <w:rsid w:val="00820320"/>
    <w:rsid w:val="0082310D"/>
    <w:rsid w:val="00826696"/>
    <w:rsid w:val="0083034F"/>
    <w:rsid w:val="008310E3"/>
    <w:rsid w:val="0083267E"/>
    <w:rsid w:val="008336C9"/>
    <w:rsid w:val="00836595"/>
    <w:rsid w:val="00836B1A"/>
    <w:rsid w:val="00837AE0"/>
    <w:rsid w:val="00837D85"/>
    <w:rsid w:val="00841C25"/>
    <w:rsid w:val="00855690"/>
    <w:rsid w:val="00857835"/>
    <w:rsid w:val="00863C54"/>
    <w:rsid w:val="00863FD4"/>
    <w:rsid w:val="008650F6"/>
    <w:rsid w:val="00871819"/>
    <w:rsid w:val="00873613"/>
    <w:rsid w:val="00874BA6"/>
    <w:rsid w:val="00875790"/>
    <w:rsid w:val="008760A5"/>
    <w:rsid w:val="00877343"/>
    <w:rsid w:val="0087776C"/>
    <w:rsid w:val="00884317"/>
    <w:rsid w:val="008844CB"/>
    <w:rsid w:val="00884797"/>
    <w:rsid w:val="008852C4"/>
    <w:rsid w:val="008853E6"/>
    <w:rsid w:val="00885B3C"/>
    <w:rsid w:val="00886109"/>
    <w:rsid w:val="008861A1"/>
    <w:rsid w:val="008866B1"/>
    <w:rsid w:val="00893CA9"/>
    <w:rsid w:val="00894287"/>
    <w:rsid w:val="00897213"/>
    <w:rsid w:val="008A0240"/>
    <w:rsid w:val="008A1B73"/>
    <w:rsid w:val="008A23B8"/>
    <w:rsid w:val="008A77DB"/>
    <w:rsid w:val="008A7ABA"/>
    <w:rsid w:val="008B0DD1"/>
    <w:rsid w:val="008B433D"/>
    <w:rsid w:val="008B5554"/>
    <w:rsid w:val="008B6B26"/>
    <w:rsid w:val="008C00C9"/>
    <w:rsid w:val="008C1005"/>
    <w:rsid w:val="008C1339"/>
    <w:rsid w:val="008C1399"/>
    <w:rsid w:val="008C1929"/>
    <w:rsid w:val="008C571E"/>
    <w:rsid w:val="008C5F4E"/>
    <w:rsid w:val="008C7C6B"/>
    <w:rsid w:val="008C7DF5"/>
    <w:rsid w:val="008D1B4E"/>
    <w:rsid w:val="008D7073"/>
    <w:rsid w:val="008E1E73"/>
    <w:rsid w:val="008E3CD4"/>
    <w:rsid w:val="008E4F54"/>
    <w:rsid w:val="008E592A"/>
    <w:rsid w:val="008E5B89"/>
    <w:rsid w:val="008F03E6"/>
    <w:rsid w:val="008F484D"/>
    <w:rsid w:val="008F56A2"/>
    <w:rsid w:val="009000A0"/>
    <w:rsid w:val="009029F9"/>
    <w:rsid w:val="0090360A"/>
    <w:rsid w:val="0090693C"/>
    <w:rsid w:val="0091116E"/>
    <w:rsid w:val="0091185F"/>
    <w:rsid w:val="0091261C"/>
    <w:rsid w:val="009132D0"/>
    <w:rsid w:val="00913DA1"/>
    <w:rsid w:val="00915362"/>
    <w:rsid w:val="0091740C"/>
    <w:rsid w:val="009211CA"/>
    <w:rsid w:val="009220DB"/>
    <w:rsid w:val="009222EB"/>
    <w:rsid w:val="009255EF"/>
    <w:rsid w:val="0092703A"/>
    <w:rsid w:val="0092705F"/>
    <w:rsid w:val="00935476"/>
    <w:rsid w:val="0093754D"/>
    <w:rsid w:val="00937865"/>
    <w:rsid w:val="0094063F"/>
    <w:rsid w:val="0094678E"/>
    <w:rsid w:val="00950186"/>
    <w:rsid w:val="009503ED"/>
    <w:rsid w:val="00955320"/>
    <w:rsid w:val="00955B41"/>
    <w:rsid w:val="00956082"/>
    <w:rsid w:val="0095651B"/>
    <w:rsid w:val="009571B9"/>
    <w:rsid w:val="00960223"/>
    <w:rsid w:val="009633FD"/>
    <w:rsid w:val="00964151"/>
    <w:rsid w:val="00964C09"/>
    <w:rsid w:val="009654D0"/>
    <w:rsid w:val="009659CE"/>
    <w:rsid w:val="00966130"/>
    <w:rsid w:val="00972408"/>
    <w:rsid w:val="0097450C"/>
    <w:rsid w:val="009774E3"/>
    <w:rsid w:val="00981483"/>
    <w:rsid w:val="00982DBD"/>
    <w:rsid w:val="00983E16"/>
    <w:rsid w:val="00986500"/>
    <w:rsid w:val="0099197F"/>
    <w:rsid w:val="009928C5"/>
    <w:rsid w:val="00992984"/>
    <w:rsid w:val="00994661"/>
    <w:rsid w:val="00994CF1"/>
    <w:rsid w:val="0099600A"/>
    <w:rsid w:val="00997C31"/>
    <w:rsid w:val="009A2392"/>
    <w:rsid w:val="009A259B"/>
    <w:rsid w:val="009A2EC4"/>
    <w:rsid w:val="009A5520"/>
    <w:rsid w:val="009A6648"/>
    <w:rsid w:val="009A788D"/>
    <w:rsid w:val="009A794F"/>
    <w:rsid w:val="009B0103"/>
    <w:rsid w:val="009B3825"/>
    <w:rsid w:val="009B3A3C"/>
    <w:rsid w:val="009B3E91"/>
    <w:rsid w:val="009B4FEE"/>
    <w:rsid w:val="009B526B"/>
    <w:rsid w:val="009B7213"/>
    <w:rsid w:val="009C3130"/>
    <w:rsid w:val="009D0C8E"/>
    <w:rsid w:val="009D18AB"/>
    <w:rsid w:val="009D1A63"/>
    <w:rsid w:val="009D3DA5"/>
    <w:rsid w:val="009D4C75"/>
    <w:rsid w:val="009D73C2"/>
    <w:rsid w:val="009E077D"/>
    <w:rsid w:val="009E1F04"/>
    <w:rsid w:val="009E1FE5"/>
    <w:rsid w:val="009E30E5"/>
    <w:rsid w:val="009E6ADD"/>
    <w:rsid w:val="009E6B6A"/>
    <w:rsid w:val="009F07D8"/>
    <w:rsid w:val="009F1451"/>
    <w:rsid w:val="009F201D"/>
    <w:rsid w:val="009F32DB"/>
    <w:rsid w:val="009F48C4"/>
    <w:rsid w:val="009F4DAD"/>
    <w:rsid w:val="009F615E"/>
    <w:rsid w:val="009F6939"/>
    <w:rsid w:val="009F78CE"/>
    <w:rsid w:val="00A025F5"/>
    <w:rsid w:val="00A02905"/>
    <w:rsid w:val="00A03D75"/>
    <w:rsid w:val="00A04C31"/>
    <w:rsid w:val="00A0671D"/>
    <w:rsid w:val="00A07EA5"/>
    <w:rsid w:val="00A11036"/>
    <w:rsid w:val="00A115D6"/>
    <w:rsid w:val="00A12F22"/>
    <w:rsid w:val="00A2028F"/>
    <w:rsid w:val="00A22861"/>
    <w:rsid w:val="00A24C48"/>
    <w:rsid w:val="00A26CCA"/>
    <w:rsid w:val="00A31054"/>
    <w:rsid w:val="00A31512"/>
    <w:rsid w:val="00A32561"/>
    <w:rsid w:val="00A32FE3"/>
    <w:rsid w:val="00A346D2"/>
    <w:rsid w:val="00A36EF4"/>
    <w:rsid w:val="00A375D7"/>
    <w:rsid w:val="00A40E46"/>
    <w:rsid w:val="00A45F7F"/>
    <w:rsid w:val="00A479C9"/>
    <w:rsid w:val="00A50DAE"/>
    <w:rsid w:val="00A521F2"/>
    <w:rsid w:val="00A53D29"/>
    <w:rsid w:val="00A53D2B"/>
    <w:rsid w:val="00A5407D"/>
    <w:rsid w:val="00A54930"/>
    <w:rsid w:val="00A54F41"/>
    <w:rsid w:val="00A57042"/>
    <w:rsid w:val="00A645A6"/>
    <w:rsid w:val="00A648D4"/>
    <w:rsid w:val="00A65586"/>
    <w:rsid w:val="00A672E2"/>
    <w:rsid w:val="00A708BA"/>
    <w:rsid w:val="00A71117"/>
    <w:rsid w:val="00A7227D"/>
    <w:rsid w:val="00A722B3"/>
    <w:rsid w:val="00A74672"/>
    <w:rsid w:val="00A74727"/>
    <w:rsid w:val="00A752C9"/>
    <w:rsid w:val="00A752D6"/>
    <w:rsid w:val="00A75802"/>
    <w:rsid w:val="00A75C86"/>
    <w:rsid w:val="00A8649E"/>
    <w:rsid w:val="00A87B72"/>
    <w:rsid w:val="00A9087E"/>
    <w:rsid w:val="00A933D0"/>
    <w:rsid w:val="00A93641"/>
    <w:rsid w:val="00A9384F"/>
    <w:rsid w:val="00A9392A"/>
    <w:rsid w:val="00A95E1C"/>
    <w:rsid w:val="00A9736B"/>
    <w:rsid w:val="00A97968"/>
    <w:rsid w:val="00AA26ED"/>
    <w:rsid w:val="00AA31F9"/>
    <w:rsid w:val="00AA36C6"/>
    <w:rsid w:val="00AA3A2D"/>
    <w:rsid w:val="00AA4D63"/>
    <w:rsid w:val="00AA5B5F"/>
    <w:rsid w:val="00AB092E"/>
    <w:rsid w:val="00AB23FB"/>
    <w:rsid w:val="00AB6BE7"/>
    <w:rsid w:val="00AC184F"/>
    <w:rsid w:val="00AC1ED2"/>
    <w:rsid w:val="00AC5946"/>
    <w:rsid w:val="00AD0BF6"/>
    <w:rsid w:val="00AD3D93"/>
    <w:rsid w:val="00AD6B2D"/>
    <w:rsid w:val="00AD6D05"/>
    <w:rsid w:val="00AE15F1"/>
    <w:rsid w:val="00AE3A42"/>
    <w:rsid w:val="00AE47B6"/>
    <w:rsid w:val="00AE4B5F"/>
    <w:rsid w:val="00AE5B58"/>
    <w:rsid w:val="00AF04D1"/>
    <w:rsid w:val="00AF0820"/>
    <w:rsid w:val="00AF1704"/>
    <w:rsid w:val="00AF1CFB"/>
    <w:rsid w:val="00AF1DC9"/>
    <w:rsid w:val="00AF3B17"/>
    <w:rsid w:val="00AF43A1"/>
    <w:rsid w:val="00AF4E93"/>
    <w:rsid w:val="00B00A20"/>
    <w:rsid w:val="00B00A77"/>
    <w:rsid w:val="00B0274C"/>
    <w:rsid w:val="00B035E6"/>
    <w:rsid w:val="00B03F7F"/>
    <w:rsid w:val="00B06DEF"/>
    <w:rsid w:val="00B10BD1"/>
    <w:rsid w:val="00B12FCD"/>
    <w:rsid w:val="00B162F3"/>
    <w:rsid w:val="00B2010B"/>
    <w:rsid w:val="00B2334D"/>
    <w:rsid w:val="00B237CF"/>
    <w:rsid w:val="00B26BC3"/>
    <w:rsid w:val="00B33F5F"/>
    <w:rsid w:val="00B34DC3"/>
    <w:rsid w:val="00B352A4"/>
    <w:rsid w:val="00B373DC"/>
    <w:rsid w:val="00B374F0"/>
    <w:rsid w:val="00B37E6F"/>
    <w:rsid w:val="00B4347D"/>
    <w:rsid w:val="00B43D83"/>
    <w:rsid w:val="00B4482C"/>
    <w:rsid w:val="00B4629B"/>
    <w:rsid w:val="00B4799A"/>
    <w:rsid w:val="00B50174"/>
    <w:rsid w:val="00B50354"/>
    <w:rsid w:val="00B51BE4"/>
    <w:rsid w:val="00B526A6"/>
    <w:rsid w:val="00B52849"/>
    <w:rsid w:val="00B530BF"/>
    <w:rsid w:val="00B54E25"/>
    <w:rsid w:val="00B574EA"/>
    <w:rsid w:val="00B6627B"/>
    <w:rsid w:val="00B66308"/>
    <w:rsid w:val="00B67223"/>
    <w:rsid w:val="00B708CD"/>
    <w:rsid w:val="00B7146F"/>
    <w:rsid w:val="00B71E62"/>
    <w:rsid w:val="00B73336"/>
    <w:rsid w:val="00B741E5"/>
    <w:rsid w:val="00B7424D"/>
    <w:rsid w:val="00B74FC1"/>
    <w:rsid w:val="00B829F0"/>
    <w:rsid w:val="00B83BB1"/>
    <w:rsid w:val="00B85954"/>
    <w:rsid w:val="00B86162"/>
    <w:rsid w:val="00B87583"/>
    <w:rsid w:val="00B935FC"/>
    <w:rsid w:val="00B94BA9"/>
    <w:rsid w:val="00BA3FEE"/>
    <w:rsid w:val="00BA54EB"/>
    <w:rsid w:val="00BA7A7D"/>
    <w:rsid w:val="00BB25E8"/>
    <w:rsid w:val="00BB7DDE"/>
    <w:rsid w:val="00BC1162"/>
    <w:rsid w:val="00BC1FC2"/>
    <w:rsid w:val="00BC4473"/>
    <w:rsid w:val="00BD011F"/>
    <w:rsid w:val="00BD0B05"/>
    <w:rsid w:val="00BD2423"/>
    <w:rsid w:val="00BD4575"/>
    <w:rsid w:val="00BD59B1"/>
    <w:rsid w:val="00BE1DBA"/>
    <w:rsid w:val="00BE23F3"/>
    <w:rsid w:val="00BE7EE0"/>
    <w:rsid w:val="00BF1FB1"/>
    <w:rsid w:val="00C0453C"/>
    <w:rsid w:val="00C06AE5"/>
    <w:rsid w:val="00C06F48"/>
    <w:rsid w:val="00C10FE2"/>
    <w:rsid w:val="00C11925"/>
    <w:rsid w:val="00C12A8E"/>
    <w:rsid w:val="00C12CC5"/>
    <w:rsid w:val="00C210DC"/>
    <w:rsid w:val="00C23829"/>
    <w:rsid w:val="00C240D5"/>
    <w:rsid w:val="00C25DDF"/>
    <w:rsid w:val="00C26DD2"/>
    <w:rsid w:val="00C34312"/>
    <w:rsid w:val="00C34A78"/>
    <w:rsid w:val="00C350ED"/>
    <w:rsid w:val="00C354D6"/>
    <w:rsid w:val="00C4237F"/>
    <w:rsid w:val="00C44612"/>
    <w:rsid w:val="00C45227"/>
    <w:rsid w:val="00C509B6"/>
    <w:rsid w:val="00C526BE"/>
    <w:rsid w:val="00C61896"/>
    <w:rsid w:val="00C6281C"/>
    <w:rsid w:val="00C64356"/>
    <w:rsid w:val="00C6504F"/>
    <w:rsid w:val="00C65938"/>
    <w:rsid w:val="00C65E04"/>
    <w:rsid w:val="00C6789D"/>
    <w:rsid w:val="00C7036D"/>
    <w:rsid w:val="00C70F68"/>
    <w:rsid w:val="00C74315"/>
    <w:rsid w:val="00C74D96"/>
    <w:rsid w:val="00C7652A"/>
    <w:rsid w:val="00C77206"/>
    <w:rsid w:val="00C8128A"/>
    <w:rsid w:val="00C82314"/>
    <w:rsid w:val="00C82317"/>
    <w:rsid w:val="00C84A3E"/>
    <w:rsid w:val="00C90942"/>
    <w:rsid w:val="00C9703E"/>
    <w:rsid w:val="00C97A1B"/>
    <w:rsid w:val="00CA0E6B"/>
    <w:rsid w:val="00CA1501"/>
    <w:rsid w:val="00CA3796"/>
    <w:rsid w:val="00CA5929"/>
    <w:rsid w:val="00CB0988"/>
    <w:rsid w:val="00CB23AB"/>
    <w:rsid w:val="00CB315A"/>
    <w:rsid w:val="00CB3581"/>
    <w:rsid w:val="00CB3D58"/>
    <w:rsid w:val="00CB4F03"/>
    <w:rsid w:val="00CB63D4"/>
    <w:rsid w:val="00CB6901"/>
    <w:rsid w:val="00CB73FF"/>
    <w:rsid w:val="00CC1C8C"/>
    <w:rsid w:val="00CC6CCD"/>
    <w:rsid w:val="00CD04C8"/>
    <w:rsid w:val="00CD2985"/>
    <w:rsid w:val="00CD4840"/>
    <w:rsid w:val="00CD7FCC"/>
    <w:rsid w:val="00CE009C"/>
    <w:rsid w:val="00CE2650"/>
    <w:rsid w:val="00CE31C6"/>
    <w:rsid w:val="00CE56BB"/>
    <w:rsid w:val="00CE7832"/>
    <w:rsid w:val="00CF58BF"/>
    <w:rsid w:val="00CF6454"/>
    <w:rsid w:val="00D00E20"/>
    <w:rsid w:val="00D02FA9"/>
    <w:rsid w:val="00D03B38"/>
    <w:rsid w:val="00D04895"/>
    <w:rsid w:val="00D055CC"/>
    <w:rsid w:val="00D076DC"/>
    <w:rsid w:val="00D07FAC"/>
    <w:rsid w:val="00D13EF1"/>
    <w:rsid w:val="00D14FFA"/>
    <w:rsid w:val="00D158AE"/>
    <w:rsid w:val="00D15E8A"/>
    <w:rsid w:val="00D1640C"/>
    <w:rsid w:val="00D1738A"/>
    <w:rsid w:val="00D173F6"/>
    <w:rsid w:val="00D20C51"/>
    <w:rsid w:val="00D21A5A"/>
    <w:rsid w:val="00D25A6B"/>
    <w:rsid w:val="00D27B07"/>
    <w:rsid w:val="00D317C3"/>
    <w:rsid w:val="00D32565"/>
    <w:rsid w:val="00D33380"/>
    <w:rsid w:val="00D36360"/>
    <w:rsid w:val="00D378E4"/>
    <w:rsid w:val="00D40512"/>
    <w:rsid w:val="00D40BF7"/>
    <w:rsid w:val="00D41438"/>
    <w:rsid w:val="00D41DF8"/>
    <w:rsid w:val="00D4412B"/>
    <w:rsid w:val="00D45FB2"/>
    <w:rsid w:val="00D5077B"/>
    <w:rsid w:val="00D527FD"/>
    <w:rsid w:val="00D52C50"/>
    <w:rsid w:val="00D55672"/>
    <w:rsid w:val="00D57DE1"/>
    <w:rsid w:val="00D60769"/>
    <w:rsid w:val="00D60EE5"/>
    <w:rsid w:val="00D6299D"/>
    <w:rsid w:val="00D7113B"/>
    <w:rsid w:val="00D711CE"/>
    <w:rsid w:val="00D71204"/>
    <w:rsid w:val="00D73C14"/>
    <w:rsid w:val="00D842DF"/>
    <w:rsid w:val="00D90FB9"/>
    <w:rsid w:val="00D95988"/>
    <w:rsid w:val="00D9669E"/>
    <w:rsid w:val="00DA29C1"/>
    <w:rsid w:val="00DA2EC2"/>
    <w:rsid w:val="00DA345D"/>
    <w:rsid w:val="00DA40A2"/>
    <w:rsid w:val="00DA4B37"/>
    <w:rsid w:val="00DB2A7A"/>
    <w:rsid w:val="00DB4EEB"/>
    <w:rsid w:val="00DC1725"/>
    <w:rsid w:val="00DC50E6"/>
    <w:rsid w:val="00DC52EE"/>
    <w:rsid w:val="00DC58EE"/>
    <w:rsid w:val="00DC61EB"/>
    <w:rsid w:val="00DD0B6D"/>
    <w:rsid w:val="00DD2BAD"/>
    <w:rsid w:val="00DD4622"/>
    <w:rsid w:val="00DD55AA"/>
    <w:rsid w:val="00DD5785"/>
    <w:rsid w:val="00DD5BF6"/>
    <w:rsid w:val="00DE05CD"/>
    <w:rsid w:val="00DE0AAE"/>
    <w:rsid w:val="00DF0848"/>
    <w:rsid w:val="00DF520C"/>
    <w:rsid w:val="00DF60FC"/>
    <w:rsid w:val="00DF703B"/>
    <w:rsid w:val="00DF715D"/>
    <w:rsid w:val="00E018C7"/>
    <w:rsid w:val="00E043CF"/>
    <w:rsid w:val="00E0681D"/>
    <w:rsid w:val="00E07B50"/>
    <w:rsid w:val="00E12A82"/>
    <w:rsid w:val="00E219B5"/>
    <w:rsid w:val="00E21DB5"/>
    <w:rsid w:val="00E264D7"/>
    <w:rsid w:val="00E30B01"/>
    <w:rsid w:val="00E30F25"/>
    <w:rsid w:val="00E34971"/>
    <w:rsid w:val="00E34B5F"/>
    <w:rsid w:val="00E34BE5"/>
    <w:rsid w:val="00E34E65"/>
    <w:rsid w:val="00E3571C"/>
    <w:rsid w:val="00E35888"/>
    <w:rsid w:val="00E37D36"/>
    <w:rsid w:val="00E457F1"/>
    <w:rsid w:val="00E45F87"/>
    <w:rsid w:val="00E477E1"/>
    <w:rsid w:val="00E479F8"/>
    <w:rsid w:val="00E47EA7"/>
    <w:rsid w:val="00E51F88"/>
    <w:rsid w:val="00E52216"/>
    <w:rsid w:val="00E55A6F"/>
    <w:rsid w:val="00E62A17"/>
    <w:rsid w:val="00E64101"/>
    <w:rsid w:val="00E64ADD"/>
    <w:rsid w:val="00E65F9E"/>
    <w:rsid w:val="00E6671E"/>
    <w:rsid w:val="00E672E9"/>
    <w:rsid w:val="00E70F55"/>
    <w:rsid w:val="00E73950"/>
    <w:rsid w:val="00E750E7"/>
    <w:rsid w:val="00E81669"/>
    <w:rsid w:val="00E8396C"/>
    <w:rsid w:val="00E839FD"/>
    <w:rsid w:val="00E864B8"/>
    <w:rsid w:val="00E9230E"/>
    <w:rsid w:val="00E9289B"/>
    <w:rsid w:val="00E931F5"/>
    <w:rsid w:val="00E93C95"/>
    <w:rsid w:val="00E940A0"/>
    <w:rsid w:val="00E9616D"/>
    <w:rsid w:val="00E961F1"/>
    <w:rsid w:val="00E972A1"/>
    <w:rsid w:val="00EA1E76"/>
    <w:rsid w:val="00EA4BEA"/>
    <w:rsid w:val="00EA70F9"/>
    <w:rsid w:val="00EB25E2"/>
    <w:rsid w:val="00EB2EC1"/>
    <w:rsid w:val="00EB5D85"/>
    <w:rsid w:val="00EB6AC8"/>
    <w:rsid w:val="00EC2A2B"/>
    <w:rsid w:val="00EC5111"/>
    <w:rsid w:val="00EC5D3F"/>
    <w:rsid w:val="00EC6F37"/>
    <w:rsid w:val="00EC72D8"/>
    <w:rsid w:val="00EC7305"/>
    <w:rsid w:val="00EC731B"/>
    <w:rsid w:val="00ED14B7"/>
    <w:rsid w:val="00ED2834"/>
    <w:rsid w:val="00ED2C30"/>
    <w:rsid w:val="00ED4633"/>
    <w:rsid w:val="00ED7A55"/>
    <w:rsid w:val="00EE14ED"/>
    <w:rsid w:val="00EE1AE8"/>
    <w:rsid w:val="00EE2985"/>
    <w:rsid w:val="00EE4AFF"/>
    <w:rsid w:val="00EE678E"/>
    <w:rsid w:val="00EF08A4"/>
    <w:rsid w:val="00EF304A"/>
    <w:rsid w:val="00EF4F0C"/>
    <w:rsid w:val="00EF55C9"/>
    <w:rsid w:val="00F0294B"/>
    <w:rsid w:val="00F0424D"/>
    <w:rsid w:val="00F05762"/>
    <w:rsid w:val="00F0594B"/>
    <w:rsid w:val="00F07766"/>
    <w:rsid w:val="00F11159"/>
    <w:rsid w:val="00F13174"/>
    <w:rsid w:val="00F1359C"/>
    <w:rsid w:val="00F1454B"/>
    <w:rsid w:val="00F1578F"/>
    <w:rsid w:val="00F16042"/>
    <w:rsid w:val="00F20443"/>
    <w:rsid w:val="00F215AB"/>
    <w:rsid w:val="00F252B1"/>
    <w:rsid w:val="00F272F4"/>
    <w:rsid w:val="00F32F96"/>
    <w:rsid w:val="00F33D28"/>
    <w:rsid w:val="00F40D02"/>
    <w:rsid w:val="00F44381"/>
    <w:rsid w:val="00F46CBA"/>
    <w:rsid w:val="00F502CB"/>
    <w:rsid w:val="00F50A83"/>
    <w:rsid w:val="00F514AC"/>
    <w:rsid w:val="00F5502B"/>
    <w:rsid w:val="00F561C2"/>
    <w:rsid w:val="00F608B9"/>
    <w:rsid w:val="00F6283B"/>
    <w:rsid w:val="00F64BC2"/>
    <w:rsid w:val="00F64C30"/>
    <w:rsid w:val="00F66A84"/>
    <w:rsid w:val="00F67C4E"/>
    <w:rsid w:val="00F73CFE"/>
    <w:rsid w:val="00F779FF"/>
    <w:rsid w:val="00F80643"/>
    <w:rsid w:val="00F81AEF"/>
    <w:rsid w:val="00F825D4"/>
    <w:rsid w:val="00F82C50"/>
    <w:rsid w:val="00F85FC1"/>
    <w:rsid w:val="00F87473"/>
    <w:rsid w:val="00F93E6E"/>
    <w:rsid w:val="00F968B4"/>
    <w:rsid w:val="00F97D74"/>
    <w:rsid w:val="00FA3D7C"/>
    <w:rsid w:val="00FA4E4A"/>
    <w:rsid w:val="00FA6EB2"/>
    <w:rsid w:val="00FB01DA"/>
    <w:rsid w:val="00FB3FF2"/>
    <w:rsid w:val="00FB5A75"/>
    <w:rsid w:val="00FB5C07"/>
    <w:rsid w:val="00FB5F8D"/>
    <w:rsid w:val="00FC0938"/>
    <w:rsid w:val="00FC0F07"/>
    <w:rsid w:val="00FC3C52"/>
    <w:rsid w:val="00FC60EC"/>
    <w:rsid w:val="00FC7250"/>
    <w:rsid w:val="00FC7BDB"/>
    <w:rsid w:val="00FD3136"/>
    <w:rsid w:val="00FD32F6"/>
    <w:rsid w:val="00FD5FE3"/>
    <w:rsid w:val="00FD6732"/>
    <w:rsid w:val="00FD751A"/>
    <w:rsid w:val="00FE1471"/>
    <w:rsid w:val="00FF1F3D"/>
    <w:rsid w:val="00FF2BD0"/>
    <w:rsid w:val="00FF31A6"/>
    <w:rsid w:val="00FF3ADA"/>
    <w:rsid w:val="00FF61EE"/>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0F3F60"/>
  <w15:docId w15:val="{33AB04BF-9393-4376-AB3F-3690F578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052B6F"/>
    <w:rPr>
      <w:sz w:val="22"/>
      <w:szCs w:val="24"/>
    </w:rPr>
  </w:style>
  <w:style w:type="paragraph" w:styleId="Heading1">
    <w:name w:val="heading 1"/>
    <w:basedOn w:val="Normal"/>
    <w:next w:val="BodyText"/>
    <w:qFormat/>
    <w:rsid w:val="00C11925"/>
    <w:pPr>
      <w:keepNext/>
      <w:numPr>
        <w:numId w:val="1"/>
      </w:numPr>
      <w:spacing w:before="360" w:after="240"/>
      <w:contextualSpacing/>
      <w:outlineLvl w:val="0"/>
    </w:pPr>
    <w:rPr>
      <w:rFonts w:ascii="Arial" w:hAnsi="Arial" w:cs="Arial"/>
      <w:b/>
      <w:bCs/>
      <w:kern w:val="32"/>
      <w:sz w:val="24"/>
      <w:szCs w:val="32"/>
    </w:rPr>
  </w:style>
  <w:style w:type="paragraph" w:styleId="Heading2">
    <w:name w:val="heading 2"/>
    <w:basedOn w:val="Normal"/>
    <w:next w:val="BodyText"/>
    <w:link w:val="Heading2Char"/>
    <w:qFormat/>
    <w:rsid w:val="00C11925"/>
    <w:pPr>
      <w:keepNext/>
      <w:numPr>
        <w:ilvl w:val="1"/>
        <w:numId w:val="1"/>
      </w:numPr>
      <w:spacing w:before="240" w:after="200"/>
      <w:outlineLvl w:val="1"/>
    </w:pPr>
    <w:rPr>
      <w:rFonts w:ascii="Arial" w:hAnsi="Arial" w:cs="Arial"/>
      <w:b/>
      <w:bCs/>
      <w:iCs/>
      <w:sz w:val="20"/>
      <w:szCs w:val="28"/>
    </w:rPr>
  </w:style>
  <w:style w:type="paragraph" w:styleId="Heading3">
    <w:name w:val="heading 3"/>
    <w:basedOn w:val="Normal"/>
    <w:next w:val="BodyText"/>
    <w:qFormat/>
    <w:rsid w:val="00C11925"/>
    <w:pPr>
      <w:keepNext/>
      <w:numPr>
        <w:ilvl w:val="2"/>
        <w:numId w:val="1"/>
      </w:numPr>
      <w:spacing w:after="120"/>
      <w:outlineLvl w:val="2"/>
    </w:pPr>
    <w:rPr>
      <w:rFonts w:ascii="Arial" w:hAnsi="Arial" w:cs="Arial"/>
      <w:b/>
      <w:bCs/>
      <w:sz w:val="20"/>
      <w:szCs w:val="26"/>
    </w:rPr>
  </w:style>
  <w:style w:type="paragraph" w:styleId="Heading4">
    <w:name w:val="heading 4"/>
    <w:basedOn w:val="Normal"/>
    <w:next w:val="Normal"/>
    <w:qFormat/>
    <w:rsid w:val="003500C7"/>
    <w:pPr>
      <w:keepNext/>
      <w:spacing w:after="240"/>
      <w:outlineLvl w:val="3"/>
    </w:pPr>
    <w:rPr>
      <w:rFonts w:ascii="Arial" w:hAnsi="Arial"/>
      <w:b/>
      <w:bCs/>
      <w:sz w:val="20"/>
      <w:szCs w:val="28"/>
    </w:rPr>
  </w:style>
  <w:style w:type="paragraph" w:styleId="Heading5">
    <w:name w:val="heading 5"/>
    <w:basedOn w:val="Normal"/>
    <w:next w:val="Normal"/>
    <w:link w:val="Heading5Char"/>
    <w:qFormat/>
    <w:rsid w:val="006373A1"/>
    <w:pPr>
      <w:keepNext/>
      <w:spacing w:after="120"/>
      <w:outlineLvl w:val="4"/>
    </w:pPr>
    <w:rPr>
      <w:rFonts w:ascii="Arial" w:hAnsi="Arial"/>
      <w:bCs/>
      <w:iCs/>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rsid w:val="00AB092E"/>
    <w:pPr>
      <w:tabs>
        <w:tab w:val="center" w:pos="4320"/>
        <w:tab w:val="right" w:pos="8640"/>
      </w:tabs>
    </w:pPr>
  </w:style>
  <w:style w:type="paragraph" w:styleId="Header">
    <w:name w:val="header"/>
    <w:basedOn w:val="Normal"/>
    <w:uiPriority w:val="99"/>
    <w:rsid w:val="00AB092E"/>
    <w:pPr>
      <w:tabs>
        <w:tab w:val="center" w:pos="4320"/>
        <w:tab w:val="right" w:pos="8640"/>
      </w:tabs>
    </w:pPr>
  </w:style>
  <w:style w:type="table" w:styleId="TableGrid">
    <w:name w:val="Table Grid"/>
    <w:basedOn w:val="TableNormal"/>
    <w:uiPriority w:val="59"/>
    <w:rsid w:val="009D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D18AB"/>
    <w:rPr>
      <w:sz w:val="20"/>
      <w:szCs w:val="20"/>
    </w:rPr>
  </w:style>
  <w:style w:type="character" w:styleId="FootnoteReference">
    <w:name w:val="footnote reference"/>
    <w:uiPriority w:val="99"/>
    <w:semiHidden/>
    <w:rsid w:val="009D18AB"/>
    <w:rPr>
      <w:vertAlign w:val="superscript"/>
    </w:rPr>
  </w:style>
  <w:style w:type="paragraph" w:styleId="Caption">
    <w:name w:val="caption"/>
    <w:basedOn w:val="Normal"/>
    <w:next w:val="Normal"/>
    <w:uiPriority w:val="99"/>
    <w:qFormat/>
    <w:rsid w:val="00C526BE"/>
    <w:pPr>
      <w:keepNext/>
      <w:tabs>
        <w:tab w:val="left" w:pos="1080"/>
      </w:tabs>
      <w:spacing w:after="120"/>
      <w:ind w:left="1080" w:hanging="1080"/>
    </w:pPr>
    <w:rPr>
      <w:rFonts w:ascii="Arial" w:hAnsi="Arial"/>
      <w:b/>
      <w:bCs/>
      <w:sz w:val="18"/>
      <w:szCs w:val="20"/>
    </w:rPr>
  </w:style>
  <w:style w:type="character" w:styleId="PageNumber">
    <w:name w:val="page number"/>
    <w:basedOn w:val="DefaultParagraphFont"/>
    <w:uiPriority w:val="99"/>
    <w:rsid w:val="006F5B6B"/>
  </w:style>
  <w:style w:type="character" w:styleId="Hyperlink">
    <w:name w:val="Hyperlink"/>
    <w:uiPriority w:val="99"/>
    <w:rsid w:val="006C4F32"/>
    <w:rPr>
      <w:color w:val="0000FF"/>
      <w:u w:val="single"/>
    </w:rPr>
  </w:style>
  <w:style w:type="paragraph" w:customStyle="1" w:styleId="Reference">
    <w:name w:val="Reference"/>
    <w:basedOn w:val="Normal"/>
    <w:uiPriority w:val="99"/>
    <w:qFormat/>
    <w:rsid w:val="00052B6F"/>
    <w:pPr>
      <w:shd w:val="clear" w:color="auto" w:fill="FFFFFF"/>
      <w:tabs>
        <w:tab w:val="left" w:pos="360"/>
        <w:tab w:val="left" w:pos="720"/>
        <w:tab w:val="left" w:pos="1080"/>
      </w:tabs>
      <w:spacing w:before="200" w:after="100" w:afterAutospacing="1"/>
      <w:ind w:left="720" w:hanging="720"/>
    </w:pPr>
    <w:rPr>
      <w:sz w:val="20"/>
      <w:szCs w:val="16"/>
    </w:rPr>
  </w:style>
  <w:style w:type="paragraph" w:styleId="BodyText">
    <w:name w:val="Body Text"/>
    <w:basedOn w:val="Normal"/>
    <w:link w:val="BodyTextChar"/>
    <w:qFormat/>
    <w:rsid w:val="004D471D"/>
    <w:pPr>
      <w:spacing w:after="120"/>
    </w:pPr>
  </w:style>
  <w:style w:type="paragraph" w:styleId="TOC1">
    <w:name w:val="toc 1"/>
    <w:basedOn w:val="Normal"/>
    <w:next w:val="Normal"/>
    <w:autoRedefine/>
    <w:uiPriority w:val="39"/>
    <w:qFormat/>
    <w:rsid w:val="008852C4"/>
    <w:pPr>
      <w:tabs>
        <w:tab w:val="right" w:leader="dot" w:pos="9350"/>
      </w:tabs>
      <w:spacing w:before="60"/>
      <w:ind w:left="360" w:hanging="360"/>
    </w:pPr>
    <w:rPr>
      <w:rFonts w:ascii="Arial" w:hAnsi="Arial" w:cs="Calibri"/>
      <w:bCs/>
      <w:iCs/>
      <w:noProof/>
      <w:sz w:val="18"/>
    </w:rPr>
  </w:style>
  <w:style w:type="character" w:customStyle="1" w:styleId="Heading5Char">
    <w:name w:val="Heading 5 Char"/>
    <w:link w:val="Heading5"/>
    <w:rsid w:val="00C509B6"/>
    <w:rPr>
      <w:rFonts w:ascii="Arial" w:hAnsi="Arial"/>
      <w:bCs/>
      <w:iCs/>
      <w:szCs w:val="26"/>
      <w:u w:val="single"/>
      <w:lang w:val="en-US" w:eastAsia="en-US" w:bidi="ar-SA"/>
    </w:rPr>
  </w:style>
  <w:style w:type="paragraph" w:styleId="BalloonText">
    <w:name w:val="Balloon Text"/>
    <w:basedOn w:val="Normal"/>
    <w:link w:val="BalloonTextChar"/>
    <w:uiPriority w:val="99"/>
    <w:rsid w:val="00C10FE2"/>
    <w:rPr>
      <w:rFonts w:ascii="Tahoma" w:hAnsi="Tahoma" w:cs="Tahoma"/>
      <w:sz w:val="16"/>
      <w:szCs w:val="16"/>
    </w:rPr>
  </w:style>
  <w:style w:type="character" w:customStyle="1" w:styleId="BalloonTextChar">
    <w:name w:val="Balloon Text Char"/>
    <w:link w:val="BalloonText"/>
    <w:uiPriority w:val="99"/>
    <w:rsid w:val="008852C4"/>
    <w:rPr>
      <w:rFonts w:ascii="Tahoma" w:hAnsi="Tahoma" w:cs="Tahoma"/>
      <w:sz w:val="16"/>
      <w:szCs w:val="16"/>
    </w:rPr>
  </w:style>
  <w:style w:type="paragraph" w:styleId="TOC2">
    <w:name w:val="toc 2"/>
    <w:basedOn w:val="Normal"/>
    <w:next w:val="Normal"/>
    <w:autoRedefine/>
    <w:uiPriority w:val="39"/>
    <w:qFormat/>
    <w:rsid w:val="00072D3B"/>
    <w:pPr>
      <w:tabs>
        <w:tab w:val="left" w:pos="880"/>
        <w:tab w:val="right" w:leader="dot" w:pos="9350"/>
      </w:tabs>
      <w:ind w:left="720" w:hanging="360"/>
    </w:pPr>
    <w:rPr>
      <w:rFonts w:ascii="Arial" w:hAnsi="Arial" w:cs="Calibri"/>
      <w:bCs/>
      <w:noProof/>
      <w:sz w:val="18"/>
      <w:szCs w:val="22"/>
    </w:rPr>
  </w:style>
  <w:style w:type="paragraph" w:styleId="TOC3">
    <w:name w:val="toc 3"/>
    <w:basedOn w:val="Normal"/>
    <w:next w:val="Normal"/>
    <w:autoRedefine/>
    <w:uiPriority w:val="39"/>
    <w:qFormat/>
    <w:rsid w:val="008852C4"/>
    <w:pPr>
      <w:tabs>
        <w:tab w:val="left" w:pos="1260"/>
        <w:tab w:val="right" w:leader="dot" w:pos="9350"/>
      </w:tabs>
      <w:ind w:left="720"/>
    </w:pPr>
    <w:rPr>
      <w:rFonts w:ascii="Arial" w:hAnsi="Arial" w:cs="Calibri"/>
      <w:noProof/>
      <w:sz w:val="18"/>
      <w:szCs w:val="20"/>
    </w:rPr>
  </w:style>
  <w:style w:type="paragraph" w:styleId="TOC4">
    <w:name w:val="toc 4"/>
    <w:basedOn w:val="Normal"/>
    <w:next w:val="Normal"/>
    <w:autoRedefine/>
    <w:uiPriority w:val="39"/>
    <w:qFormat/>
    <w:rsid w:val="008852C4"/>
    <w:pPr>
      <w:tabs>
        <w:tab w:val="left" w:pos="1890"/>
        <w:tab w:val="right" w:leader="dot" w:pos="9346"/>
      </w:tabs>
      <w:ind w:left="1890" w:right="288" w:hanging="648"/>
    </w:pPr>
    <w:rPr>
      <w:rFonts w:ascii="Arial" w:hAnsi="Arial"/>
      <w:noProof/>
      <w:sz w:val="18"/>
      <w:szCs w:val="18"/>
    </w:rPr>
  </w:style>
  <w:style w:type="paragraph" w:styleId="TOC5">
    <w:name w:val="toc 5"/>
    <w:basedOn w:val="Normal"/>
    <w:next w:val="Normal"/>
    <w:autoRedefine/>
    <w:rsid w:val="008852C4"/>
    <w:pPr>
      <w:ind w:left="880"/>
    </w:pPr>
    <w:rPr>
      <w:rFonts w:ascii="Calibri" w:hAnsi="Calibri" w:cs="Calibri"/>
      <w:sz w:val="18"/>
      <w:szCs w:val="20"/>
    </w:rPr>
  </w:style>
  <w:style w:type="paragraph" w:styleId="TOC6">
    <w:name w:val="toc 6"/>
    <w:basedOn w:val="Normal"/>
    <w:next w:val="Normal"/>
    <w:autoRedefine/>
    <w:rsid w:val="008852C4"/>
    <w:pPr>
      <w:ind w:left="1100"/>
    </w:pPr>
    <w:rPr>
      <w:rFonts w:ascii="Arial" w:hAnsi="Arial" w:cs="Calibri"/>
      <w:sz w:val="20"/>
      <w:szCs w:val="20"/>
    </w:rPr>
  </w:style>
  <w:style w:type="paragraph" w:styleId="TOC7">
    <w:name w:val="toc 7"/>
    <w:basedOn w:val="Normal"/>
    <w:next w:val="Normal"/>
    <w:autoRedefine/>
    <w:rsid w:val="008852C4"/>
    <w:pPr>
      <w:ind w:left="1320"/>
    </w:pPr>
    <w:rPr>
      <w:rFonts w:ascii="Arial" w:hAnsi="Arial" w:cs="Calibri"/>
      <w:sz w:val="20"/>
      <w:szCs w:val="20"/>
    </w:rPr>
  </w:style>
  <w:style w:type="paragraph" w:styleId="TOC8">
    <w:name w:val="toc 8"/>
    <w:basedOn w:val="Normal"/>
    <w:next w:val="Normal"/>
    <w:autoRedefine/>
    <w:rsid w:val="008852C4"/>
    <w:pPr>
      <w:ind w:left="1540"/>
    </w:pPr>
    <w:rPr>
      <w:rFonts w:ascii="Arial" w:hAnsi="Arial" w:cs="Calibri"/>
      <w:sz w:val="20"/>
      <w:szCs w:val="20"/>
    </w:rPr>
  </w:style>
  <w:style w:type="paragraph" w:styleId="TOC9">
    <w:name w:val="toc 9"/>
    <w:basedOn w:val="Normal"/>
    <w:next w:val="Normal"/>
    <w:autoRedefine/>
    <w:rsid w:val="008852C4"/>
    <w:pPr>
      <w:ind w:left="1760"/>
    </w:pPr>
    <w:rPr>
      <w:rFonts w:ascii="Arial" w:hAnsi="Arial" w:cs="Calibri"/>
      <w:sz w:val="20"/>
      <w:szCs w:val="20"/>
    </w:rPr>
  </w:style>
  <w:style w:type="paragraph" w:styleId="ListParagraph">
    <w:name w:val="List Paragraph"/>
    <w:basedOn w:val="Normal"/>
    <w:uiPriority w:val="34"/>
    <w:qFormat/>
    <w:rsid w:val="0033660A"/>
    <w:pPr>
      <w:ind w:left="720"/>
      <w:contextualSpacing/>
    </w:pPr>
    <w:rPr>
      <w:rFonts w:eastAsia="Calibri"/>
      <w:szCs w:val="22"/>
    </w:rPr>
  </w:style>
  <w:style w:type="character" w:styleId="CommentReference">
    <w:name w:val="annotation reference"/>
    <w:uiPriority w:val="99"/>
    <w:unhideWhenUsed/>
    <w:rsid w:val="0033660A"/>
    <w:rPr>
      <w:sz w:val="16"/>
      <w:szCs w:val="16"/>
    </w:rPr>
  </w:style>
  <w:style w:type="paragraph" w:styleId="CommentText">
    <w:name w:val="annotation text"/>
    <w:basedOn w:val="Normal"/>
    <w:link w:val="CommentTextChar"/>
    <w:uiPriority w:val="99"/>
    <w:unhideWhenUsed/>
    <w:rsid w:val="0033660A"/>
    <w:rPr>
      <w:rFonts w:eastAsia="Calibri"/>
      <w:sz w:val="20"/>
      <w:szCs w:val="20"/>
    </w:rPr>
  </w:style>
  <w:style w:type="character" w:customStyle="1" w:styleId="CommentTextChar">
    <w:name w:val="Comment Text Char"/>
    <w:link w:val="CommentText"/>
    <w:uiPriority w:val="99"/>
    <w:rsid w:val="0033660A"/>
    <w:rPr>
      <w:rFonts w:eastAsia="Calibri"/>
    </w:rPr>
  </w:style>
  <w:style w:type="paragraph" w:customStyle="1" w:styleId="fig">
    <w:name w:val="fig"/>
    <w:basedOn w:val="Normal"/>
    <w:uiPriority w:val="99"/>
    <w:rsid w:val="000258B9"/>
    <w:pPr>
      <w:keepNext/>
      <w:jc w:val="center"/>
    </w:pPr>
    <w:rPr>
      <w:szCs w:val="20"/>
    </w:rPr>
  </w:style>
  <w:style w:type="character" w:styleId="Strong">
    <w:name w:val="Strong"/>
    <w:uiPriority w:val="99"/>
    <w:qFormat/>
    <w:rsid w:val="000258B9"/>
    <w:rPr>
      <w:b/>
      <w:bCs/>
    </w:rPr>
  </w:style>
  <w:style w:type="character" w:customStyle="1" w:styleId="FootnoteTextChar">
    <w:name w:val="Footnote Text Char"/>
    <w:link w:val="FootnoteText"/>
    <w:uiPriority w:val="99"/>
    <w:semiHidden/>
    <w:rsid w:val="008852C4"/>
  </w:style>
  <w:style w:type="paragraph" w:customStyle="1" w:styleId="Level1">
    <w:name w:val="Level 1"/>
    <w:uiPriority w:val="99"/>
    <w:rsid w:val="00A11036"/>
    <w:pPr>
      <w:autoSpaceDE w:val="0"/>
      <w:autoSpaceDN w:val="0"/>
      <w:adjustRightInd w:val="0"/>
      <w:ind w:left="720"/>
    </w:pPr>
    <w:rPr>
      <w:sz w:val="24"/>
      <w:szCs w:val="24"/>
    </w:rPr>
  </w:style>
  <w:style w:type="character" w:customStyle="1" w:styleId="apple-converted-space">
    <w:name w:val="apple-converted-space"/>
    <w:uiPriority w:val="99"/>
    <w:rsid w:val="00D27B07"/>
  </w:style>
  <w:style w:type="character" w:customStyle="1" w:styleId="Heading2Char">
    <w:name w:val="Heading 2 Char"/>
    <w:link w:val="Heading2"/>
    <w:rsid w:val="00C11925"/>
    <w:rPr>
      <w:rFonts w:ascii="Arial" w:hAnsi="Arial" w:cs="Arial"/>
      <w:b/>
      <w:bCs/>
      <w:iCs/>
      <w:szCs w:val="28"/>
    </w:rPr>
  </w:style>
  <w:style w:type="paragraph" w:styleId="CommentSubject">
    <w:name w:val="annotation subject"/>
    <w:basedOn w:val="CommentText"/>
    <w:next w:val="CommentText"/>
    <w:link w:val="CommentSubjectChar"/>
    <w:uiPriority w:val="99"/>
    <w:rsid w:val="00F64BC2"/>
    <w:rPr>
      <w:rFonts w:eastAsia="Times New Roman"/>
      <w:b/>
      <w:bCs/>
    </w:rPr>
  </w:style>
  <w:style w:type="character" w:customStyle="1" w:styleId="CommentSubjectChar">
    <w:name w:val="Comment Subject Char"/>
    <w:link w:val="CommentSubject"/>
    <w:uiPriority w:val="99"/>
    <w:rsid w:val="008852C4"/>
    <w:rPr>
      <w:b/>
      <w:bCs/>
    </w:rPr>
  </w:style>
  <w:style w:type="paragraph" w:styleId="NormalWeb">
    <w:name w:val="Normal (Web)"/>
    <w:basedOn w:val="Normal"/>
    <w:uiPriority w:val="99"/>
    <w:unhideWhenUsed/>
    <w:rsid w:val="00AF04D1"/>
    <w:pPr>
      <w:spacing w:before="100" w:beforeAutospacing="1" w:after="100" w:afterAutospacing="1"/>
    </w:pPr>
    <w:rPr>
      <w:sz w:val="24"/>
    </w:rPr>
  </w:style>
  <w:style w:type="character" w:customStyle="1" w:styleId="il">
    <w:name w:val="il"/>
    <w:basedOn w:val="DefaultParagraphFont"/>
    <w:uiPriority w:val="99"/>
    <w:rsid w:val="006F29CC"/>
  </w:style>
  <w:style w:type="paragraph" w:customStyle="1" w:styleId="AgendaHeader">
    <w:name w:val="Agenda Header"/>
    <w:basedOn w:val="Header"/>
    <w:uiPriority w:val="99"/>
    <w:qFormat/>
    <w:rsid w:val="000B5D05"/>
    <w:pPr>
      <w:tabs>
        <w:tab w:val="clear" w:pos="4320"/>
        <w:tab w:val="clear" w:pos="8640"/>
        <w:tab w:val="center" w:pos="4680"/>
        <w:tab w:val="right" w:pos="9360"/>
      </w:tabs>
      <w:jc w:val="right"/>
    </w:pPr>
    <w:rPr>
      <w:rFonts w:ascii="Arial" w:hAnsi="Arial" w:cs="Arial"/>
      <w:sz w:val="20"/>
      <w:szCs w:val="20"/>
    </w:rPr>
  </w:style>
  <w:style w:type="character" w:customStyle="1" w:styleId="BodyTextChar">
    <w:name w:val="Body Text Char"/>
    <w:basedOn w:val="DefaultParagraphFont"/>
    <w:link w:val="BodyText"/>
    <w:rsid w:val="004D471D"/>
    <w:rPr>
      <w:sz w:val="22"/>
      <w:szCs w:val="24"/>
    </w:rPr>
  </w:style>
  <w:style w:type="paragraph" w:customStyle="1" w:styleId="Figure">
    <w:name w:val="Figure"/>
    <w:basedOn w:val="Normal"/>
    <w:uiPriority w:val="2"/>
    <w:qFormat/>
    <w:rsid w:val="00643809"/>
    <w:pPr>
      <w:keepNext/>
      <w:pBdr>
        <w:top w:val="single" w:sz="4" w:space="1" w:color="auto"/>
        <w:left w:val="single" w:sz="4" w:space="4" w:color="auto"/>
        <w:bottom w:val="single" w:sz="4" w:space="1" w:color="auto"/>
        <w:right w:val="single" w:sz="4" w:space="4" w:color="auto"/>
      </w:pBdr>
      <w:spacing w:after="120"/>
      <w:jc w:val="center"/>
    </w:pPr>
    <w:rPr>
      <w:noProof/>
    </w:rPr>
  </w:style>
  <w:style w:type="paragraph" w:customStyle="1" w:styleId="FigureCaption">
    <w:name w:val="Figure Caption"/>
    <w:basedOn w:val="Caption"/>
    <w:uiPriority w:val="2"/>
    <w:qFormat/>
    <w:rsid w:val="000B5D05"/>
    <w:pPr>
      <w:spacing w:after="240"/>
    </w:pPr>
    <w:rPr>
      <w:b w:val="0"/>
    </w:rPr>
  </w:style>
  <w:style w:type="paragraph" w:customStyle="1" w:styleId="TableCaption">
    <w:name w:val="Table Caption"/>
    <w:basedOn w:val="Caption"/>
    <w:uiPriority w:val="99"/>
    <w:qFormat/>
    <w:rsid w:val="00AA5B5F"/>
    <w:rPr>
      <w:b w:val="0"/>
    </w:rPr>
  </w:style>
  <w:style w:type="table" w:styleId="Table3Deffects1">
    <w:name w:val="Table 3D effects 1"/>
    <w:basedOn w:val="TableNormal"/>
    <w:unhideWhenUsed/>
    <w:rsid w:val="00E349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Notes">
    <w:name w:val="Notes"/>
    <w:basedOn w:val="Normal"/>
    <w:uiPriority w:val="99"/>
    <w:qFormat/>
    <w:rsid w:val="00C11925"/>
    <w:pPr>
      <w:autoSpaceDE w:val="0"/>
      <w:autoSpaceDN w:val="0"/>
      <w:adjustRightInd w:val="0"/>
      <w:spacing w:before="40" w:after="240"/>
      <w:contextualSpacing/>
    </w:pPr>
    <w:rPr>
      <w:rFonts w:ascii="Arial" w:hAnsi="Arial" w:cs="Arial"/>
      <w:bCs/>
      <w:sz w:val="16"/>
      <w:szCs w:val="16"/>
    </w:rPr>
  </w:style>
  <w:style w:type="table" w:styleId="TableSubtle1">
    <w:name w:val="Table Subtle 1"/>
    <w:basedOn w:val="TableNormal"/>
    <w:unhideWhenUsed/>
    <w:rsid w:val="00E349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itle">
    <w:name w:val="Title"/>
    <w:basedOn w:val="Normal"/>
    <w:next w:val="Normal"/>
    <w:link w:val="TitleChar"/>
    <w:uiPriority w:val="7"/>
    <w:qFormat/>
    <w:rsid w:val="00C11925"/>
    <w:pPr>
      <w:spacing w:after="120"/>
      <w:contextualSpacing/>
      <w:jc w:val="center"/>
    </w:pPr>
    <w:rPr>
      <w:rFonts w:ascii="Arial" w:eastAsiaTheme="majorEastAsia" w:hAnsi="Arial" w:cstheme="majorBidi"/>
      <w:b/>
      <w:spacing w:val="-10"/>
      <w:kern w:val="28"/>
      <w:sz w:val="28"/>
      <w:szCs w:val="56"/>
    </w:rPr>
  </w:style>
  <w:style w:type="character" w:customStyle="1" w:styleId="TitleChar">
    <w:name w:val="Title Char"/>
    <w:basedOn w:val="DefaultParagraphFont"/>
    <w:link w:val="Title"/>
    <w:uiPriority w:val="7"/>
    <w:rsid w:val="00C11925"/>
    <w:rPr>
      <w:rFonts w:ascii="Arial" w:eastAsiaTheme="majorEastAsia" w:hAnsi="Arial" w:cstheme="majorBidi"/>
      <w:b/>
      <w:spacing w:val="-10"/>
      <w:kern w:val="28"/>
      <w:sz w:val="28"/>
      <w:szCs w:val="56"/>
    </w:rPr>
  </w:style>
  <w:style w:type="paragraph" w:styleId="TOAHeading">
    <w:name w:val="toa heading"/>
    <w:basedOn w:val="Normal"/>
    <w:next w:val="Normal"/>
    <w:rsid w:val="00052B6F"/>
    <w:pPr>
      <w:spacing w:before="120"/>
    </w:pPr>
    <w:rPr>
      <w:rFonts w:asciiTheme="majorHAnsi" w:eastAsiaTheme="majorEastAsia" w:hAnsiTheme="majorHAnsi" w:cstheme="majorBidi"/>
      <w:b/>
      <w:bCs/>
      <w:sz w:val="24"/>
    </w:rPr>
  </w:style>
  <w:style w:type="paragraph" w:styleId="Subtitle">
    <w:name w:val="Subtitle"/>
    <w:basedOn w:val="Normal"/>
    <w:next w:val="Normal"/>
    <w:link w:val="SubtitleChar"/>
    <w:uiPriority w:val="99"/>
    <w:qFormat/>
    <w:rsid w:val="00C11925"/>
    <w:pPr>
      <w:numPr>
        <w:ilvl w:val="1"/>
      </w:numPr>
      <w:spacing w:after="160"/>
      <w:jc w:val="center"/>
    </w:pPr>
    <w:rPr>
      <w:rFonts w:ascii="Arial" w:eastAsiaTheme="minorEastAsia" w:hAnsi="Arial" w:cs="Arial"/>
      <w:sz w:val="20"/>
      <w:szCs w:val="20"/>
    </w:rPr>
  </w:style>
  <w:style w:type="character" w:customStyle="1" w:styleId="SubtitleChar">
    <w:name w:val="Subtitle Char"/>
    <w:basedOn w:val="DefaultParagraphFont"/>
    <w:link w:val="Subtitle"/>
    <w:uiPriority w:val="99"/>
    <w:rsid w:val="00C11925"/>
    <w:rPr>
      <w:rFonts w:ascii="Arial" w:eastAsiaTheme="minorEastAsia" w:hAnsi="Arial" w:cs="Arial"/>
    </w:rPr>
  </w:style>
  <w:style w:type="character" w:styleId="UnresolvedMention">
    <w:name w:val="Unresolved Mention"/>
    <w:basedOn w:val="DefaultParagraphFont"/>
    <w:uiPriority w:val="99"/>
    <w:semiHidden/>
    <w:unhideWhenUsed/>
    <w:rsid w:val="004D7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418225">
      <w:bodyDiv w:val="1"/>
      <w:marLeft w:val="0"/>
      <w:marRight w:val="0"/>
      <w:marTop w:val="0"/>
      <w:marBottom w:val="0"/>
      <w:divBdr>
        <w:top w:val="none" w:sz="0" w:space="0" w:color="auto"/>
        <w:left w:val="none" w:sz="0" w:space="0" w:color="auto"/>
        <w:bottom w:val="none" w:sz="0" w:space="0" w:color="auto"/>
        <w:right w:val="none" w:sz="0" w:space="0" w:color="auto"/>
      </w:divBdr>
    </w:div>
    <w:div w:id="430200326">
      <w:bodyDiv w:val="1"/>
      <w:marLeft w:val="0"/>
      <w:marRight w:val="0"/>
      <w:marTop w:val="0"/>
      <w:marBottom w:val="0"/>
      <w:divBdr>
        <w:top w:val="none" w:sz="0" w:space="0" w:color="auto"/>
        <w:left w:val="none" w:sz="0" w:space="0" w:color="auto"/>
        <w:bottom w:val="none" w:sz="0" w:space="0" w:color="auto"/>
        <w:right w:val="none" w:sz="0" w:space="0" w:color="auto"/>
      </w:divBdr>
    </w:div>
    <w:div w:id="516165318">
      <w:bodyDiv w:val="1"/>
      <w:marLeft w:val="0"/>
      <w:marRight w:val="0"/>
      <w:marTop w:val="0"/>
      <w:marBottom w:val="0"/>
      <w:divBdr>
        <w:top w:val="none" w:sz="0" w:space="0" w:color="auto"/>
        <w:left w:val="none" w:sz="0" w:space="0" w:color="auto"/>
        <w:bottom w:val="none" w:sz="0" w:space="0" w:color="auto"/>
        <w:right w:val="none" w:sz="0" w:space="0" w:color="auto"/>
      </w:divBdr>
    </w:div>
    <w:div w:id="517044554">
      <w:bodyDiv w:val="1"/>
      <w:marLeft w:val="0"/>
      <w:marRight w:val="0"/>
      <w:marTop w:val="0"/>
      <w:marBottom w:val="0"/>
      <w:divBdr>
        <w:top w:val="none" w:sz="0" w:space="0" w:color="auto"/>
        <w:left w:val="none" w:sz="0" w:space="0" w:color="auto"/>
        <w:bottom w:val="none" w:sz="0" w:space="0" w:color="auto"/>
        <w:right w:val="none" w:sz="0" w:space="0" w:color="auto"/>
      </w:divBdr>
    </w:div>
    <w:div w:id="604121074">
      <w:bodyDiv w:val="1"/>
      <w:marLeft w:val="0"/>
      <w:marRight w:val="0"/>
      <w:marTop w:val="0"/>
      <w:marBottom w:val="0"/>
      <w:divBdr>
        <w:top w:val="none" w:sz="0" w:space="0" w:color="auto"/>
        <w:left w:val="none" w:sz="0" w:space="0" w:color="auto"/>
        <w:bottom w:val="none" w:sz="0" w:space="0" w:color="auto"/>
        <w:right w:val="none" w:sz="0" w:space="0" w:color="auto"/>
      </w:divBdr>
    </w:div>
    <w:div w:id="1304383937">
      <w:bodyDiv w:val="1"/>
      <w:marLeft w:val="0"/>
      <w:marRight w:val="0"/>
      <w:marTop w:val="0"/>
      <w:marBottom w:val="0"/>
      <w:divBdr>
        <w:top w:val="none" w:sz="0" w:space="0" w:color="auto"/>
        <w:left w:val="none" w:sz="0" w:space="0" w:color="auto"/>
        <w:bottom w:val="none" w:sz="0" w:space="0" w:color="auto"/>
        <w:right w:val="none" w:sz="0" w:space="0" w:color="auto"/>
      </w:divBdr>
    </w:div>
    <w:div w:id="1514033976">
      <w:bodyDiv w:val="1"/>
      <w:marLeft w:val="0"/>
      <w:marRight w:val="0"/>
      <w:marTop w:val="0"/>
      <w:marBottom w:val="0"/>
      <w:divBdr>
        <w:top w:val="none" w:sz="0" w:space="0" w:color="auto"/>
        <w:left w:val="none" w:sz="0" w:space="0" w:color="auto"/>
        <w:bottom w:val="none" w:sz="0" w:space="0" w:color="auto"/>
        <w:right w:val="none" w:sz="0" w:space="0" w:color="auto"/>
      </w:divBdr>
    </w:div>
    <w:div w:id="1712614077">
      <w:bodyDiv w:val="1"/>
      <w:marLeft w:val="0"/>
      <w:marRight w:val="0"/>
      <w:marTop w:val="0"/>
      <w:marBottom w:val="0"/>
      <w:divBdr>
        <w:top w:val="none" w:sz="0" w:space="0" w:color="auto"/>
        <w:left w:val="none" w:sz="0" w:space="0" w:color="auto"/>
        <w:bottom w:val="none" w:sz="0" w:space="0" w:color="auto"/>
        <w:right w:val="none" w:sz="0" w:space="0" w:color="auto"/>
      </w:divBdr>
    </w:div>
    <w:div w:id="1715813823">
      <w:bodyDiv w:val="1"/>
      <w:marLeft w:val="0"/>
      <w:marRight w:val="0"/>
      <w:marTop w:val="0"/>
      <w:marBottom w:val="0"/>
      <w:divBdr>
        <w:top w:val="none" w:sz="0" w:space="0" w:color="auto"/>
        <w:left w:val="none" w:sz="0" w:space="0" w:color="auto"/>
        <w:bottom w:val="none" w:sz="0" w:space="0" w:color="auto"/>
        <w:right w:val="none" w:sz="0" w:space="0" w:color="auto"/>
      </w:divBdr>
    </w:div>
    <w:div w:id="1977177081">
      <w:bodyDiv w:val="1"/>
      <w:marLeft w:val="0"/>
      <w:marRight w:val="0"/>
      <w:marTop w:val="0"/>
      <w:marBottom w:val="0"/>
      <w:divBdr>
        <w:top w:val="none" w:sz="0" w:space="0" w:color="auto"/>
        <w:left w:val="none" w:sz="0" w:space="0" w:color="auto"/>
        <w:bottom w:val="none" w:sz="0" w:space="0" w:color="auto"/>
        <w:right w:val="none" w:sz="0" w:space="0" w:color="auto"/>
      </w:divBdr>
    </w:div>
    <w:div w:id="206039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pfmc.org/council-meeting-arch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npfmc-epod-fs\users\smaclean\Community%20Engagement%20Committee\meetings.npfmc.org" TargetMode="Externa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pfmc-epod-fs\users\smaclean\Community%20Engagement%20Committee\meetings.npfmc.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tel:%28907%29%20586-7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C9E63-8418-434A-9ACD-C7EBD581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5294</Words>
  <Characters>31979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Discussion Paper Template 2.0</vt:lpstr>
    </vt:vector>
  </TitlesOfParts>
  <Company>North Pacific Fisheries Management Council</Company>
  <LinksUpToDate>false</LinksUpToDate>
  <CharactersWithSpaces>37199</CharactersWithSpaces>
  <SharedDoc>false</SharedDoc>
  <HLinks>
    <vt:vector size="348" baseType="variant">
      <vt:variant>
        <vt:i4>5701647</vt:i4>
      </vt:variant>
      <vt:variant>
        <vt:i4>320</vt:i4>
      </vt:variant>
      <vt:variant>
        <vt:i4>0</vt:i4>
      </vt:variant>
      <vt:variant>
        <vt:i4>5</vt:i4>
      </vt:variant>
      <vt:variant>
        <vt:lpwstr>http://www.nmfs.noaa.gov/pr/permits/eis/hawaiianmonkseal.htm</vt:lpwstr>
      </vt:variant>
      <vt:variant>
        <vt:lpwstr/>
      </vt:variant>
      <vt:variant>
        <vt:i4>6357054</vt:i4>
      </vt:variant>
      <vt:variant>
        <vt:i4>317</vt:i4>
      </vt:variant>
      <vt:variant>
        <vt:i4>0</vt:i4>
      </vt:variant>
      <vt:variant>
        <vt:i4>5</vt:i4>
      </vt:variant>
      <vt:variant>
        <vt:lpwstr>http://www.pifsc.noaa.gov/nepa/CRED_Programmatic Environmental Assessment_Final.pdf</vt:lpwstr>
      </vt:variant>
      <vt:variant>
        <vt:lpwstr/>
      </vt:variant>
      <vt:variant>
        <vt:i4>4128828</vt:i4>
      </vt:variant>
      <vt:variant>
        <vt:i4>314</vt:i4>
      </vt:variant>
      <vt:variant>
        <vt:i4>0</vt:i4>
      </vt:variant>
      <vt:variant>
        <vt:i4>5</vt:i4>
      </vt:variant>
      <vt:variant>
        <vt:lpwstr>http://www.nmfs.noaa.gov/pr/health/eis.htm</vt:lpwstr>
      </vt:variant>
      <vt:variant>
        <vt:lpwstr/>
      </vt:variant>
      <vt:variant>
        <vt:i4>5832705</vt:i4>
      </vt:variant>
      <vt:variant>
        <vt:i4>311</vt:i4>
      </vt:variant>
      <vt:variant>
        <vt:i4>0</vt:i4>
      </vt:variant>
      <vt:variant>
        <vt:i4>5</vt:i4>
      </vt:variant>
      <vt:variant>
        <vt:lpwstr>http://www.nwr.noaa.gov/Salmon-Harvest-Hatcheries/Salmon-Fishery-Management/Salmon-Hrvst-Prgrmtc-EIS.cfm</vt:lpwstr>
      </vt:variant>
      <vt:variant>
        <vt:lpwstr/>
      </vt:variant>
      <vt:variant>
        <vt:i4>720948</vt:i4>
      </vt:variant>
      <vt:variant>
        <vt:i4>305</vt:i4>
      </vt:variant>
      <vt:variant>
        <vt:i4>0</vt:i4>
      </vt:variant>
      <vt:variant>
        <vt:i4>5</vt:i4>
      </vt:variant>
      <vt:variant>
        <vt:lpwstr>http://alaskafisheries.noaa.gov/sustainablefisheries/bycatch/salmon/chinook/feis/eis_1209.pdf</vt:lpwstr>
      </vt:variant>
      <vt:variant>
        <vt:lpwstr/>
      </vt:variant>
      <vt:variant>
        <vt:i4>3932203</vt:i4>
      </vt:variant>
      <vt:variant>
        <vt:i4>302</vt:i4>
      </vt:variant>
      <vt:variant>
        <vt:i4>0</vt:i4>
      </vt:variant>
      <vt:variant>
        <vt:i4>5</vt:i4>
      </vt:variant>
      <vt:variant>
        <vt:lpwstr>http://alaskafisheries.noaa.gov/analyses/specs/eis/default.html</vt:lpwstr>
      </vt:variant>
      <vt:variant>
        <vt:lpwstr/>
      </vt:variant>
      <vt:variant>
        <vt:i4>3932274</vt:i4>
      </vt:variant>
      <vt:variant>
        <vt:i4>299</vt:i4>
      </vt:variant>
      <vt:variant>
        <vt:i4>0</vt:i4>
      </vt:variant>
      <vt:variant>
        <vt:i4>5</vt:i4>
      </vt:variant>
      <vt:variant>
        <vt:lpwstr>http://www.alaskafisheries.noaa.gov/analyses/specs/eis/default.htm</vt:lpwstr>
      </vt:variant>
      <vt:variant>
        <vt:lpwstr/>
      </vt:variant>
      <vt:variant>
        <vt:i4>2424878</vt:i4>
      </vt:variant>
      <vt:variant>
        <vt:i4>296</vt:i4>
      </vt:variant>
      <vt:variant>
        <vt:i4>0</vt:i4>
      </vt:variant>
      <vt:variant>
        <vt:i4>5</vt:i4>
      </vt:variant>
      <vt:variant>
        <vt:lpwstr>http://www.alaskafisheries.noaa.gov/habitat/seis/efheis.htm</vt:lpwstr>
      </vt:variant>
      <vt:variant>
        <vt:lpwstr/>
      </vt:variant>
      <vt:variant>
        <vt:i4>2490484</vt:i4>
      </vt:variant>
      <vt:variant>
        <vt:i4>293</vt:i4>
      </vt:variant>
      <vt:variant>
        <vt:i4>0</vt:i4>
      </vt:variant>
      <vt:variant>
        <vt:i4>5</vt:i4>
      </vt:variant>
      <vt:variant>
        <vt:lpwstr>http://www.fakr.noaa.gov/sustainablefisheries/crab/eis/default.htm</vt:lpwstr>
      </vt:variant>
      <vt:variant>
        <vt:lpwstr/>
      </vt:variant>
      <vt:variant>
        <vt:i4>4390981</vt:i4>
      </vt:variant>
      <vt:variant>
        <vt:i4>290</vt:i4>
      </vt:variant>
      <vt:variant>
        <vt:i4>0</vt:i4>
      </vt:variant>
      <vt:variant>
        <vt:i4>5</vt:i4>
      </vt:variant>
      <vt:variant>
        <vt:lpwstr>http://www.alaskafisheries.noaa.gov/sustainablefisheries/seis/default.htm</vt:lpwstr>
      </vt:variant>
      <vt:variant>
        <vt:lpwstr/>
      </vt:variant>
      <vt:variant>
        <vt:i4>4587529</vt:i4>
      </vt:variant>
      <vt:variant>
        <vt:i4>287</vt:i4>
      </vt:variant>
      <vt:variant>
        <vt:i4>0</vt:i4>
      </vt:variant>
      <vt:variant>
        <vt:i4>5</vt:i4>
      </vt:variant>
      <vt:variant>
        <vt:lpwstr>http://alaskafisheries.noaa.gov/sustainablefisheries/afa/eis2002.pdf</vt:lpwstr>
      </vt:variant>
      <vt:variant>
        <vt:lpwstr/>
      </vt:variant>
      <vt:variant>
        <vt:i4>3932231</vt:i4>
      </vt:variant>
      <vt:variant>
        <vt:i4>207</vt:i4>
      </vt:variant>
      <vt:variant>
        <vt:i4>0</vt:i4>
      </vt:variant>
      <vt:variant>
        <vt:i4>5</vt:i4>
      </vt:variant>
      <vt:variant>
        <vt:lpwstr>http://web2.westlaw.com/find/default.wl?mt=26&amp;db=0000999&amp;tc=-1&amp;rp=%2ffind%2fdefault.wl&amp;findtype=Y&amp;ordoc=2025350341&amp;serialnum=2017466068&amp;vr=2.0&amp;fn=_top&amp;sv=Split&amp;tf=-1&amp;pbc=D364C385&amp;rs=WLW12.04</vt:lpwstr>
      </vt:variant>
      <vt:variant>
        <vt:lpwstr/>
      </vt:variant>
      <vt:variant>
        <vt:i4>393259</vt:i4>
      </vt:variant>
      <vt:variant>
        <vt:i4>204</vt:i4>
      </vt:variant>
      <vt:variant>
        <vt:i4>0</vt:i4>
      </vt:variant>
      <vt:variant>
        <vt:i4>5</vt:i4>
      </vt:variant>
      <vt:variant>
        <vt:lpwstr>http://web2.westlaw.com/find/default.wl?mt=26&amp;db=506&amp;tc=-1&amp;rp=%2ffind%2fdefault.wl&amp;findtype=Y&amp;ordoc=2025350341&amp;serialnum=2001880921&amp;vr=2.0&amp;fn=_top&amp;sv=Split&amp;tf=-1&amp;referencepositiontype=S&amp;pbc=D364C385&amp;referenceposition=1151&amp;rs=WLW12.04</vt:lpwstr>
      </vt:variant>
      <vt:variant>
        <vt:lpwstr/>
      </vt:variant>
      <vt:variant>
        <vt:i4>7536725</vt:i4>
      </vt:variant>
      <vt:variant>
        <vt:i4>201</vt:i4>
      </vt:variant>
      <vt:variant>
        <vt:i4>0</vt:i4>
      </vt:variant>
      <vt:variant>
        <vt:i4>5</vt:i4>
      </vt:variant>
      <vt:variant>
        <vt:lpwstr>http://web2.westlaw.com/find/default.wl?mt=26&amp;db=4637&amp;tc=-1&amp;rp=%2ffind%2fdefault.wl&amp;findtype=Y&amp;ordoc=2025350341&amp;serialnum=2006594058&amp;vr=2.0&amp;fn=_top&amp;sv=Split&amp;tf=-1&amp;referencepositiontype=S&amp;pbc=D364C385&amp;referenceposition=255&amp;rs=WLW12.04</vt:lpwstr>
      </vt:variant>
      <vt:variant>
        <vt:lpwstr/>
      </vt:variant>
      <vt:variant>
        <vt:i4>37</vt:i4>
      </vt:variant>
      <vt:variant>
        <vt:i4>198</vt:i4>
      </vt:variant>
      <vt:variant>
        <vt:i4>0</vt:i4>
      </vt:variant>
      <vt:variant>
        <vt:i4>5</vt:i4>
      </vt:variant>
      <vt:variant>
        <vt:lpwstr>http://web2.westlaw.com/find/default.wl?mt=26&amp;db=506&amp;tc=-1&amp;rp=%2ffind%2fdefault.wl&amp;findtype=Y&amp;ordoc=2025350341&amp;serialnum=2002393287&amp;vr=2.0&amp;fn=_top&amp;sv=Split&amp;tf=-1&amp;referencepositiontype=S&amp;pbc=D364C385&amp;referenceposition=1213&amp;rs=WLW12.04</vt:lpwstr>
      </vt:variant>
      <vt:variant>
        <vt:lpwstr/>
      </vt:variant>
      <vt:variant>
        <vt:i4>7733251</vt:i4>
      </vt:variant>
      <vt:variant>
        <vt:i4>195</vt:i4>
      </vt:variant>
      <vt:variant>
        <vt:i4>0</vt:i4>
      </vt:variant>
      <vt:variant>
        <vt:i4>5</vt:i4>
      </vt:variant>
      <vt:variant>
        <vt:lpwstr>http://web2.westlaw.com/find/default.wl?mt=26&amp;db=1000547&amp;docname=40CFRS1508.18&amp;rp=%2ffind%2fdefault.wl&amp;findtype=L&amp;ordoc=2025350341&amp;tc=-1&amp;vr=2.0&amp;fn=_top&amp;sv=Split&amp;tf=-1&amp;referencepositiontype=T&amp;pbc=D364C385&amp;referenceposition=SP%3b6ad60000aeea7&amp;rs=WLW12.04</vt:lpwstr>
      </vt:variant>
      <vt:variant>
        <vt:lpwstr/>
      </vt:variant>
      <vt:variant>
        <vt:i4>655458</vt:i4>
      </vt:variant>
      <vt:variant>
        <vt:i4>192</vt:i4>
      </vt:variant>
      <vt:variant>
        <vt:i4>0</vt:i4>
      </vt:variant>
      <vt:variant>
        <vt:i4>5</vt:i4>
      </vt:variant>
      <vt:variant>
        <vt:lpwstr>http://web2.westlaw.com/find/default.wl?mt=26&amp;db=1000547&amp;docname=40CFRS1508.18&amp;rp=%2ffind%2fdefault.wl&amp;findtype=L&amp;ordoc=2025350341&amp;tc=-1&amp;vr=2.0&amp;fn=_top&amp;sv=Split&amp;tf=-1&amp;pbc=D364C385&amp;rs=WLW12.04</vt:lpwstr>
      </vt:variant>
      <vt:variant>
        <vt:lpwstr/>
      </vt:variant>
      <vt:variant>
        <vt:i4>3276849</vt:i4>
      </vt:variant>
      <vt:variant>
        <vt:i4>189</vt:i4>
      </vt:variant>
      <vt:variant>
        <vt:i4>0</vt:i4>
      </vt:variant>
      <vt:variant>
        <vt:i4>5</vt:i4>
      </vt:variant>
      <vt:variant>
        <vt:lpwstr>http://www.westlaw.com/Find/Default.wl?rs=dfa1.0&amp;vr=2.0&amp;DB=1000547&amp;DocName=40CFRS1508.27&amp;FindType=L</vt:lpwstr>
      </vt:variant>
      <vt:variant>
        <vt:lpwstr/>
      </vt:variant>
      <vt:variant>
        <vt:i4>1441842</vt:i4>
      </vt:variant>
      <vt:variant>
        <vt:i4>158</vt:i4>
      </vt:variant>
      <vt:variant>
        <vt:i4>0</vt:i4>
      </vt:variant>
      <vt:variant>
        <vt:i4>5</vt:i4>
      </vt:variant>
      <vt:variant>
        <vt:lpwstr/>
      </vt:variant>
      <vt:variant>
        <vt:lpwstr>_Toc326046359</vt:lpwstr>
      </vt:variant>
      <vt:variant>
        <vt:i4>1441842</vt:i4>
      </vt:variant>
      <vt:variant>
        <vt:i4>152</vt:i4>
      </vt:variant>
      <vt:variant>
        <vt:i4>0</vt:i4>
      </vt:variant>
      <vt:variant>
        <vt:i4>5</vt:i4>
      </vt:variant>
      <vt:variant>
        <vt:lpwstr/>
      </vt:variant>
      <vt:variant>
        <vt:lpwstr>_Toc326046358</vt:lpwstr>
      </vt:variant>
      <vt:variant>
        <vt:i4>1441842</vt:i4>
      </vt:variant>
      <vt:variant>
        <vt:i4>146</vt:i4>
      </vt:variant>
      <vt:variant>
        <vt:i4>0</vt:i4>
      </vt:variant>
      <vt:variant>
        <vt:i4>5</vt:i4>
      </vt:variant>
      <vt:variant>
        <vt:lpwstr/>
      </vt:variant>
      <vt:variant>
        <vt:lpwstr>_Toc326046357</vt:lpwstr>
      </vt:variant>
      <vt:variant>
        <vt:i4>1441842</vt:i4>
      </vt:variant>
      <vt:variant>
        <vt:i4>140</vt:i4>
      </vt:variant>
      <vt:variant>
        <vt:i4>0</vt:i4>
      </vt:variant>
      <vt:variant>
        <vt:i4>5</vt:i4>
      </vt:variant>
      <vt:variant>
        <vt:lpwstr/>
      </vt:variant>
      <vt:variant>
        <vt:lpwstr>_Toc326046356</vt:lpwstr>
      </vt:variant>
      <vt:variant>
        <vt:i4>1441842</vt:i4>
      </vt:variant>
      <vt:variant>
        <vt:i4>134</vt:i4>
      </vt:variant>
      <vt:variant>
        <vt:i4>0</vt:i4>
      </vt:variant>
      <vt:variant>
        <vt:i4>5</vt:i4>
      </vt:variant>
      <vt:variant>
        <vt:lpwstr/>
      </vt:variant>
      <vt:variant>
        <vt:lpwstr>_Toc326046355</vt:lpwstr>
      </vt:variant>
      <vt:variant>
        <vt:i4>1441842</vt:i4>
      </vt:variant>
      <vt:variant>
        <vt:i4>128</vt:i4>
      </vt:variant>
      <vt:variant>
        <vt:i4>0</vt:i4>
      </vt:variant>
      <vt:variant>
        <vt:i4>5</vt:i4>
      </vt:variant>
      <vt:variant>
        <vt:lpwstr/>
      </vt:variant>
      <vt:variant>
        <vt:lpwstr>_Toc326046354</vt:lpwstr>
      </vt:variant>
      <vt:variant>
        <vt:i4>1441842</vt:i4>
      </vt:variant>
      <vt:variant>
        <vt:i4>122</vt:i4>
      </vt:variant>
      <vt:variant>
        <vt:i4>0</vt:i4>
      </vt:variant>
      <vt:variant>
        <vt:i4>5</vt:i4>
      </vt:variant>
      <vt:variant>
        <vt:lpwstr/>
      </vt:variant>
      <vt:variant>
        <vt:lpwstr>_Toc326046353</vt:lpwstr>
      </vt:variant>
      <vt:variant>
        <vt:i4>1441842</vt:i4>
      </vt:variant>
      <vt:variant>
        <vt:i4>116</vt:i4>
      </vt:variant>
      <vt:variant>
        <vt:i4>0</vt:i4>
      </vt:variant>
      <vt:variant>
        <vt:i4>5</vt:i4>
      </vt:variant>
      <vt:variant>
        <vt:lpwstr/>
      </vt:variant>
      <vt:variant>
        <vt:lpwstr>_Toc326046352</vt:lpwstr>
      </vt:variant>
      <vt:variant>
        <vt:i4>1441842</vt:i4>
      </vt:variant>
      <vt:variant>
        <vt:i4>110</vt:i4>
      </vt:variant>
      <vt:variant>
        <vt:i4>0</vt:i4>
      </vt:variant>
      <vt:variant>
        <vt:i4>5</vt:i4>
      </vt:variant>
      <vt:variant>
        <vt:lpwstr/>
      </vt:variant>
      <vt:variant>
        <vt:lpwstr>_Toc326046351</vt:lpwstr>
      </vt:variant>
      <vt:variant>
        <vt:i4>1441842</vt:i4>
      </vt:variant>
      <vt:variant>
        <vt:i4>104</vt:i4>
      </vt:variant>
      <vt:variant>
        <vt:i4>0</vt:i4>
      </vt:variant>
      <vt:variant>
        <vt:i4>5</vt:i4>
      </vt:variant>
      <vt:variant>
        <vt:lpwstr/>
      </vt:variant>
      <vt:variant>
        <vt:lpwstr>_Toc326046350</vt:lpwstr>
      </vt:variant>
      <vt:variant>
        <vt:i4>1507378</vt:i4>
      </vt:variant>
      <vt:variant>
        <vt:i4>98</vt:i4>
      </vt:variant>
      <vt:variant>
        <vt:i4>0</vt:i4>
      </vt:variant>
      <vt:variant>
        <vt:i4>5</vt:i4>
      </vt:variant>
      <vt:variant>
        <vt:lpwstr/>
      </vt:variant>
      <vt:variant>
        <vt:lpwstr>_Toc326046349</vt:lpwstr>
      </vt:variant>
      <vt:variant>
        <vt:i4>1507378</vt:i4>
      </vt:variant>
      <vt:variant>
        <vt:i4>92</vt:i4>
      </vt:variant>
      <vt:variant>
        <vt:i4>0</vt:i4>
      </vt:variant>
      <vt:variant>
        <vt:i4>5</vt:i4>
      </vt:variant>
      <vt:variant>
        <vt:lpwstr/>
      </vt:variant>
      <vt:variant>
        <vt:lpwstr>_Toc326046348</vt:lpwstr>
      </vt:variant>
      <vt:variant>
        <vt:i4>1507378</vt:i4>
      </vt:variant>
      <vt:variant>
        <vt:i4>86</vt:i4>
      </vt:variant>
      <vt:variant>
        <vt:i4>0</vt:i4>
      </vt:variant>
      <vt:variant>
        <vt:i4>5</vt:i4>
      </vt:variant>
      <vt:variant>
        <vt:lpwstr/>
      </vt:variant>
      <vt:variant>
        <vt:lpwstr>_Toc326046347</vt:lpwstr>
      </vt:variant>
      <vt:variant>
        <vt:i4>1507378</vt:i4>
      </vt:variant>
      <vt:variant>
        <vt:i4>80</vt:i4>
      </vt:variant>
      <vt:variant>
        <vt:i4>0</vt:i4>
      </vt:variant>
      <vt:variant>
        <vt:i4>5</vt:i4>
      </vt:variant>
      <vt:variant>
        <vt:lpwstr/>
      </vt:variant>
      <vt:variant>
        <vt:lpwstr>_Toc326046346</vt:lpwstr>
      </vt:variant>
      <vt:variant>
        <vt:i4>1507378</vt:i4>
      </vt:variant>
      <vt:variant>
        <vt:i4>74</vt:i4>
      </vt:variant>
      <vt:variant>
        <vt:i4>0</vt:i4>
      </vt:variant>
      <vt:variant>
        <vt:i4>5</vt:i4>
      </vt:variant>
      <vt:variant>
        <vt:lpwstr/>
      </vt:variant>
      <vt:variant>
        <vt:lpwstr>_Toc326046345</vt:lpwstr>
      </vt:variant>
      <vt:variant>
        <vt:i4>1507378</vt:i4>
      </vt:variant>
      <vt:variant>
        <vt:i4>68</vt:i4>
      </vt:variant>
      <vt:variant>
        <vt:i4>0</vt:i4>
      </vt:variant>
      <vt:variant>
        <vt:i4>5</vt:i4>
      </vt:variant>
      <vt:variant>
        <vt:lpwstr/>
      </vt:variant>
      <vt:variant>
        <vt:lpwstr>_Toc326046344</vt:lpwstr>
      </vt:variant>
      <vt:variant>
        <vt:i4>1507378</vt:i4>
      </vt:variant>
      <vt:variant>
        <vt:i4>62</vt:i4>
      </vt:variant>
      <vt:variant>
        <vt:i4>0</vt:i4>
      </vt:variant>
      <vt:variant>
        <vt:i4>5</vt:i4>
      </vt:variant>
      <vt:variant>
        <vt:lpwstr/>
      </vt:variant>
      <vt:variant>
        <vt:lpwstr>_Toc326046343</vt:lpwstr>
      </vt:variant>
      <vt:variant>
        <vt:i4>1507378</vt:i4>
      </vt:variant>
      <vt:variant>
        <vt:i4>56</vt:i4>
      </vt:variant>
      <vt:variant>
        <vt:i4>0</vt:i4>
      </vt:variant>
      <vt:variant>
        <vt:i4>5</vt:i4>
      </vt:variant>
      <vt:variant>
        <vt:lpwstr/>
      </vt:variant>
      <vt:variant>
        <vt:lpwstr>_Toc326046342</vt:lpwstr>
      </vt:variant>
      <vt:variant>
        <vt:i4>1507378</vt:i4>
      </vt:variant>
      <vt:variant>
        <vt:i4>50</vt:i4>
      </vt:variant>
      <vt:variant>
        <vt:i4>0</vt:i4>
      </vt:variant>
      <vt:variant>
        <vt:i4>5</vt:i4>
      </vt:variant>
      <vt:variant>
        <vt:lpwstr/>
      </vt:variant>
      <vt:variant>
        <vt:lpwstr>_Toc326046341</vt:lpwstr>
      </vt:variant>
      <vt:variant>
        <vt:i4>1507378</vt:i4>
      </vt:variant>
      <vt:variant>
        <vt:i4>44</vt:i4>
      </vt:variant>
      <vt:variant>
        <vt:i4>0</vt:i4>
      </vt:variant>
      <vt:variant>
        <vt:i4>5</vt:i4>
      </vt:variant>
      <vt:variant>
        <vt:lpwstr/>
      </vt:variant>
      <vt:variant>
        <vt:lpwstr>_Toc326046340</vt:lpwstr>
      </vt:variant>
      <vt:variant>
        <vt:i4>1048626</vt:i4>
      </vt:variant>
      <vt:variant>
        <vt:i4>38</vt:i4>
      </vt:variant>
      <vt:variant>
        <vt:i4>0</vt:i4>
      </vt:variant>
      <vt:variant>
        <vt:i4>5</vt:i4>
      </vt:variant>
      <vt:variant>
        <vt:lpwstr/>
      </vt:variant>
      <vt:variant>
        <vt:lpwstr>_Toc326046339</vt:lpwstr>
      </vt:variant>
      <vt:variant>
        <vt:i4>1048626</vt:i4>
      </vt:variant>
      <vt:variant>
        <vt:i4>32</vt:i4>
      </vt:variant>
      <vt:variant>
        <vt:i4>0</vt:i4>
      </vt:variant>
      <vt:variant>
        <vt:i4>5</vt:i4>
      </vt:variant>
      <vt:variant>
        <vt:lpwstr/>
      </vt:variant>
      <vt:variant>
        <vt:lpwstr>_Toc326046338</vt:lpwstr>
      </vt:variant>
      <vt:variant>
        <vt:i4>1048626</vt:i4>
      </vt:variant>
      <vt:variant>
        <vt:i4>26</vt:i4>
      </vt:variant>
      <vt:variant>
        <vt:i4>0</vt:i4>
      </vt:variant>
      <vt:variant>
        <vt:i4>5</vt:i4>
      </vt:variant>
      <vt:variant>
        <vt:lpwstr/>
      </vt:variant>
      <vt:variant>
        <vt:lpwstr>_Toc326046337</vt:lpwstr>
      </vt:variant>
      <vt:variant>
        <vt:i4>1048626</vt:i4>
      </vt:variant>
      <vt:variant>
        <vt:i4>20</vt:i4>
      </vt:variant>
      <vt:variant>
        <vt:i4>0</vt:i4>
      </vt:variant>
      <vt:variant>
        <vt:i4>5</vt:i4>
      </vt:variant>
      <vt:variant>
        <vt:lpwstr/>
      </vt:variant>
      <vt:variant>
        <vt:lpwstr>_Toc326046336</vt:lpwstr>
      </vt:variant>
      <vt:variant>
        <vt:i4>1048626</vt:i4>
      </vt:variant>
      <vt:variant>
        <vt:i4>14</vt:i4>
      </vt:variant>
      <vt:variant>
        <vt:i4>0</vt:i4>
      </vt:variant>
      <vt:variant>
        <vt:i4>5</vt:i4>
      </vt:variant>
      <vt:variant>
        <vt:lpwstr/>
      </vt:variant>
      <vt:variant>
        <vt:lpwstr>_Toc326046335</vt:lpwstr>
      </vt:variant>
      <vt:variant>
        <vt:i4>1048626</vt:i4>
      </vt:variant>
      <vt:variant>
        <vt:i4>8</vt:i4>
      </vt:variant>
      <vt:variant>
        <vt:i4>0</vt:i4>
      </vt:variant>
      <vt:variant>
        <vt:i4>5</vt:i4>
      </vt:variant>
      <vt:variant>
        <vt:lpwstr/>
      </vt:variant>
      <vt:variant>
        <vt:lpwstr>_Toc326046334</vt:lpwstr>
      </vt:variant>
      <vt:variant>
        <vt:i4>1048626</vt:i4>
      </vt:variant>
      <vt:variant>
        <vt:i4>2</vt:i4>
      </vt:variant>
      <vt:variant>
        <vt:i4>0</vt:i4>
      </vt:variant>
      <vt:variant>
        <vt:i4>5</vt:i4>
      </vt:variant>
      <vt:variant>
        <vt:lpwstr/>
      </vt:variant>
      <vt:variant>
        <vt:lpwstr>_Toc326046333</vt:lpwstr>
      </vt:variant>
      <vt:variant>
        <vt:i4>5374022</vt:i4>
      </vt:variant>
      <vt:variant>
        <vt:i4>36</vt:i4>
      </vt:variant>
      <vt:variant>
        <vt:i4>0</vt:i4>
      </vt:variant>
      <vt:variant>
        <vt:i4>5</vt:i4>
      </vt:variant>
      <vt:variant>
        <vt:lpwstr>http://www.westlaw.com/Find/Default.wl?rs=dfa1.0&amp;vr=2.0&amp;DB=506&amp;FindType=Y&amp;ReferencePositionType=S&amp;SerialNum=1993190884&amp;ReferencePosition=1332</vt:lpwstr>
      </vt:variant>
      <vt:variant>
        <vt:lpwstr/>
      </vt:variant>
      <vt:variant>
        <vt:i4>5374022</vt:i4>
      </vt:variant>
      <vt:variant>
        <vt:i4>33</vt:i4>
      </vt:variant>
      <vt:variant>
        <vt:i4>0</vt:i4>
      </vt:variant>
      <vt:variant>
        <vt:i4>5</vt:i4>
      </vt:variant>
      <vt:variant>
        <vt:lpwstr>http://www.westlaw.com/Find/Default.wl?rs=dfa1.0&amp;vr=2.0&amp;DB=506&amp;FindType=Y&amp;ReferencePositionType=S&amp;SerialNum=1993190884&amp;ReferencePosition=1332</vt:lpwstr>
      </vt:variant>
      <vt:variant>
        <vt:lpwstr/>
      </vt:variant>
      <vt:variant>
        <vt:i4>3407922</vt:i4>
      </vt:variant>
      <vt:variant>
        <vt:i4>30</vt:i4>
      </vt:variant>
      <vt:variant>
        <vt:i4>0</vt:i4>
      </vt:variant>
      <vt:variant>
        <vt:i4>5</vt:i4>
      </vt:variant>
      <vt:variant>
        <vt:lpwstr>http://www.westlaw.com/Find/Default.wl?rs=dfa1.0&amp;vr=2.0&amp;DB=1000547&amp;DocName=40CFRS1508.11&amp;FindType=L</vt:lpwstr>
      </vt:variant>
      <vt:variant>
        <vt:lpwstr/>
      </vt:variant>
      <vt:variant>
        <vt:i4>3211320</vt:i4>
      </vt:variant>
      <vt:variant>
        <vt:i4>27</vt:i4>
      </vt:variant>
      <vt:variant>
        <vt:i4>0</vt:i4>
      </vt:variant>
      <vt:variant>
        <vt:i4>5</vt:i4>
      </vt:variant>
      <vt:variant>
        <vt:lpwstr>http://www.westlaw.com/Find/Default.wl?rs=dfa1.0&amp;vr=2.0&amp;DB=1000547&amp;DocName=40CFRS1502.14&amp;FindType=L</vt:lpwstr>
      </vt:variant>
      <vt:variant>
        <vt:lpwstr/>
      </vt:variant>
      <vt:variant>
        <vt:i4>7274550</vt:i4>
      </vt:variant>
      <vt:variant>
        <vt:i4>24</vt:i4>
      </vt:variant>
      <vt:variant>
        <vt:i4>0</vt:i4>
      </vt:variant>
      <vt:variant>
        <vt:i4>5</vt:i4>
      </vt:variant>
      <vt:variant>
        <vt:lpwstr>http://www.westlaw.com/Find/Default.wl?rs=dfa1.0&amp;vr=2.0&amp;DB=1000547&amp;DocName=40CFRS1502.9&amp;FindType=L</vt:lpwstr>
      </vt:variant>
      <vt:variant>
        <vt:lpwstr/>
      </vt:variant>
      <vt:variant>
        <vt:i4>6160396</vt:i4>
      </vt:variant>
      <vt:variant>
        <vt:i4>21</vt:i4>
      </vt:variant>
      <vt:variant>
        <vt:i4>0</vt:i4>
      </vt:variant>
      <vt:variant>
        <vt:i4>5</vt:i4>
      </vt:variant>
      <vt:variant>
        <vt:lpwstr>http://www.westlaw.com/Find/Default.wl?rs=dfa1.0&amp;vr=2.0&amp;DB=1000546&amp;DocName=42USCAS4332&amp;FindType=L</vt:lpwstr>
      </vt:variant>
      <vt:variant>
        <vt:lpwstr/>
      </vt:variant>
      <vt:variant>
        <vt:i4>3276849</vt:i4>
      </vt:variant>
      <vt:variant>
        <vt:i4>18</vt:i4>
      </vt:variant>
      <vt:variant>
        <vt:i4>0</vt:i4>
      </vt:variant>
      <vt:variant>
        <vt:i4>5</vt:i4>
      </vt:variant>
      <vt:variant>
        <vt:lpwstr>http://www.westlaw.com/Find/Default.wl?rs=dfa1.0&amp;vr=2.0&amp;DB=1000547&amp;DocName=40CFRS1508.27&amp;FindType=L</vt:lpwstr>
      </vt:variant>
      <vt:variant>
        <vt:lpwstr/>
      </vt:variant>
      <vt:variant>
        <vt:i4>3407922</vt:i4>
      </vt:variant>
      <vt:variant>
        <vt:i4>15</vt:i4>
      </vt:variant>
      <vt:variant>
        <vt:i4>0</vt:i4>
      </vt:variant>
      <vt:variant>
        <vt:i4>5</vt:i4>
      </vt:variant>
      <vt:variant>
        <vt:lpwstr>http://www.westlaw.com/Find/Default.wl?rs=dfa1.0&amp;vr=2.0&amp;DB=1000547&amp;DocName=40CFRS1508.11&amp;FindType=L</vt:lpwstr>
      </vt:variant>
      <vt:variant>
        <vt:lpwstr/>
      </vt:variant>
      <vt:variant>
        <vt:i4>3211320</vt:i4>
      </vt:variant>
      <vt:variant>
        <vt:i4>12</vt:i4>
      </vt:variant>
      <vt:variant>
        <vt:i4>0</vt:i4>
      </vt:variant>
      <vt:variant>
        <vt:i4>5</vt:i4>
      </vt:variant>
      <vt:variant>
        <vt:lpwstr>http://www.westlaw.com/Find/Default.wl?rs=dfa1.0&amp;vr=2.0&amp;DB=1000547&amp;DocName=40CFRS1502.14&amp;FindType=L</vt:lpwstr>
      </vt:variant>
      <vt:variant>
        <vt:lpwstr/>
      </vt:variant>
      <vt:variant>
        <vt:i4>7274550</vt:i4>
      </vt:variant>
      <vt:variant>
        <vt:i4>9</vt:i4>
      </vt:variant>
      <vt:variant>
        <vt:i4>0</vt:i4>
      </vt:variant>
      <vt:variant>
        <vt:i4>5</vt:i4>
      </vt:variant>
      <vt:variant>
        <vt:lpwstr>http://www.westlaw.com/Find/Default.wl?rs=dfa1.0&amp;vr=2.0&amp;DB=1000547&amp;DocName=40CFRS1502.9&amp;FindType=L</vt:lpwstr>
      </vt:variant>
      <vt:variant>
        <vt:lpwstr/>
      </vt:variant>
      <vt:variant>
        <vt:i4>7274546</vt:i4>
      </vt:variant>
      <vt:variant>
        <vt:i4>6</vt:i4>
      </vt:variant>
      <vt:variant>
        <vt:i4>0</vt:i4>
      </vt:variant>
      <vt:variant>
        <vt:i4>5</vt:i4>
      </vt:variant>
      <vt:variant>
        <vt:lpwstr>http://www.westlaw.com/Find/Default.wl?rs=dfa1.0&amp;vr=2.0&amp;DB=1000547&amp;DocName=40CFRS1508.7&amp;FindType=L</vt:lpwstr>
      </vt:variant>
      <vt:variant>
        <vt:lpwstr/>
      </vt:variant>
      <vt:variant>
        <vt:i4>6160396</vt:i4>
      </vt:variant>
      <vt:variant>
        <vt:i4>3</vt:i4>
      </vt:variant>
      <vt:variant>
        <vt:i4>0</vt:i4>
      </vt:variant>
      <vt:variant>
        <vt:i4>5</vt:i4>
      </vt:variant>
      <vt:variant>
        <vt:lpwstr>http://www.westlaw.com/Find/Default.wl?rs=dfa1.0&amp;vr=2.0&amp;DB=1000546&amp;DocName=42USCAS4332&amp;FindType=L</vt:lpwstr>
      </vt:variant>
      <vt:variant>
        <vt:lpwstr/>
      </vt:variant>
      <vt:variant>
        <vt:i4>2621566</vt:i4>
      </vt:variant>
      <vt:variant>
        <vt:i4>0</vt:i4>
      </vt:variant>
      <vt:variant>
        <vt:i4>0</vt:i4>
      </vt:variant>
      <vt:variant>
        <vt:i4>5</vt:i4>
      </vt:variant>
      <vt:variant>
        <vt:lpwstr>http://www.westlaw.com/Find/Default.wl?rs=dfa1.0&amp;vr=2.0&amp;DB=1000546&amp;DocName=5USCAS706&amp;FindType=L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Template 2.0</dc:title>
  <dc:creator>NPFMC</dc:creator>
  <cp:keywords>Discussion Paper Template 2.0</cp:keywords>
  <cp:lastModifiedBy>Steve MacLean</cp:lastModifiedBy>
  <cp:revision>2</cp:revision>
  <cp:lastPrinted>2013-11-27T17:26:00Z</cp:lastPrinted>
  <dcterms:created xsi:type="dcterms:W3CDTF">2021-01-07T23:02:00Z</dcterms:created>
  <dcterms:modified xsi:type="dcterms:W3CDTF">2021-01-07T23:02:00Z</dcterms:modified>
  <cp:category>Discussion Paper Template 2.0</cp:category>
</cp:coreProperties>
</file>