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8FE" w:rsidRDefault="007F48FE" w:rsidP="003716BD">
      <w:pPr>
        <w:tabs>
          <w:tab w:val="left" w:pos="8460"/>
        </w:tabs>
        <w:jc w:val="center"/>
        <w:rPr>
          <w:b/>
          <w:sz w:val="28"/>
          <w:szCs w:val="28"/>
        </w:rPr>
      </w:pPr>
      <w:r w:rsidRPr="00444865">
        <w:rPr>
          <w:b/>
          <w:sz w:val="28"/>
          <w:szCs w:val="28"/>
        </w:rPr>
        <w:t>Norton Sound Red King Crab</w:t>
      </w:r>
      <w:r w:rsidR="003549C3">
        <w:rPr>
          <w:b/>
          <w:sz w:val="28"/>
          <w:szCs w:val="28"/>
        </w:rPr>
        <w:t xml:space="preserve"> Stock Assessment for the fishing year</w:t>
      </w:r>
      <w:r w:rsidR="003A76E0">
        <w:rPr>
          <w:b/>
          <w:sz w:val="28"/>
          <w:szCs w:val="28"/>
        </w:rPr>
        <w:t xml:space="preserve"> </w:t>
      </w:r>
      <w:r w:rsidR="006A40FD">
        <w:rPr>
          <w:b/>
          <w:sz w:val="28"/>
          <w:szCs w:val="28"/>
        </w:rPr>
        <w:t>20</w:t>
      </w:r>
      <w:r w:rsidR="00D8449D">
        <w:rPr>
          <w:b/>
          <w:sz w:val="28"/>
          <w:szCs w:val="28"/>
        </w:rPr>
        <w:t>19</w:t>
      </w:r>
      <w:r w:rsidR="00A141A4">
        <w:rPr>
          <w:b/>
          <w:sz w:val="28"/>
          <w:szCs w:val="28"/>
        </w:rPr>
        <w:t xml:space="preserve"> </w:t>
      </w:r>
    </w:p>
    <w:p w:rsidR="007F48FE" w:rsidRDefault="007F48FE">
      <w:pPr>
        <w:rPr>
          <w:b/>
          <w:sz w:val="28"/>
          <w:szCs w:val="28"/>
        </w:rPr>
      </w:pPr>
    </w:p>
    <w:p w:rsidR="00AB40A3" w:rsidRDefault="00AB40A3"/>
    <w:p w:rsidR="002D1DAA" w:rsidRDefault="002D1DAA" w:rsidP="00CD658F">
      <w:pPr>
        <w:jc w:val="center"/>
      </w:pPr>
      <w:r>
        <w:t>Toshihide Hamazaki</w:t>
      </w:r>
      <w:r w:rsidR="00DD2598" w:rsidRPr="00DD2598">
        <w:rPr>
          <w:vertAlign w:val="superscript"/>
        </w:rPr>
        <w:t>1</w:t>
      </w:r>
      <w:r>
        <w:t xml:space="preserve"> and</w:t>
      </w:r>
      <w:r w:rsidR="00DD2598" w:rsidRPr="00DD2598">
        <w:t xml:space="preserve"> </w:t>
      </w:r>
      <w:r w:rsidRPr="00DD2598">
        <w:t>Jie Zheng</w:t>
      </w:r>
      <w:r w:rsidRPr="00DD2598">
        <w:rPr>
          <w:vertAlign w:val="superscript"/>
        </w:rPr>
        <w:t xml:space="preserve"> </w:t>
      </w:r>
      <w:r w:rsidR="00DD2598" w:rsidRPr="00DD2598">
        <w:rPr>
          <w:vertAlign w:val="superscript"/>
        </w:rPr>
        <w:t>2</w:t>
      </w:r>
      <w:r w:rsidR="00DD2598" w:rsidRPr="00DD2598">
        <w:t xml:space="preserve"> </w:t>
      </w:r>
    </w:p>
    <w:p w:rsidR="002D1DAA" w:rsidRPr="00CD658F" w:rsidRDefault="00DD2598" w:rsidP="00CD658F">
      <w:pPr>
        <w:jc w:val="center"/>
      </w:pPr>
      <w:r>
        <w:t>Alaska Department of Fish and Game</w:t>
      </w:r>
      <w:r w:rsidR="00CD658F">
        <w:t xml:space="preserve"> </w:t>
      </w:r>
      <w:r w:rsidRPr="00DD2598">
        <w:rPr>
          <w:lang w:val="fr-FR"/>
        </w:rPr>
        <w:t xml:space="preserve">Commercial </w:t>
      </w:r>
      <w:r w:rsidRPr="004E66CC">
        <w:t>Fisheries</w:t>
      </w:r>
      <w:r w:rsidRPr="00DD2598">
        <w:rPr>
          <w:lang w:val="fr-FR"/>
        </w:rPr>
        <w:t xml:space="preserve"> Division</w:t>
      </w:r>
    </w:p>
    <w:p w:rsidR="002D1DAA" w:rsidRPr="00401549" w:rsidRDefault="002D1DAA" w:rsidP="002D1DAA">
      <w:pPr>
        <w:jc w:val="center"/>
        <w:rPr>
          <w:lang w:val="fr-FR"/>
        </w:rPr>
      </w:pPr>
      <w:r>
        <w:rPr>
          <w:vertAlign w:val="superscript"/>
          <w:lang w:val="fr-FR"/>
        </w:rPr>
        <w:t>1</w:t>
      </w:r>
      <w:r>
        <w:rPr>
          <w:lang w:val="fr-FR"/>
        </w:rPr>
        <w:t xml:space="preserve">333 </w:t>
      </w:r>
      <w:r w:rsidRPr="004E66CC">
        <w:t>Raspberry</w:t>
      </w:r>
      <w:r w:rsidRPr="00401549">
        <w:rPr>
          <w:lang w:val="fr-FR"/>
        </w:rPr>
        <w:t xml:space="preserve"> Rd., Anchorage, AK 99518-1565</w:t>
      </w:r>
    </w:p>
    <w:p w:rsidR="002D1DAA" w:rsidRPr="00401549" w:rsidRDefault="002D1DAA" w:rsidP="002D1DAA">
      <w:pPr>
        <w:jc w:val="center"/>
        <w:rPr>
          <w:lang w:val="fr-FR"/>
        </w:rPr>
      </w:pPr>
      <w:proofErr w:type="gramStart"/>
      <w:r w:rsidRPr="00401549">
        <w:rPr>
          <w:lang w:val="fr-FR"/>
        </w:rPr>
        <w:t>Phone:</w:t>
      </w:r>
      <w:proofErr w:type="gramEnd"/>
      <w:r w:rsidRPr="00401549">
        <w:rPr>
          <w:lang w:val="fr-FR"/>
        </w:rPr>
        <w:t xml:space="preserve"> 907-267-2158</w:t>
      </w:r>
    </w:p>
    <w:p w:rsidR="002D1DAA" w:rsidRPr="00DD2598" w:rsidRDefault="002D1DAA" w:rsidP="00CD658F">
      <w:pPr>
        <w:jc w:val="center"/>
        <w:rPr>
          <w:lang w:val="fr-FR"/>
        </w:rPr>
      </w:pPr>
      <w:proofErr w:type="gramStart"/>
      <w:r w:rsidRPr="00401549">
        <w:rPr>
          <w:lang w:val="fr-FR"/>
        </w:rPr>
        <w:t>Email:</w:t>
      </w:r>
      <w:proofErr w:type="gramEnd"/>
      <w:r w:rsidRPr="00401549">
        <w:rPr>
          <w:lang w:val="fr-FR"/>
        </w:rPr>
        <w:t xml:space="preserve"> </w:t>
      </w:r>
      <w:hyperlink r:id="rId8" w:history="1">
        <w:r w:rsidR="000D2D87" w:rsidRPr="00AD5F14">
          <w:rPr>
            <w:rStyle w:val="Hyperlink"/>
            <w:lang w:val="fr-FR"/>
          </w:rPr>
          <w:t>Toshihide.Hamazaki@alaska.gov</w:t>
        </w:r>
      </w:hyperlink>
    </w:p>
    <w:p w:rsidR="00DD2598" w:rsidRPr="00DD2598" w:rsidRDefault="002D1DAA" w:rsidP="00DC4DF1">
      <w:pPr>
        <w:jc w:val="center"/>
        <w:rPr>
          <w:lang w:val="fr-FR"/>
        </w:rPr>
      </w:pPr>
      <w:r>
        <w:rPr>
          <w:vertAlign w:val="superscript"/>
          <w:lang w:val="fr-FR"/>
        </w:rPr>
        <w:t>2</w:t>
      </w:r>
      <w:r w:rsidR="00DD2598" w:rsidRPr="00DD2598">
        <w:rPr>
          <w:lang w:val="fr-FR"/>
        </w:rPr>
        <w:t>P.O.</w:t>
      </w:r>
      <w:r w:rsidR="00522ACB">
        <w:rPr>
          <w:lang w:val="fr-FR"/>
        </w:rPr>
        <w:t xml:space="preserve"> </w:t>
      </w:r>
      <w:r w:rsidR="00DD2598" w:rsidRPr="00DD2598">
        <w:rPr>
          <w:lang w:val="fr-FR"/>
        </w:rPr>
        <w:t>Box 115526, Juneau, AK 99811-5526</w:t>
      </w:r>
    </w:p>
    <w:p w:rsidR="00DD2598" w:rsidRPr="00401549" w:rsidRDefault="00DD2598" w:rsidP="00DC4DF1">
      <w:pPr>
        <w:jc w:val="center"/>
        <w:rPr>
          <w:lang w:val="fr-FR"/>
        </w:rPr>
      </w:pPr>
      <w:r w:rsidRPr="00401549">
        <w:rPr>
          <w:lang w:val="fr-FR"/>
        </w:rPr>
        <w:t>Phone : 907-465-6102</w:t>
      </w:r>
    </w:p>
    <w:p w:rsidR="00DD2598" w:rsidRPr="00401549" w:rsidRDefault="00DD2598" w:rsidP="00DC4DF1">
      <w:pPr>
        <w:jc w:val="center"/>
        <w:rPr>
          <w:lang w:val="fr-FR"/>
        </w:rPr>
      </w:pPr>
      <w:r w:rsidRPr="00401549">
        <w:rPr>
          <w:lang w:val="fr-FR"/>
        </w:rPr>
        <w:t xml:space="preserve">Email : </w:t>
      </w:r>
      <w:hyperlink r:id="rId9" w:history="1">
        <w:r w:rsidRPr="00401549">
          <w:rPr>
            <w:rStyle w:val="Hyperlink"/>
            <w:lang w:val="fr-FR"/>
          </w:rPr>
          <w:t>Jie.Zheng@alaska.gov</w:t>
        </w:r>
      </w:hyperlink>
    </w:p>
    <w:p w:rsidR="000B3967" w:rsidRDefault="000B3967" w:rsidP="00DD2598"/>
    <w:p w:rsidR="0049196C" w:rsidRPr="007A481A" w:rsidRDefault="0049196C" w:rsidP="0049196C">
      <w:pPr>
        <w:spacing w:line="360" w:lineRule="auto"/>
        <w:jc w:val="center"/>
        <w:rPr>
          <w:b/>
          <w:sz w:val="28"/>
          <w:szCs w:val="28"/>
        </w:rPr>
      </w:pPr>
      <w:r w:rsidRPr="007A481A">
        <w:rPr>
          <w:b/>
          <w:sz w:val="28"/>
          <w:szCs w:val="28"/>
        </w:rPr>
        <w:t>Executive Summary</w:t>
      </w:r>
    </w:p>
    <w:p w:rsidR="001B4D5F" w:rsidRPr="00A123BF" w:rsidRDefault="001B4D5F" w:rsidP="004F27CE">
      <w:pPr>
        <w:pStyle w:val="ListParagraph"/>
        <w:numPr>
          <w:ilvl w:val="0"/>
          <w:numId w:val="10"/>
        </w:numPr>
        <w:jc w:val="both"/>
        <w:rPr>
          <w:spacing w:val="-3"/>
        </w:rPr>
      </w:pPr>
      <w:r w:rsidRPr="00A123BF">
        <w:rPr>
          <w:spacing w:val="-3"/>
        </w:rPr>
        <w:t xml:space="preserve">Stock. </w:t>
      </w:r>
      <w:r w:rsidR="0049196C" w:rsidRPr="00A123BF">
        <w:rPr>
          <w:spacing w:val="-3"/>
        </w:rPr>
        <w:t>Red king crab,</w:t>
      </w:r>
      <w:r w:rsidR="0049196C" w:rsidRPr="00A123BF">
        <w:rPr>
          <w:i/>
          <w:spacing w:val="-3"/>
        </w:rPr>
        <w:t xml:space="preserve"> </w:t>
      </w:r>
      <w:proofErr w:type="spellStart"/>
      <w:r w:rsidR="0049196C" w:rsidRPr="00A123BF">
        <w:rPr>
          <w:i/>
          <w:spacing w:val="-3"/>
        </w:rPr>
        <w:t>Paralithodes</w:t>
      </w:r>
      <w:proofErr w:type="spellEnd"/>
      <w:r w:rsidR="0049196C" w:rsidRPr="00A123BF">
        <w:rPr>
          <w:i/>
          <w:spacing w:val="-3"/>
        </w:rPr>
        <w:t xml:space="preserve"> </w:t>
      </w:r>
      <w:proofErr w:type="spellStart"/>
      <w:r w:rsidR="0049196C" w:rsidRPr="00A123BF">
        <w:rPr>
          <w:i/>
          <w:spacing w:val="-3"/>
        </w:rPr>
        <w:t>camtschaticus</w:t>
      </w:r>
      <w:proofErr w:type="spellEnd"/>
      <w:r w:rsidR="0049196C" w:rsidRPr="00A123BF">
        <w:rPr>
          <w:spacing w:val="-3"/>
        </w:rPr>
        <w:t>, in Norton Sound, Alaska</w:t>
      </w:r>
      <w:r w:rsidRPr="00A123BF">
        <w:rPr>
          <w:spacing w:val="-3"/>
        </w:rPr>
        <w:t>.</w:t>
      </w:r>
    </w:p>
    <w:p w:rsidR="001E66BE" w:rsidRPr="001E66BE" w:rsidRDefault="001E66BE" w:rsidP="001E66BE">
      <w:pPr>
        <w:ind w:left="720"/>
        <w:jc w:val="both"/>
        <w:rPr>
          <w:spacing w:val="-3"/>
        </w:rPr>
      </w:pPr>
    </w:p>
    <w:p w:rsidR="002843E4" w:rsidRPr="002843E4" w:rsidRDefault="001B4D5F" w:rsidP="002843E4">
      <w:pPr>
        <w:numPr>
          <w:ilvl w:val="0"/>
          <w:numId w:val="10"/>
        </w:numPr>
        <w:jc w:val="both"/>
        <w:rPr>
          <w:spacing w:val="-3"/>
        </w:rPr>
      </w:pPr>
      <w:r>
        <w:rPr>
          <w:spacing w:val="-3"/>
        </w:rPr>
        <w:t>Catches. This stock</w:t>
      </w:r>
      <w:r w:rsidR="0049196C">
        <w:rPr>
          <w:spacing w:val="-3"/>
        </w:rPr>
        <w:t xml:space="preserve"> support</w:t>
      </w:r>
      <w:r>
        <w:rPr>
          <w:spacing w:val="-3"/>
        </w:rPr>
        <w:t>s</w:t>
      </w:r>
      <w:r w:rsidR="0049196C">
        <w:rPr>
          <w:spacing w:val="-3"/>
        </w:rPr>
        <w:t xml:space="preserve"> three </w:t>
      </w:r>
      <w:r w:rsidR="00530481">
        <w:rPr>
          <w:spacing w:val="-3"/>
        </w:rPr>
        <w:t xml:space="preserve">important </w:t>
      </w:r>
      <w:r w:rsidR="0049196C">
        <w:rPr>
          <w:spacing w:val="-3"/>
        </w:rPr>
        <w:t>fisheries: summer commercial, winter commercial, and winter subsistence fisheries</w:t>
      </w:r>
      <w:r w:rsidR="002A06C1">
        <w:rPr>
          <w:spacing w:val="-3"/>
        </w:rPr>
        <w:t xml:space="preserve">. </w:t>
      </w:r>
      <w:r w:rsidR="003710E7">
        <w:rPr>
          <w:spacing w:val="-3"/>
        </w:rPr>
        <w:t xml:space="preserve">Of those, the summer commercial fishery accounts for </w:t>
      </w:r>
      <w:r w:rsidR="003F1940">
        <w:rPr>
          <w:spacing w:val="-3"/>
        </w:rPr>
        <w:t>85</w:t>
      </w:r>
      <w:r w:rsidR="00032367">
        <w:rPr>
          <w:spacing w:val="-3"/>
        </w:rPr>
        <w:t>% of total harvest</w:t>
      </w:r>
      <w:r w:rsidR="002A06C1">
        <w:rPr>
          <w:spacing w:val="-3"/>
        </w:rPr>
        <w:t xml:space="preserve">. </w:t>
      </w:r>
      <w:r w:rsidR="00DC4B51">
        <w:rPr>
          <w:spacing w:val="-3"/>
        </w:rPr>
        <w:t>The s</w:t>
      </w:r>
      <w:r w:rsidR="003710E7">
        <w:rPr>
          <w:spacing w:val="-3"/>
        </w:rPr>
        <w:t xml:space="preserve">ummer commercial fishery </w:t>
      </w:r>
      <w:r w:rsidR="00032367">
        <w:rPr>
          <w:spacing w:val="-3"/>
        </w:rPr>
        <w:t>started in 197</w:t>
      </w:r>
      <w:r w:rsidR="009B4B72">
        <w:rPr>
          <w:spacing w:val="-3"/>
        </w:rPr>
        <w:t>7. C</w:t>
      </w:r>
      <w:r w:rsidR="00032367">
        <w:rPr>
          <w:spacing w:val="-3"/>
        </w:rPr>
        <w:t xml:space="preserve">atch </w:t>
      </w:r>
      <w:r w:rsidR="009B21AE">
        <w:rPr>
          <w:spacing w:val="-3"/>
        </w:rPr>
        <w:t>peaked</w:t>
      </w:r>
      <w:r w:rsidR="005C4453">
        <w:rPr>
          <w:spacing w:val="-3"/>
        </w:rPr>
        <w:t xml:space="preserve"> in the late </w:t>
      </w:r>
      <w:r w:rsidR="00032367">
        <w:rPr>
          <w:spacing w:val="-3"/>
        </w:rPr>
        <w:t xml:space="preserve">1970s with retained catch of </w:t>
      </w:r>
      <w:r w:rsidR="005C4453">
        <w:rPr>
          <w:spacing w:val="-3"/>
        </w:rPr>
        <w:t>over 2</w:t>
      </w:r>
      <w:r w:rsidR="003C564A">
        <w:rPr>
          <w:spacing w:val="-3"/>
        </w:rPr>
        <w:t>.9 million pounds</w:t>
      </w:r>
      <w:r w:rsidR="002A06C1">
        <w:rPr>
          <w:spacing w:val="-3"/>
        </w:rPr>
        <w:t xml:space="preserve">. </w:t>
      </w:r>
      <w:r w:rsidR="003F1940">
        <w:rPr>
          <w:spacing w:val="-3"/>
        </w:rPr>
        <w:t>Since 1994, Norton Sound Crab fishery operated as super exclusive.</w:t>
      </w:r>
      <w:r w:rsidR="001969F8">
        <w:rPr>
          <w:spacing w:val="-3"/>
        </w:rPr>
        <w:t xml:space="preserve">  For 2018 fishery season, Norton Sound Red King Crab harvest consisted of: </w:t>
      </w:r>
      <w:r w:rsidR="001969F8">
        <w:t>9,189</w:t>
      </w:r>
      <w:r w:rsidR="001969F8" w:rsidRPr="001969F8">
        <w:rPr>
          <w:color w:val="FF0000"/>
        </w:rPr>
        <w:t xml:space="preserve"> </w:t>
      </w:r>
      <w:r w:rsidR="001969F8" w:rsidRPr="00331805">
        <w:t xml:space="preserve">crab </w:t>
      </w:r>
      <w:r w:rsidR="001969F8" w:rsidRPr="001969F8">
        <w:rPr>
          <w:color w:val="000000" w:themeColor="text1"/>
        </w:rPr>
        <w:t>(</w:t>
      </w:r>
      <w:r w:rsidR="001969F8">
        <w:t>20,118</w:t>
      </w:r>
      <w:r w:rsidR="001969F8" w:rsidRPr="001969F8">
        <w:rPr>
          <w:color w:val="000000" w:themeColor="text1"/>
        </w:rPr>
        <w:t xml:space="preserve"> lb.</w:t>
      </w:r>
      <w:r w:rsidR="001969F8">
        <w:t xml:space="preserve">) by winter commercial, 4,424 (8,848 </w:t>
      </w:r>
      <w:proofErr w:type="spellStart"/>
      <w:r w:rsidR="001969F8">
        <w:t>lb</w:t>
      </w:r>
      <w:proofErr w:type="spellEnd"/>
      <w:r w:rsidR="001969F8">
        <w:t>) by winter subsistence, and 89,613 crab (298,396 lb.) by summer commercial, totaling 103,217</w:t>
      </w:r>
      <w:r w:rsidR="001969F8" w:rsidRPr="00E9172F">
        <w:rPr>
          <w:color w:val="000000" w:themeColor="text1"/>
        </w:rPr>
        <w:t xml:space="preserve"> crab (</w:t>
      </w:r>
      <w:r w:rsidR="001969F8">
        <w:rPr>
          <w:color w:val="000000" w:themeColor="text1"/>
        </w:rPr>
        <w:t xml:space="preserve">338,574 </w:t>
      </w:r>
      <w:r w:rsidR="001969F8" w:rsidRPr="00E9172F">
        <w:rPr>
          <w:color w:val="000000" w:themeColor="text1"/>
        </w:rPr>
        <w:t>lb.)</w:t>
      </w:r>
      <w:r w:rsidR="002843E4">
        <w:rPr>
          <w:color w:val="000000" w:themeColor="text1"/>
        </w:rPr>
        <w:t xml:space="preserve"> below ABC of 0.35 million lb. </w:t>
      </w:r>
    </w:p>
    <w:p w:rsidR="001E66BE" w:rsidRDefault="003F1940" w:rsidP="003F1940">
      <w:pPr>
        <w:jc w:val="both"/>
        <w:rPr>
          <w:spacing w:val="-3"/>
        </w:rPr>
      </w:pPr>
      <w:r>
        <w:rPr>
          <w:spacing w:val="-3"/>
        </w:rPr>
        <w:t xml:space="preserve"> </w:t>
      </w:r>
    </w:p>
    <w:p w:rsidR="00F12BC7" w:rsidRDefault="001B7B13" w:rsidP="004F27CE">
      <w:pPr>
        <w:numPr>
          <w:ilvl w:val="0"/>
          <w:numId w:val="10"/>
        </w:numPr>
        <w:jc w:val="both"/>
        <w:rPr>
          <w:spacing w:val="-3"/>
        </w:rPr>
      </w:pPr>
      <w:r>
        <w:rPr>
          <w:spacing w:val="-3"/>
        </w:rPr>
        <w:t>Stock Biomass</w:t>
      </w:r>
      <w:r w:rsidR="0010773D">
        <w:rPr>
          <w:spacing w:val="-3"/>
        </w:rPr>
        <w:t xml:space="preserve">. </w:t>
      </w:r>
      <w:r w:rsidR="001969F8">
        <w:rPr>
          <w:spacing w:val="-3"/>
        </w:rPr>
        <w:t xml:space="preserve"> Norton Sound Red King Crab stock has been monitored by triennial survey since 1976 by NOAA (1976-1991) and ADF&amp;G (1996-present)</w:t>
      </w:r>
      <w:r w:rsidR="002843E4">
        <w:rPr>
          <w:spacing w:val="-3"/>
        </w:rPr>
        <w:t xml:space="preserve">, ranged from 1.41 million to 5.9 million crab.  In 2018, abundance by trawl survey was 1.11 million crab with CV 0.25. </w:t>
      </w:r>
    </w:p>
    <w:p w:rsidR="00F12BC7" w:rsidRDefault="00F12BC7" w:rsidP="00556C01">
      <w:pPr>
        <w:pStyle w:val="ListParagraph"/>
        <w:rPr>
          <w:spacing w:val="-3"/>
        </w:rPr>
      </w:pPr>
    </w:p>
    <w:p w:rsidR="0001356B" w:rsidRPr="000E4B45" w:rsidRDefault="0010773D" w:rsidP="004F27CE">
      <w:pPr>
        <w:numPr>
          <w:ilvl w:val="0"/>
          <w:numId w:val="10"/>
        </w:numPr>
        <w:jc w:val="both"/>
        <w:rPr>
          <w:spacing w:val="-3"/>
        </w:rPr>
      </w:pPr>
      <w:r>
        <w:rPr>
          <w:spacing w:val="-3"/>
        </w:rPr>
        <w:t xml:space="preserve">Recruitment. </w:t>
      </w:r>
      <w:r w:rsidR="009E75F6">
        <w:rPr>
          <w:spacing w:val="-3"/>
        </w:rPr>
        <w:t>Model e</w:t>
      </w:r>
      <w:r w:rsidR="007F742D" w:rsidRPr="007F742D">
        <w:rPr>
          <w:spacing w:val="-3"/>
        </w:rPr>
        <w:t>stimated recruitment was weak during the late 1970s and high during the early 1980s</w:t>
      </w:r>
      <w:r w:rsidR="00831E7A">
        <w:rPr>
          <w:spacing w:val="-3"/>
        </w:rPr>
        <w:t>,</w:t>
      </w:r>
      <w:r w:rsidR="007F742D" w:rsidRPr="007F742D">
        <w:rPr>
          <w:spacing w:val="-3"/>
        </w:rPr>
        <w:t xml:space="preserve"> with a slight</w:t>
      </w:r>
      <w:r w:rsidR="00530481">
        <w:rPr>
          <w:spacing w:val="-3"/>
        </w:rPr>
        <w:t>ly</w:t>
      </w:r>
      <w:r w:rsidR="007F742D" w:rsidRPr="007F742D">
        <w:rPr>
          <w:spacing w:val="-3"/>
        </w:rPr>
        <w:t xml:space="preserve"> downward trend from 1983 to 1993</w:t>
      </w:r>
      <w:r w:rsidR="002A06C1">
        <w:rPr>
          <w:spacing w:val="-3"/>
        </w:rPr>
        <w:t xml:space="preserve">. </w:t>
      </w:r>
      <w:r w:rsidR="007F742D" w:rsidRPr="007F742D">
        <w:rPr>
          <w:spacing w:val="-3"/>
        </w:rPr>
        <w:t xml:space="preserve">Estimated recruitment </w:t>
      </w:r>
      <w:r w:rsidR="007F742D">
        <w:rPr>
          <w:spacing w:val="-3"/>
        </w:rPr>
        <w:t>has been highly variable but on an increasing trend in</w:t>
      </w:r>
      <w:r w:rsidR="007F742D" w:rsidRPr="007F742D">
        <w:rPr>
          <w:spacing w:val="-3"/>
        </w:rPr>
        <w:t xml:space="preserve"> recent years</w:t>
      </w:r>
      <w:r w:rsidR="007F742D">
        <w:rPr>
          <w:spacing w:val="-3"/>
        </w:rPr>
        <w:t>.</w:t>
      </w:r>
    </w:p>
    <w:p w:rsidR="009E75F6" w:rsidRPr="00ED2E4A" w:rsidRDefault="009E75F6" w:rsidP="009E75F6">
      <w:pPr>
        <w:jc w:val="both"/>
        <w:rPr>
          <w:spacing w:val="-3"/>
        </w:rPr>
      </w:pPr>
    </w:p>
    <w:p w:rsidR="009E75F6" w:rsidRDefault="009E75F6" w:rsidP="004F27CE">
      <w:pPr>
        <w:numPr>
          <w:ilvl w:val="0"/>
          <w:numId w:val="10"/>
        </w:numPr>
        <w:jc w:val="both"/>
        <w:rPr>
          <w:spacing w:val="-3"/>
        </w:rPr>
      </w:pPr>
      <w:r>
        <w:rPr>
          <w:spacing w:val="-3"/>
        </w:rPr>
        <w:t xml:space="preserve">Management performance. </w:t>
      </w:r>
    </w:p>
    <w:p w:rsidR="009E75F6" w:rsidRDefault="009E75F6" w:rsidP="0001356B">
      <w:pPr>
        <w:jc w:val="both"/>
        <w:rPr>
          <w:spacing w:val="-3"/>
        </w:rPr>
      </w:pPr>
    </w:p>
    <w:p w:rsidR="0001356B" w:rsidRDefault="0001356B" w:rsidP="000B364D">
      <w:pPr>
        <w:jc w:val="both"/>
        <w:rPr>
          <w:i/>
          <w:spacing w:val="-3"/>
          <w:sz w:val="22"/>
          <w:szCs w:val="22"/>
        </w:rPr>
      </w:pPr>
      <w:r w:rsidRPr="000B364D">
        <w:rPr>
          <w:i/>
          <w:spacing w:val="-3"/>
          <w:sz w:val="22"/>
          <w:szCs w:val="22"/>
        </w:rPr>
        <w:t>Status an</w:t>
      </w:r>
      <w:r w:rsidR="00800896">
        <w:rPr>
          <w:i/>
          <w:spacing w:val="-3"/>
          <w:sz w:val="22"/>
          <w:szCs w:val="22"/>
        </w:rPr>
        <w:t>d catch specifications (million</w:t>
      </w:r>
      <w:r w:rsidRPr="000B364D">
        <w:rPr>
          <w:i/>
          <w:spacing w:val="-3"/>
          <w:sz w:val="22"/>
          <w:szCs w:val="22"/>
        </w:rPr>
        <w:t xml:space="preserve"> </w:t>
      </w:r>
      <w:r w:rsidR="005C0E62">
        <w:rPr>
          <w:i/>
          <w:spacing w:val="-3"/>
          <w:sz w:val="22"/>
          <w:szCs w:val="22"/>
        </w:rPr>
        <w:t>lb</w:t>
      </w:r>
      <w:r w:rsidRPr="000B364D">
        <w:rPr>
          <w:i/>
          <w:spacing w:val="-3"/>
          <w:sz w:val="22"/>
          <w:szCs w:val="22"/>
        </w:rPr>
        <w:t>.)</w:t>
      </w:r>
    </w:p>
    <w:tbl>
      <w:tblPr>
        <w:tblpPr w:leftFromText="180" w:rightFromText="180" w:vertAnchor="text" w:horzAnchor="margin" w:tblpXSpec="center" w:tblpY="184"/>
        <w:tblW w:w="9084" w:type="dxa"/>
        <w:tblLook w:val="04A0" w:firstRow="1" w:lastRow="0" w:firstColumn="1" w:lastColumn="0" w:noHBand="0" w:noVBand="1"/>
      </w:tblPr>
      <w:tblGrid>
        <w:gridCol w:w="1458"/>
        <w:gridCol w:w="905"/>
        <w:gridCol w:w="1080"/>
        <w:gridCol w:w="750"/>
        <w:gridCol w:w="1483"/>
        <w:gridCol w:w="1136"/>
        <w:gridCol w:w="1136"/>
        <w:gridCol w:w="1136"/>
      </w:tblGrid>
      <w:tr w:rsidR="00DB7B64" w:rsidRPr="002A201F" w:rsidTr="007D62D3">
        <w:trPr>
          <w:trHeight w:val="20"/>
        </w:trPr>
        <w:tc>
          <w:tcPr>
            <w:tcW w:w="14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B7B64" w:rsidRPr="002A201F" w:rsidRDefault="00DB7B64" w:rsidP="00DB7B64">
            <w:pPr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2A201F">
              <w:rPr>
                <w:rFonts w:eastAsia="Times New Roman"/>
                <w:b/>
                <w:bCs/>
                <w:color w:val="000000"/>
                <w:lang w:eastAsia="en-US"/>
              </w:rPr>
              <w:t>Year</w:t>
            </w:r>
          </w:p>
        </w:tc>
        <w:tc>
          <w:tcPr>
            <w:tcW w:w="9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B7B64" w:rsidRPr="002A201F" w:rsidRDefault="00DB7B64" w:rsidP="00DB7B64">
            <w:pPr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2A201F">
              <w:rPr>
                <w:rFonts w:eastAsia="Times New Roman"/>
                <w:b/>
                <w:bCs/>
                <w:color w:val="000000"/>
                <w:lang w:eastAsia="en-US"/>
              </w:rPr>
              <w:t>MSST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B7B64" w:rsidRPr="002A201F" w:rsidRDefault="00DB7B64" w:rsidP="00DB7B64">
            <w:pPr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2A201F">
              <w:rPr>
                <w:rFonts w:eastAsia="Times New Roman"/>
                <w:b/>
                <w:bCs/>
                <w:color w:val="000000"/>
                <w:lang w:eastAsia="en-US"/>
              </w:rPr>
              <w:t>Biomass (MMB)</w:t>
            </w:r>
            <w:r>
              <w:rPr>
                <w:rFonts w:eastAsia="Times New Roman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B7B64" w:rsidRPr="002A201F" w:rsidRDefault="00DB7B64" w:rsidP="00DB7B64">
            <w:pPr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2A201F">
              <w:rPr>
                <w:rFonts w:eastAsia="Times New Roman"/>
                <w:b/>
                <w:bCs/>
                <w:color w:val="000000"/>
                <w:lang w:eastAsia="en-US"/>
              </w:rPr>
              <w:t>GHL</w:t>
            </w:r>
          </w:p>
        </w:tc>
        <w:tc>
          <w:tcPr>
            <w:tcW w:w="14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B7B64" w:rsidRDefault="00DB7B64" w:rsidP="00DB7B64">
            <w:pPr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2A201F">
              <w:rPr>
                <w:rFonts w:eastAsia="Times New Roman"/>
                <w:b/>
                <w:bCs/>
                <w:color w:val="000000"/>
                <w:lang w:eastAsia="en-US"/>
              </w:rPr>
              <w:t xml:space="preserve">Retained </w:t>
            </w:r>
          </w:p>
          <w:p w:rsidR="00DB7B64" w:rsidRDefault="00DB7B64" w:rsidP="00DB7B64">
            <w:pPr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lang w:eastAsia="en-US"/>
              </w:rPr>
              <w:t>Commercial</w:t>
            </w:r>
          </w:p>
          <w:p w:rsidR="00DB7B64" w:rsidRPr="002A201F" w:rsidRDefault="00DB7B64" w:rsidP="00DB7B64">
            <w:pPr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2A201F">
              <w:rPr>
                <w:rFonts w:eastAsia="Times New Roman"/>
                <w:b/>
                <w:bCs/>
                <w:color w:val="000000"/>
                <w:lang w:eastAsia="en-US"/>
              </w:rPr>
              <w:t>Catch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B7B64" w:rsidRDefault="00DB7B64" w:rsidP="00DB7B64">
            <w:pPr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2A201F">
              <w:rPr>
                <w:rFonts w:eastAsia="Times New Roman"/>
                <w:b/>
                <w:bCs/>
                <w:color w:val="000000"/>
                <w:lang w:eastAsia="en-US"/>
              </w:rPr>
              <w:t>Total</w:t>
            </w:r>
          </w:p>
          <w:p w:rsidR="00DB7B64" w:rsidRDefault="00DB7B64" w:rsidP="00DB7B64">
            <w:pPr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lang w:eastAsia="en-US"/>
              </w:rPr>
              <w:t>Retained</w:t>
            </w:r>
          </w:p>
          <w:p w:rsidR="00DB7B64" w:rsidRPr="002A201F" w:rsidRDefault="00DB7B64" w:rsidP="00DB7B64">
            <w:pPr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2A201F">
              <w:rPr>
                <w:rFonts w:eastAsia="Times New Roman"/>
                <w:b/>
                <w:bCs/>
                <w:color w:val="000000"/>
                <w:lang w:eastAsia="en-US"/>
              </w:rPr>
              <w:t xml:space="preserve"> Catch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B7B64" w:rsidRDefault="00DB7B64" w:rsidP="00DB7B64">
            <w:pPr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lang w:eastAsia="en-US"/>
              </w:rPr>
              <w:t>Retained</w:t>
            </w:r>
          </w:p>
          <w:p w:rsidR="00DB7B64" w:rsidRPr="002A201F" w:rsidRDefault="00DB7B64" w:rsidP="00DB7B64">
            <w:pPr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2A201F">
              <w:rPr>
                <w:rFonts w:eastAsia="Times New Roman"/>
                <w:b/>
                <w:bCs/>
                <w:color w:val="000000"/>
                <w:lang w:eastAsia="en-US"/>
              </w:rPr>
              <w:t>OFL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B7B64" w:rsidRDefault="00DB7B64" w:rsidP="00DB7B64">
            <w:pPr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lang w:eastAsia="en-US"/>
              </w:rPr>
              <w:t>Retained</w:t>
            </w:r>
          </w:p>
          <w:p w:rsidR="00DB7B64" w:rsidRPr="002A201F" w:rsidRDefault="00DB7B64" w:rsidP="00DB7B64">
            <w:pPr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lang w:eastAsia="en-US"/>
              </w:rPr>
              <w:t>ABC</w:t>
            </w:r>
          </w:p>
        </w:tc>
      </w:tr>
      <w:tr w:rsidR="00575487" w:rsidRPr="002A201F" w:rsidTr="007D62D3">
        <w:trPr>
          <w:trHeight w:val="20"/>
        </w:trPr>
        <w:tc>
          <w:tcPr>
            <w:tcW w:w="14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2015</w:t>
            </w: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2.41</w:t>
            </w:r>
            <w:r>
              <w:rPr>
                <w:rFonts w:eastAsia="Times New Roman"/>
                <w:color w:val="000000"/>
                <w:vertAlign w:val="superscript"/>
                <w:lang w:eastAsia="en-US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5.13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0.39</w:t>
            </w:r>
          </w:p>
        </w:tc>
        <w:tc>
          <w:tcPr>
            <w:tcW w:w="14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0.40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0.52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0.72</w:t>
            </w:r>
            <w:r w:rsidR="00C37423">
              <w:rPr>
                <w:rFonts w:eastAsia="Times New Roman"/>
                <w:color w:val="000000"/>
                <w:vertAlign w:val="superscript"/>
                <w:lang w:eastAsia="en-US"/>
              </w:rPr>
              <w:t>A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</w:tcPr>
          <w:p w:rsidR="00575487" w:rsidRDefault="00575487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0.58</w:t>
            </w:r>
          </w:p>
        </w:tc>
      </w:tr>
      <w:tr w:rsidR="00575487" w:rsidRPr="002A201F" w:rsidTr="007D62D3">
        <w:trPr>
          <w:trHeight w:val="20"/>
        </w:trPr>
        <w:tc>
          <w:tcPr>
            <w:tcW w:w="14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2016</w:t>
            </w:r>
          </w:p>
        </w:tc>
        <w:tc>
          <w:tcPr>
            <w:tcW w:w="90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2.26</w:t>
            </w:r>
            <w:r>
              <w:rPr>
                <w:rFonts w:eastAsia="Times New Roman"/>
                <w:color w:val="000000"/>
                <w:vertAlign w:val="superscript"/>
                <w:lang w:eastAsia="en-US"/>
              </w:rPr>
              <w:t>B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5.87</w:t>
            </w:r>
          </w:p>
        </w:tc>
        <w:tc>
          <w:tcPr>
            <w:tcW w:w="7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0.52</w:t>
            </w:r>
          </w:p>
        </w:tc>
        <w:tc>
          <w:tcPr>
            <w:tcW w:w="14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0.51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0.52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0.71</w:t>
            </w:r>
            <w:r w:rsidR="00C37423">
              <w:rPr>
                <w:rFonts w:eastAsia="Times New Roman"/>
                <w:color w:val="000000"/>
                <w:vertAlign w:val="superscript"/>
                <w:lang w:eastAsia="en-US"/>
              </w:rPr>
              <w:t>B</w:t>
            </w:r>
          </w:p>
        </w:tc>
        <w:tc>
          <w:tcPr>
            <w:tcW w:w="1136" w:type="dxa"/>
            <w:tcBorders>
              <w:left w:val="nil"/>
              <w:right w:val="nil"/>
            </w:tcBorders>
          </w:tcPr>
          <w:p w:rsidR="00575487" w:rsidRDefault="00575487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0.57</w:t>
            </w:r>
          </w:p>
        </w:tc>
      </w:tr>
      <w:tr w:rsidR="00575487" w:rsidRPr="002A201F" w:rsidTr="00EB386C">
        <w:trPr>
          <w:trHeight w:val="20"/>
        </w:trPr>
        <w:tc>
          <w:tcPr>
            <w:tcW w:w="14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2017</w:t>
            </w:r>
          </w:p>
        </w:tc>
        <w:tc>
          <w:tcPr>
            <w:tcW w:w="90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2.31</w:t>
            </w:r>
            <w:r>
              <w:rPr>
                <w:rFonts w:eastAsia="Times New Roman"/>
                <w:color w:val="000000"/>
                <w:vertAlign w:val="superscript"/>
                <w:lang w:eastAsia="en-US"/>
              </w:rPr>
              <w:t>C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5.14</w:t>
            </w:r>
          </w:p>
        </w:tc>
        <w:tc>
          <w:tcPr>
            <w:tcW w:w="7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0.50</w:t>
            </w:r>
          </w:p>
        </w:tc>
        <w:tc>
          <w:tcPr>
            <w:tcW w:w="14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0.49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0.50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0.67</w:t>
            </w:r>
            <w:r>
              <w:rPr>
                <w:rFonts w:eastAsia="Times New Roman"/>
                <w:color w:val="000000"/>
                <w:vertAlign w:val="superscript"/>
                <w:lang w:eastAsia="en-US"/>
              </w:rPr>
              <w:t xml:space="preserve"> </w:t>
            </w:r>
            <w:r w:rsidR="00C37423">
              <w:rPr>
                <w:rFonts w:eastAsia="Times New Roman"/>
                <w:color w:val="000000"/>
                <w:vertAlign w:val="superscript"/>
                <w:lang w:eastAsia="en-US"/>
              </w:rPr>
              <w:t>C</w:t>
            </w:r>
          </w:p>
        </w:tc>
        <w:tc>
          <w:tcPr>
            <w:tcW w:w="1136" w:type="dxa"/>
            <w:tcBorders>
              <w:left w:val="nil"/>
              <w:right w:val="nil"/>
            </w:tcBorders>
            <w:vAlign w:val="bottom"/>
          </w:tcPr>
          <w:p w:rsidR="00575487" w:rsidRDefault="00575487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0.54</w:t>
            </w:r>
          </w:p>
        </w:tc>
      </w:tr>
      <w:tr w:rsidR="00575487" w:rsidRPr="002A201F" w:rsidTr="007D62D3">
        <w:trPr>
          <w:trHeight w:val="20"/>
        </w:trPr>
        <w:tc>
          <w:tcPr>
            <w:tcW w:w="14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2018</w:t>
            </w:r>
          </w:p>
        </w:tc>
        <w:tc>
          <w:tcPr>
            <w:tcW w:w="90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2.41</w:t>
            </w:r>
            <w:r>
              <w:rPr>
                <w:rFonts w:eastAsia="Times New Roman"/>
                <w:color w:val="000000"/>
                <w:vertAlign w:val="superscript"/>
                <w:lang w:eastAsia="en-US"/>
              </w:rPr>
              <w:t>D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4.08</w:t>
            </w:r>
          </w:p>
        </w:tc>
        <w:tc>
          <w:tcPr>
            <w:tcW w:w="7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75487" w:rsidRDefault="00C37423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0.30</w:t>
            </w:r>
          </w:p>
        </w:tc>
        <w:tc>
          <w:tcPr>
            <w:tcW w:w="14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75487" w:rsidRDefault="00D070C3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0.31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75487" w:rsidRDefault="00D070C3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0.34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0.43</w:t>
            </w:r>
            <w:r w:rsidR="00C37423">
              <w:rPr>
                <w:rFonts w:eastAsia="Times New Roman"/>
                <w:color w:val="000000"/>
                <w:vertAlign w:val="superscript"/>
                <w:lang w:eastAsia="en-US"/>
              </w:rPr>
              <w:t>D</w:t>
            </w:r>
          </w:p>
        </w:tc>
        <w:tc>
          <w:tcPr>
            <w:tcW w:w="1136" w:type="dxa"/>
            <w:tcBorders>
              <w:left w:val="nil"/>
              <w:right w:val="nil"/>
            </w:tcBorders>
            <w:vAlign w:val="bottom"/>
          </w:tcPr>
          <w:p w:rsidR="00575487" w:rsidRDefault="00575487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0.35</w:t>
            </w:r>
          </w:p>
        </w:tc>
      </w:tr>
      <w:tr w:rsidR="00575487" w:rsidRPr="002A201F" w:rsidTr="007D62D3">
        <w:trPr>
          <w:trHeight w:val="20"/>
        </w:trPr>
        <w:tc>
          <w:tcPr>
            <w:tcW w:w="145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2019</w:t>
            </w:r>
          </w:p>
        </w:tc>
        <w:tc>
          <w:tcPr>
            <w:tcW w:w="90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75487" w:rsidRDefault="00D06BE4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2.2</w:t>
            </w:r>
            <w:r w:rsidR="007534DA">
              <w:rPr>
                <w:rFonts w:eastAsia="Times New Roman"/>
                <w:color w:val="000000"/>
                <w:lang w:eastAsia="en-US"/>
              </w:rPr>
              <w:t>4</w:t>
            </w:r>
            <w:r>
              <w:rPr>
                <w:rFonts w:eastAsia="Times New Roman"/>
                <w:color w:val="000000"/>
                <w:vertAlign w:val="superscript"/>
                <w:lang w:eastAsia="en-US"/>
              </w:rPr>
              <w:t>E</w:t>
            </w:r>
          </w:p>
        </w:tc>
        <w:tc>
          <w:tcPr>
            <w:tcW w:w="108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75487" w:rsidRDefault="00D06BE4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3.1</w:t>
            </w:r>
            <w:r w:rsidR="007534DA">
              <w:rPr>
                <w:rFonts w:eastAsia="Times New Roman"/>
                <w:color w:val="000000"/>
                <w:lang w:eastAsia="en-US"/>
              </w:rPr>
              <w:t>2</w:t>
            </w:r>
          </w:p>
        </w:tc>
        <w:tc>
          <w:tcPr>
            <w:tcW w:w="7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75487" w:rsidRDefault="00D070C3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TBD</w:t>
            </w:r>
          </w:p>
        </w:tc>
        <w:tc>
          <w:tcPr>
            <w:tcW w:w="1483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75487" w:rsidRDefault="00D06BE4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TBD</w:t>
            </w:r>
          </w:p>
        </w:tc>
        <w:tc>
          <w:tcPr>
            <w:tcW w:w="113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75487" w:rsidRDefault="00D070C3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TBD</w:t>
            </w:r>
          </w:p>
        </w:tc>
        <w:tc>
          <w:tcPr>
            <w:tcW w:w="113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575487" w:rsidRDefault="00D06BE4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0.24</w:t>
            </w:r>
            <w:r>
              <w:rPr>
                <w:rFonts w:eastAsia="Times New Roman"/>
                <w:color w:val="000000"/>
                <w:vertAlign w:val="superscript"/>
                <w:lang w:eastAsia="en-US"/>
              </w:rPr>
              <w:t>E</w:t>
            </w:r>
          </w:p>
        </w:tc>
        <w:tc>
          <w:tcPr>
            <w:tcW w:w="1136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:rsidR="00575487" w:rsidRDefault="00D06BE4" w:rsidP="00575487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0.19</w:t>
            </w:r>
          </w:p>
        </w:tc>
      </w:tr>
    </w:tbl>
    <w:p w:rsidR="00CD658F" w:rsidRPr="000B364D" w:rsidRDefault="00CD658F" w:rsidP="000B364D">
      <w:pPr>
        <w:jc w:val="both"/>
        <w:rPr>
          <w:i/>
          <w:spacing w:val="-3"/>
          <w:sz w:val="22"/>
          <w:szCs w:val="22"/>
        </w:rPr>
      </w:pPr>
    </w:p>
    <w:p w:rsidR="00FB6B54" w:rsidRDefault="00FB6B54" w:rsidP="00D070C3">
      <w:pPr>
        <w:spacing w:before="120"/>
        <w:jc w:val="both"/>
        <w:rPr>
          <w:spacing w:val="-3"/>
        </w:rPr>
      </w:pPr>
    </w:p>
    <w:p w:rsidR="00D938A9" w:rsidRDefault="00D938A9" w:rsidP="00CD658F">
      <w:pPr>
        <w:tabs>
          <w:tab w:val="left" w:pos="3600"/>
        </w:tabs>
        <w:jc w:val="both"/>
        <w:rPr>
          <w:i/>
          <w:spacing w:val="-3"/>
        </w:rPr>
      </w:pPr>
    </w:p>
    <w:p w:rsidR="00D938A9" w:rsidRDefault="00D938A9" w:rsidP="00CD658F">
      <w:pPr>
        <w:tabs>
          <w:tab w:val="left" w:pos="3600"/>
        </w:tabs>
        <w:jc w:val="both"/>
        <w:rPr>
          <w:i/>
          <w:spacing w:val="-3"/>
        </w:rPr>
      </w:pPr>
    </w:p>
    <w:p w:rsidR="00BA5494" w:rsidRDefault="000B364D" w:rsidP="00CD658F">
      <w:pPr>
        <w:tabs>
          <w:tab w:val="left" w:pos="3600"/>
        </w:tabs>
        <w:jc w:val="both"/>
        <w:rPr>
          <w:i/>
          <w:spacing w:val="-3"/>
        </w:rPr>
      </w:pPr>
      <w:r w:rsidRPr="000B364D">
        <w:rPr>
          <w:i/>
          <w:spacing w:val="-3"/>
        </w:rPr>
        <w:t>St</w:t>
      </w:r>
      <w:r w:rsidR="00633BE9">
        <w:rPr>
          <w:i/>
          <w:spacing w:val="-3"/>
        </w:rPr>
        <w:t>atus and catch specifications (1000</w:t>
      </w:r>
      <w:r w:rsidRPr="000B364D">
        <w:rPr>
          <w:i/>
          <w:spacing w:val="-3"/>
        </w:rPr>
        <w:t>t)</w:t>
      </w:r>
    </w:p>
    <w:p w:rsidR="00702417" w:rsidRDefault="00702417" w:rsidP="00CD658F">
      <w:pPr>
        <w:tabs>
          <w:tab w:val="left" w:pos="3600"/>
        </w:tabs>
        <w:jc w:val="both"/>
        <w:rPr>
          <w:i/>
          <w:spacing w:val="-3"/>
        </w:rPr>
      </w:pPr>
    </w:p>
    <w:tbl>
      <w:tblPr>
        <w:tblW w:w="0" w:type="auto"/>
        <w:tblInd w:w="810" w:type="dxa"/>
        <w:tblLook w:val="04A0" w:firstRow="1" w:lastRow="0" w:firstColumn="1" w:lastColumn="0" w:noHBand="0" w:noVBand="1"/>
      </w:tblPr>
      <w:tblGrid>
        <w:gridCol w:w="723"/>
        <w:gridCol w:w="870"/>
        <w:gridCol w:w="1070"/>
        <w:gridCol w:w="750"/>
        <w:gridCol w:w="1483"/>
        <w:gridCol w:w="1136"/>
        <w:gridCol w:w="1136"/>
        <w:gridCol w:w="1136"/>
      </w:tblGrid>
      <w:tr w:rsidR="00DB7B64" w:rsidRPr="002A201F" w:rsidTr="007610BA">
        <w:trPr>
          <w:trHeight w:val="20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B7B64" w:rsidRPr="002A201F" w:rsidRDefault="00DB7B64" w:rsidP="00DB7B64">
            <w:pPr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2A201F">
              <w:rPr>
                <w:rFonts w:eastAsia="Times New Roman"/>
                <w:b/>
                <w:bCs/>
                <w:color w:val="000000"/>
                <w:lang w:eastAsia="en-US"/>
              </w:rPr>
              <w:t>Year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B7B64" w:rsidRPr="002A201F" w:rsidRDefault="00DB7B64" w:rsidP="00DB7B64">
            <w:pPr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2A201F">
              <w:rPr>
                <w:rFonts w:eastAsia="Times New Roman"/>
                <w:b/>
                <w:bCs/>
                <w:color w:val="000000"/>
                <w:lang w:eastAsia="en-US"/>
              </w:rPr>
              <w:t>MSST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B7B64" w:rsidRDefault="00DB7B64" w:rsidP="00DB7B64">
            <w:pPr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2A201F">
              <w:rPr>
                <w:rFonts w:eastAsia="Times New Roman"/>
                <w:b/>
                <w:bCs/>
                <w:color w:val="000000"/>
                <w:lang w:eastAsia="en-US"/>
              </w:rPr>
              <w:t xml:space="preserve">Biomass </w:t>
            </w:r>
          </w:p>
          <w:p w:rsidR="00DB7B64" w:rsidRPr="002A201F" w:rsidRDefault="00DB7B64" w:rsidP="00DB7B64">
            <w:pPr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2A201F">
              <w:rPr>
                <w:rFonts w:eastAsia="Times New Roman"/>
                <w:b/>
                <w:bCs/>
                <w:color w:val="000000"/>
                <w:lang w:eastAsia="en-US"/>
              </w:rPr>
              <w:t>(MMB)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B7B64" w:rsidRPr="002A201F" w:rsidRDefault="00DB7B64" w:rsidP="00DB7B64">
            <w:pPr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2A201F">
              <w:rPr>
                <w:rFonts w:eastAsia="Times New Roman"/>
                <w:b/>
                <w:bCs/>
                <w:color w:val="000000"/>
                <w:lang w:eastAsia="en-US"/>
              </w:rPr>
              <w:t>GHL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B7B64" w:rsidRDefault="00DB7B64" w:rsidP="00DB7B64">
            <w:pPr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2A201F">
              <w:rPr>
                <w:rFonts w:eastAsia="Times New Roman"/>
                <w:b/>
                <w:bCs/>
                <w:color w:val="000000"/>
                <w:lang w:eastAsia="en-US"/>
              </w:rPr>
              <w:t xml:space="preserve">Retained </w:t>
            </w:r>
          </w:p>
          <w:p w:rsidR="00DB7B64" w:rsidRDefault="00DB7B64" w:rsidP="00DB7B64">
            <w:pPr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lang w:eastAsia="en-US"/>
              </w:rPr>
              <w:t>Commercial</w:t>
            </w:r>
          </w:p>
          <w:p w:rsidR="00DB7B64" w:rsidRPr="002A201F" w:rsidRDefault="00DB7B64" w:rsidP="00DB7B64">
            <w:pPr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2A201F">
              <w:rPr>
                <w:rFonts w:eastAsia="Times New Roman"/>
                <w:b/>
                <w:bCs/>
                <w:color w:val="000000"/>
                <w:lang w:eastAsia="en-US"/>
              </w:rPr>
              <w:t>Catch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B7B64" w:rsidRDefault="00DB7B64" w:rsidP="00DB7B64">
            <w:pPr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2A201F">
              <w:rPr>
                <w:rFonts w:eastAsia="Times New Roman"/>
                <w:b/>
                <w:bCs/>
                <w:color w:val="000000"/>
                <w:lang w:eastAsia="en-US"/>
              </w:rPr>
              <w:t>Total</w:t>
            </w:r>
          </w:p>
          <w:p w:rsidR="00DB7B64" w:rsidRDefault="00DB7B64" w:rsidP="00DB7B64">
            <w:pPr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lang w:eastAsia="en-US"/>
              </w:rPr>
              <w:t>Retained</w:t>
            </w:r>
          </w:p>
          <w:p w:rsidR="00DB7B64" w:rsidRPr="002A201F" w:rsidRDefault="00DB7B64" w:rsidP="00DB7B64">
            <w:pPr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2A201F">
              <w:rPr>
                <w:rFonts w:eastAsia="Times New Roman"/>
                <w:b/>
                <w:bCs/>
                <w:color w:val="000000"/>
                <w:lang w:eastAsia="en-US"/>
              </w:rPr>
              <w:t xml:space="preserve"> Catch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B7B64" w:rsidRDefault="00DB7B64" w:rsidP="00DB7B64">
            <w:pPr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lang w:eastAsia="en-US"/>
              </w:rPr>
              <w:t>Retained</w:t>
            </w:r>
          </w:p>
          <w:p w:rsidR="00DB7B64" w:rsidRPr="002A201F" w:rsidRDefault="00DB7B64" w:rsidP="00DB7B64">
            <w:pPr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2A201F">
              <w:rPr>
                <w:rFonts w:eastAsia="Times New Roman"/>
                <w:b/>
                <w:bCs/>
                <w:color w:val="000000"/>
                <w:lang w:eastAsia="en-US"/>
              </w:rPr>
              <w:t>OFL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B7B64" w:rsidRDefault="00DB7B64" w:rsidP="00DB7B64">
            <w:pPr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lang w:eastAsia="en-US"/>
              </w:rPr>
              <w:t>Retained</w:t>
            </w:r>
          </w:p>
          <w:p w:rsidR="00DB7B64" w:rsidRPr="002A201F" w:rsidRDefault="00DB7B64" w:rsidP="00DB7B64">
            <w:pPr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lang w:eastAsia="en-US"/>
              </w:rPr>
              <w:t>ABC</w:t>
            </w:r>
          </w:p>
        </w:tc>
      </w:tr>
      <w:tr w:rsidR="00575487" w:rsidRPr="002A201F" w:rsidTr="007610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EB386C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EB386C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1.09</w:t>
            </w:r>
            <w:r>
              <w:rPr>
                <w:rFonts w:eastAsia="Times New Roman"/>
                <w:color w:val="000000"/>
                <w:vertAlign w:val="superscript"/>
                <w:lang w:eastAsia="en-US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EB386C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EB386C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EB386C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EB386C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EB386C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0.33</w:t>
            </w:r>
            <w:r w:rsidR="00C37423">
              <w:rPr>
                <w:rFonts w:eastAsia="Times New Roman"/>
                <w:color w:val="000000"/>
                <w:vertAlign w:val="superscript"/>
                <w:lang w:eastAsia="en-US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5487" w:rsidRDefault="00575487" w:rsidP="00EB386C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0.26</w:t>
            </w:r>
          </w:p>
        </w:tc>
      </w:tr>
      <w:tr w:rsidR="00575487" w:rsidRPr="002A201F" w:rsidTr="007610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EB386C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EB386C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1.03</w:t>
            </w:r>
            <w:r>
              <w:rPr>
                <w:rFonts w:eastAsia="Times New Roman"/>
                <w:color w:val="000000"/>
                <w:vertAlign w:val="superscript"/>
                <w:lang w:eastAsia="en-US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EB386C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EB386C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EB386C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EB386C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EB386C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0.32</w:t>
            </w:r>
            <w:r w:rsidR="00C37423">
              <w:rPr>
                <w:rFonts w:eastAsia="Times New Roman"/>
                <w:color w:val="000000"/>
                <w:vertAlign w:val="superscript"/>
                <w:lang w:eastAsia="en-US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5487" w:rsidRDefault="00575487" w:rsidP="00EB386C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0.26</w:t>
            </w:r>
          </w:p>
        </w:tc>
      </w:tr>
      <w:tr w:rsidR="00575487" w:rsidRPr="002A201F" w:rsidTr="00EB38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EB386C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EB386C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1.05</w:t>
            </w:r>
            <w:r>
              <w:rPr>
                <w:rFonts w:eastAsia="Times New Roman"/>
                <w:color w:val="000000"/>
                <w:vertAlign w:val="superscript"/>
                <w:lang w:eastAsia="en-US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EB386C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EB386C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EB386C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EB386C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EB386C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0.30</w:t>
            </w:r>
            <w:r w:rsidR="00C37423">
              <w:rPr>
                <w:rFonts w:eastAsia="Times New Roman"/>
                <w:color w:val="000000"/>
                <w:vertAlign w:val="superscript"/>
                <w:lang w:eastAsia="en-US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487" w:rsidRDefault="00575487" w:rsidP="00EB386C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0.24</w:t>
            </w:r>
          </w:p>
        </w:tc>
      </w:tr>
      <w:tr w:rsidR="00575487" w:rsidRPr="002A201F" w:rsidTr="007D62D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EB386C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EB386C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1.09</w:t>
            </w:r>
            <w:r>
              <w:rPr>
                <w:rFonts w:eastAsia="Times New Roman"/>
                <w:color w:val="000000"/>
                <w:vertAlign w:val="superscript"/>
                <w:lang w:eastAsia="en-US"/>
              </w:rPr>
              <w:t xml:space="preserve">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EB386C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87" w:rsidRDefault="00D070C3" w:rsidP="00EB386C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87" w:rsidRDefault="00D070C3" w:rsidP="00EB386C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87" w:rsidRDefault="00D070C3" w:rsidP="00EB386C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5487" w:rsidRDefault="00575487" w:rsidP="00EB386C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0.20</w:t>
            </w:r>
            <w:r>
              <w:rPr>
                <w:rFonts w:eastAsia="Times New Roman"/>
                <w:color w:val="000000"/>
                <w:vertAlign w:val="superscript"/>
                <w:lang w:eastAsia="en-US"/>
              </w:rPr>
              <w:t xml:space="preserve"> </w:t>
            </w:r>
            <w:r w:rsidR="00C37423">
              <w:rPr>
                <w:rFonts w:eastAsia="Times New Roman"/>
                <w:color w:val="000000"/>
                <w:vertAlign w:val="superscript"/>
                <w:lang w:eastAsia="en-US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487" w:rsidRDefault="00575487" w:rsidP="00EB386C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0.16</w:t>
            </w:r>
          </w:p>
        </w:tc>
      </w:tr>
      <w:tr w:rsidR="00D070C3" w:rsidRPr="002A201F" w:rsidTr="00CB74AB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D070C3" w:rsidRDefault="00D070C3" w:rsidP="00D070C3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D070C3" w:rsidRDefault="00D06BE4" w:rsidP="00D06BE4">
            <w:pPr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 xml:space="preserve"> 1.03</w:t>
            </w:r>
            <w:r>
              <w:rPr>
                <w:rFonts w:eastAsia="Times New Roman"/>
                <w:color w:val="000000"/>
                <w:vertAlign w:val="superscript"/>
                <w:lang w:eastAsia="en-US"/>
              </w:rPr>
              <w:t xml:space="preserve">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D070C3" w:rsidRDefault="00B243ED" w:rsidP="00D070C3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D070C3" w:rsidRDefault="00D070C3" w:rsidP="00D070C3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TBD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D070C3" w:rsidRDefault="00D070C3" w:rsidP="00D070C3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TBD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D070C3" w:rsidRDefault="00D070C3" w:rsidP="00D070C3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TBD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D070C3" w:rsidRDefault="00B243ED" w:rsidP="00D070C3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0.11</w:t>
            </w:r>
            <w:r>
              <w:rPr>
                <w:rFonts w:eastAsia="Times New Roman"/>
                <w:color w:val="000000"/>
                <w:vertAlign w:val="superscript"/>
                <w:lang w:eastAsia="en-US"/>
              </w:rPr>
              <w:t xml:space="preserve"> 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D070C3" w:rsidRDefault="00B243ED" w:rsidP="00D070C3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0.09</w:t>
            </w:r>
          </w:p>
        </w:tc>
      </w:tr>
    </w:tbl>
    <w:p w:rsidR="00FB6B54" w:rsidRDefault="00FB6B54" w:rsidP="00515F91">
      <w:pPr>
        <w:jc w:val="both"/>
        <w:rPr>
          <w:spacing w:val="-3"/>
          <w:sz w:val="20"/>
          <w:szCs w:val="20"/>
        </w:rPr>
      </w:pPr>
    </w:p>
    <w:p w:rsidR="00FB6B54" w:rsidRDefault="00FB6B54" w:rsidP="00515F91">
      <w:pPr>
        <w:jc w:val="both"/>
        <w:rPr>
          <w:spacing w:val="-3"/>
          <w:sz w:val="20"/>
          <w:szCs w:val="20"/>
        </w:rPr>
      </w:pPr>
    </w:p>
    <w:p w:rsidR="00515F91" w:rsidRDefault="00515F91" w:rsidP="00515F91">
      <w:pPr>
        <w:jc w:val="both"/>
        <w:rPr>
          <w:spacing w:val="-3"/>
          <w:sz w:val="20"/>
          <w:szCs w:val="20"/>
        </w:rPr>
      </w:pPr>
      <w:r w:rsidRPr="0001356B">
        <w:rPr>
          <w:spacing w:val="-3"/>
          <w:sz w:val="20"/>
          <w:szCs w:val="20"/>
        </w:rPr>
        <w:t xml:space="preserve">Notes: </w:t>
      </w:r>
    </w:p>
    <w:p w:rsidR="00515F91" w:rsidRPr="0001356B" w:rsidRDefault="005917AF" w:rsidP="00515F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MSST was calculated as B</w:t>
      </w:r>
      <w:r w:rsidRPr="005917AF">
        <w:rPr>
          <w:spacing w:val="-3"/>
          <w:sz w:val="20"/>
          <w:szCs w:val="20"/>
          <w:vertAlign w:val="subscript"/>
        </w:rPr>
        <w:t>MSY</w:t>
      </w:r>
      <w:r>
        <w:rPr>
          <w:spacing w:val="-3"/>
          <w:sz w:val="20"/>
          <w:szCs w:val="20"/>
        </w:rPr>
        <w:t>/2</w:t>
      </w:r>
    </w:p>
    <w:p w:rsidR="00515F91" w:rsidRDefault="007D62D3" w:rsidP="00515F91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A</w:t>
      </w:r>
      <w:r w:rsidR="00515F91" w:rsidRPr="0001356B">
        <w:rPr>
          <w:spacing w:val="-3"/>
          <w:sz w:val="20"/>
          <w:szCs w:val="20"/>
        </w:rPr>
        <w:t>-Calculated from the assessment reviewed b</w:t>
      </w:r>
      <w:r w:rsidR="00377DFE">
        <w:rPr>
          <w:spacing w:val="-3"/>
          <w:sz w:val="20"/>
          <w:szCs w:val="20"/>
        </w:rPr>
        <w:t xml:space="preserve">y the Crab Plan Team in May </w:t>
      </w:r>
      <w:r w:rsidR="00575487">
        <w:rPr>
          <w:spacing w:val="-3"/>
          <w:sz w:val="20"/>
          <w:szCs w:val="20"/>
        </w:rPr>
        <w:t>2015</w:t>
      </w:r>
    </w:p>
    <w:p w:rsidR="003F48E0" w:rsidRDefault="007D62D3" w:rsidP="003F48E0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B</w:t>
      </w:r>
      <w:r w:rsidR="003F48E0" w:rsidRPr="0001356B">
        <w:rPr>
          <w:spacing w:val="-3"/>
          <w:sz w:val="20"/>
          <w:szCs w:val="20"/>
        </w:rPr>
        <w:t>-Calculated from the assessment reviewed b</w:t>
      </w:r>
      <w:r w:rsidR="00BD49C1">
        <w:rPr>
          <w:spacing w:val="-3"/>
          <w:sz w:val="20"/>
          <w:szCs w:val="20"/>
        </w:rPr>
        <w:t>y the Crab Plan Team in May 20</w:t>
      </w:r>
      <w:r w:rsidR="00575487">
        <w:rPr>
          <w:spacing w:val="-3"/>
          <w:sz w:val="20"/>
          <w:szCs w:val="20"/>
        </w:rPr>
        <w:t>16</w:t>
      </w:r>
    </w:p>
    <w:p w:rsidR="00282332" w:rsidRDefault="007D62D3" w:rsidP="00282332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C</w:t>
      </w:r>
      <w:r w:rsidR="00282332" w:rsidRPr="0001356B">
        <w:rPr>
          <w:spacing w:val="-3"/>
          <w:sz w:val="20"/>
          <w:szCs w:val="20"/>
        </w:rPr>
        <w:t>-Calculated from the assessment reviewed b</w:t>
      </w:r>
      <w:r w:rsidR="0015000E">
        <w:rPr>
          <w:spacing w:val="-3"/>
          <w:sz w:val="20"/>
          <w:szCs w:val="20"/>
        </w:rPr>
        <w:t xml:space="preserve">y the Crab </w:t>
      </w:r>
      <w:r w:rsidR="00575487">
        <w:rPr>
          <w:spacing w:val="-3"/>
          <w:sz w:val="20"/>
          <w:szCs w:val="20"/>
        </w:rPr>
        <w:t>Plan Team in Jan 2017</w:t>
      </w:r>
    </w:p>
    <w:p w:rsidR="00BD49C1" w:rsidRDefault="007D62D3" w:rsidP="00282332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D</w:t>
      </w:r>
      <w:r w:rsidR="00BD49C1" w:rsidRPr="0001356B">
        <w:rPr>
          <w:spacing w:val="-3"/>
          <w:sz w:val="20"/>
          <w:szCs w:val="20"/>
        </w:rPr>
        <w:t>-Calculated from the assessment reviewed b</w:t>
      </w:r>
      <w:r w:rsidR="00575487">
        <w:rPr>
          <w:spacing w:val="-3"/>
          <w:sz w:val="20"/>
          <w:szCs w:val="20"/>
        </w:rPr>
        <w:t>y the Crab Plan Team in Jan 2018</w:t>
      </w:r>
    </w:p>
    <w:p w:rsidR="007D62D3" w:rsidRDefault="007D62D3" w:rsidP="007D62D3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E</w:t>
      </w:r>
      <w:r w:rsidRPr="0001356B">
        <w:rPr>
          <w:spacing w:val="-3"/>
          <w:sz w:val="20"/>
          <w:szCs w:val="20"/>
        </w:rPr>
        <w:t>-Calculated from the assessment reviewed b</w:t>
      </w:r>
      <w:r w:rsidR="00575487">
        <w:rPr>
          <w:spacing w:val="-3"/>
          <w:sz w:val="20"/>
          <w:szCs w:val="20"/>
        </w:rPr>
        <w:t>y the Crab Plan Team in Jan 2019</w:t>
      </w:r>
    </w:p>
    <w:p w:rsidR="007D62D3" w:rsidRDefault="007D62D3" w:rsidP="00282332">
      <w:pPr>
        <w:jc w:val="both"/>
        <w:rPr>
          <w:spacing w:val="-3"/>
          <w:sz w:val="20"/>
          <w:szCs w:val="20"/>
        </w:rPr>
      </w:pPr>
    </w:p>
    <w:p w:rsidR="00A80997" w:rsidRDefault="00A80997" w:rsidP="00282332">
      <w:pPr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Conversion t</w:t>
      </w:r>
      <w:r w:rsidR="00831E7A">
        <w:rPr>
          <w:spacing w:val="-3"/>
          <w:sz w:val="20"/>
          <w:szCs w:val="20"/>
        </w:rPr>
        <w:t>o Metric ton: 1 Metric ton</w:t>
      </w:r>
      <w:r w:rsidR="00530481">
        <w:rPr>
          <w:spacing w:val="-3"/>
          <w:sz w:val="20"/>
          <w:szCs w:val="20"/>
        </w:rPr>
        <w:t xml:space="preserve"> (t)</w:t>
      </w:r>
      <w:r w:rsidR="00831E7A">
        <w:rPr>
          <w:spacing w:val="-3"/>
          <w:sz w:val="20"/>
          <w:szCs w:val="20"/>
        </w:rPr>
        <w:t xml:space="preserve"> = 2.</w:t>
      </w:r>
      <w:r>
        <w:rPr>
          <w:spacing w:val="-3"/>
          <w:sz w:val="20"/>
          <w:szCs w:val="20"/>
        </w:rPr>
        <w:t>2</w:t>
      </w:r>
      <w:r w:rsidR="00831E7A">
        <w:rPr>
          <w:spacing w:val="-3"/>
          <w:sz w:val="20"/>
          <w:szCs w:val="20"/>
        </w:rPr>
        <w:t>0</w:t>
      </w:r>
      <w:r w:rsidR="008327F2">
        <w:rPr>
          <w:spacing w:val="-3"/>
          <w:sz w:val="20"/>
          <w:szCs w:val="20"/>
        </w:rPr>
        <w:t>46</w:t>
      </w:r>
      <w:r w:rsidR="00EE0EBD">
        <w:rPr>
          <w:spacing w:val="-3"/>
          <w:sz w:val="20"/>
          <w:szCs w:val="20"/>
        </w:rPr>
        <w:t>×</w:t>
      </w:r>
      <w:r>
        <w:rPr>
          <w:spacing w:val="-3"/>
          <w:sz w:val="20"/>
          <w:szCs w:val="20"/>
        </w:rPr>
        <w:t xml:space="preserve">1000 </w:t>
      </w:r>
      <w:proofErr w:type="spellStart"/>
      <w:r>
        <w:rPr>
          <w:spacing w:val="-3"/>
          <w:sz w:val="20"/>
          <w:szCs w:val="20"/>
        </w:rPr>
        <w:t>lb</w:t>
      </w:r>
      <w:proofErr w:type="spellEnd"/>
      <w:r>
        <w:rPr>
          <w:spacing w:val="-3"/>
          <w:sz w:val="20"/>
          <w:szCs w:val="20"/>
        </w:rPr>
        <w:t xml:space="preserve"> </w:t>
      </w:r>
    </w:p>
    <w:p w:rsidR="003F48E0" w:rsidRDefault="003F48E0" w:rsidP="00515F91">
      <w:pPr>
        <w:jc w:val="both"/>
        <w:rPr>
          <w:spacing w:val="-3"/>
          <w:sz w:val="20"/>
          <w:szCs w:val="20"/>
        </w:rPr>
      </w:pPr>
    </w:p>
    <w:p w:rsidR="00A123BF" w:rsidRPr="0001356B" w:rsidRDefault="00A123BF" w:rsidP="00515F91">
      <w:pPr>
        <w:jc w:val="both"/>
        <w:rPr>
          <w:spacing w:val="-3"/>
          <w:sz w:val="20"/>
          <w:szCs w:val="20"/>
        </w:rPr>
      </w:pPr>
    </w:p>
    <w:p w:rsidR="000E4B45" w:rsidRPr="00A123BF" w:rsidRDefault="00A123BF" w:rsidP="0071095B">
      <w:pPr>
        <w:jc w:val="both"/>
        <w:rPr>
          <w:spacing w:val="-3"/>
        </w:rPr>
      </w:pPr>
      <w:r w:rsidRPr="000E4B45">
        <w:rPr>
          <w:i/>
          <w:spacing w:val="-3"/>
        </w:rPr>
        <w:t>Biomass in millions of pounds</w:t>
      </w:r>
      <w:r w:rsidRPr="000E4B45">
        <w:rPr>
          <w:vanish/>
          <w:spacing w:val="-3"/>
        </w:rPr>
        <w:c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3"/>
        <w:gridCol w:w="656"/>
        <w:gridCol w:w="732"/>
        <w:gridCol w:w="1056"/>
        <w:gridCol w:w="989"/>
        <w:gridCol w:w="692"/>
        <w:gridCol w:w="1280"/>
        <w:gridCol w:w="636"/>
        <w:gridCol w:w="1092"/>
        <w:gridCol w:w="1712"/>
      </w:tblGrid>
      <w:tr w:rsidR="00E426E0" w:rsidRPr="001F2312" w:rsidTr="007610BA">
        <w:trPr>
          <w:trHeight w:val="89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58F" w:rsidRPr="001F2312" w:rsidRDefault="00CD658F" w:rsidP="00702417">
            <w:pPr>
              <w:jc w:val="center"/>
              <w:rPr>
                <w:b/>
                <w:bCs/>
              </w:rPr>
            </w:pPr>
            <w:r w:rsidRPr="001F2312">
              <w:rPr>
                <w:b/>
                <w:bCs/>
              </w:rPr>
              <w:t>Year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58F" w:rsidRPr="001F2312" w:rsidRDefault="00CD658F" w:rsidP="007024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58F" w:rsidRPr="001F2312" w:rsidRDefault="00CD658F" w:rsidP="00702417">
            <w:pPr>
              <w:jc w:val="center"/>
              <w:rPr>
                <w:b/>
                <w:bCs/>
              </w:rPr>
            </w:pPr>
            <w:r w:rsidRPr="001F2312">
              <w:rPr>
                <w:b/>
                <w:bCs/>
              </w:rPr>
              <w:t>B</w:t>
            </w:r>
            <w:r w:rsidRPr="001F2312">
              <w:rPr>
                <w:b/>
                <w:bCs/>
                <w:vertAlign w:val="subscript"/>
              </w:rPr>
              <w:t>MSY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58F" w:rsidRPr="001F2312" w:rsidRDefault="00CD658F" w:rsidP="007024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Current MMB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58F" w:rsidRPr="001F2312" w:rsidRDefault="00CD658F" w:rsidP="007024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B/B</w:t>
            </w:r>
            <w:r w:rsidRPr="001F2312">
              <w:rPr>
                <w:b/>
                <w:bCs/>
                <w:vertAlign w:val="subscript"/>
              </w:rPr>
              <w:t>MSY</w:t>
            </w:r>
            <w:r>
              <w:rPr>
                <w:b/>
                <w:bCs/>
              </w:rPr>
              <w:t xml:space="preserve"> (MMB)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D658F" w:rsidRPr="001F2312" w:rsidRDefault="00CD658F" w:rsidP="007024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1F2312">
              <w:rPr>
                <w:b/>
                <w:bCs/>
                <w:vertAlign w:val="subscript"/>
              </w:rPr>
              <w:t>OFL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58F" w:rsidRDefault="00CD658F" w:rsidP="007024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Years to define</w:t>
            </w:r>
          </w:p>
          <w:p w:rsidR="00CD658F" w:rsidRPr="001F2312" w:rsidRDefault="00CD658F" w:rsidP="007024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1F2312">
              <w:rPr>
                <w:b/>
                <w:bCs/>
                <w:vertAlign w:val="subscript"/>
              </w:rPr>
              <w:t>MSY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658F" w:rsidRPr="001F2312" w:rsidRDefault="00CD658F" w:rsidP="00702417">
            <w:pPr>
              <w:ind w:left="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D658F" w:rsidRDefault="00786989" w:rsidP="00702417">
            <w:pPr>
              <w:ind w:left="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1-Buffer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D658F" w:rsidRDefault="00DB7B64" w:rsidP="00702417">
            <w:pPr>
              <w:ind w:left="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Retained ABC</w:t>
            </w:r>
          </w:p>
        </w:tc>
      </w:tr>
      <w:tr w:rsidR="00575487" w:rsidRPr="001F2312" w:rsidTr="007610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4.81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5.13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487" w:rsidRDefault="00575487" w:rsidP="00EB386C">
            <w:pPr>
              <w:jc w:val="center"/>
            </w:pPr>
            <w:r>
              <w:t>0.18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1980-2015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487" w:rsidRDefault="00575487" w:rsidP="00EB386C">
            <w:pPr>
              <w:jc w:val="center"/>
            </w:pPr>
            <w: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487" w:rsidRDefault="00575487" w:rsidP="00EB386C">
            <w:pPr>
              <w:jc w:val="center"/>
            </w:pPr>
            <w:r>
              <w:t>0.58</w:t>
            </w:r>
          </w:p>
        </w:tc>
      </w:tr>
      <w:tr w:rsidR="00575487" w:rsidRPr="001F2312" w:rsidTr="007610B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4.53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5.87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487" w:rsidRDefault="00575487" w:rsidP="00EB386C">
            <w:pPr>
              <w:jc w:val="center"/>
            </w:pPr>
            <w:r>
              <w:t>0.18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1980-2016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487" w:rsidRDefault="00575487" w:rsidP="00EB386C">
            <w:pPr>
              <w:jc w:val="center"/>
            </w:pPr>
            <w: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487" w:rsidRDefault="00575487" w:rsidP="00EB386C">
            <w:pPr>
              <w:jc w:val="center"/>
            </w:pPr>
            <w:r>
              <w:t>0.57</w:t>
            </w:r>
          </w:p>
        </w:tc>
      </w:tr>
      <w:tr w:rsidR="00575487" w:rsidRPr="001F2312" w:rsidTr="00EB38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75487" w:rsidRDefault="00575487" w:rsidP="00EB386C">
            <w:pPr>
              <w:jc w:val="center"/>
            </w:pPr>
            <w:r>
              <w:rPr>
                <w:rFonts w:eastAsia="Times New Roman"/>
                <w:color w:val="000000"/>
                <w:lang w:eastAsia="en-US"/>
              </w:rPr>
              <w:t>4.62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75487" w:rsidRDefault="00575487" w:rsidP="00EB386C">
            <w:pPr>
              <w:jc w:val="center"/>
            </w:pPr>
            <w:r>
              <w:rPr>
                <w:rFonts w:eastAsia="Times New Roman"/>
                <w:color w:val="000000"/>
                <w:lang w:eastAsia="en-US"/>
              </w:rPr>
              <w:t>5.14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75487" w:rsidRDefault="00575487" w:rsidP="00EB386C">
            <w:pPr>
              <w:jc w:val="center"/>
            </w:pPr>
            <w:r>
              <w:rPr>
                <w:rFonts w:eastAsia="Times New Roman"/>
                <w:color w:val="000000"/>
                <w:lang w:eastAsia="en-US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5487" w:rsidRDefault="00575487" w:rsidP="00EB386C">
            <w:r>
              <w:rPr>
                <w:rFonts w:eastAsia="Times New Roman"/>
                <w:color w:val="000000"/>
                <w:lang w:eastAsia="en-US"/>
              </w:rPr>
              <w:t>0.18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1980-2017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487" w:rsidRDefault="00575487" w:rsidP="00EB386C">
            <w:pPr>
              <w:jc w:val="center"/>
            </w:pPr>
            <w: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487" w:rsidRDefault="00575487" w:rsidP="00EB386C">
            <w:pPr>
              <w:jc w:val="center"/>
            </w:pPr>
            <w:r>
              <w:rPr>
                <w:rFonts w:eastAsia="Times New Roman"/>
                <w:color w:val="000000"/>
                <w:lang w:eastAsia="en-US"/>
              </w:rPr>
              <w:t>0.54</w:t>
            </w:r>
          </w:p>
        </w:tc>
      </w:tr>
      <w:tr w:rsidR="00575487" w:rsidRPr="001F2312" w:rsidTr="007D62D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75487" w:rsidRDefault="00575487" w:rsidP="00EB386C">
            <w:r>
              <w:t xml:space="preserve"> 4.82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75487" w:rsidRDefault="00575487" w:rsidP="00EB386C">
            <w:pPr>
              <w:jc w:val="center"/>
            </w:pPr>
            <w:r>
              <w:t>4.08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75487" w:rsidRDefault="00575487" w:rsidP="00EB386C">
            <w:pPr>
              <w:jc w:val="center"/>
            </w:pPr>
            <w: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5487" w:rsidRDefault="00575487" w:rsidP="00EB386C">
            <w:r>
              <w:rPr>
                <w:rFonts w:eastAsia="Times New Roman"/>
                <w:color w:val="000000"/>
                <w:lang w:eastAsia="en-US"/>
              </w:rPr>
              <w:t>0.15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1980-2018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487" w:rsidRDefault="00575487" w:rsidP="00EB386C">
            <w:pPr>
              <w:jc w:val="center"/>
            </w:pPr>
            <w: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487" w:rsidRDefault="00575487" w:rsidP="00EB386C">
            <w:pPr>
              <w:jc w:val="center"/>
            </w:pPr>
            <w:r>
              <w:t>0.35</w:t>
            </w:r>
          </w:p>
        </w:tc>
      </w:tr>
      <w:tr w:rsidR="00575487" w:rsidRPr="001F2312" w:rsidTr="00CB74AB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575487">
            <w:pPr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5487" w:rsidRDefault="00C37423" w:rsidP="00575487">
            <w:pPr>
              <w:jc w:val="center"/>
            </w:pPr>
            <w:r>
              <w:t>4b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75487" w:rsidRDefault="00D06BE4" w:rsidP="00575487">
            <w:r>
              <w:t xml:space="preserve"> 4.5</w:t>
            </w:r>
            <w:r w:rsidR="007534DA"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75487" w:rsidRDefault="00D06BE4" w:rsidP="00575487">
            <w:pPr>
              <w:jc w:val="center"/>
            </w:pPr>
            <w:r>
              <w:t>3.1</w:t>
            </w:r>
            <w:r w:rsidR="007534DA"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75487" w:rsidRDefault="00D06BE4" w:rsidP="00575487">
            <w:pPr>
              <w:jc w:val="center"/>
            </w:pPr>
            <w: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487" w:rsidRDefault="00D06BE4" w:rsidP="00575487">
            <w:r>
              <w:t>0.12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575487">
            <w:pPr>
              <w:jc w:val="center"/>
            </w:pPr>
            <w:r>
              <w:t>1980-2019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575487">
            <w:pPr>
              <w:jc w:val="center"/>
            </w:pPr>
            <w: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5487" w:rsidRDefault="00575487" w:rsidP="00575487">
            <w:pPr>
              <w:jc w:val="center"/>
            </w:pPr>
            <w: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5487" w:rsidRDefault="00B243ED" w:rsidP="00575487">
            <w:pPr>
              <w:jc w:val="center"/>
            </w:pPr>
            <w:r>
              <w:t>0.19</w:t>
            </w:r>
          </w:p>
        </w:tc>
      </w:tr>
    </w:tbl>
    <w:p w:rsidR="00ED2E4A" w:rsidRDefault="00ED2E4A" w:rsidP="00DB7A86">
      <w:pPr>
        <w:jc w:val="both"/>
        <w:rPr>
          <w:vertAlign w:val="superscript"/>
        </w:rPr>
      </w:pPr>
    </w:p>
    <w:p w:rsidR="009E75F6" w:rsidRPr="009E75F6" w:rsidRDefault="00633BE9" w:rsidP="000E4B45">
      <w:pPr>
        <w:jc w:val="both"/>
        <w:rPr>
          <w:i/>
          <w:spacing w:val="-3"/>
        </w:rPr>
      </w:pPr>
      <w:r>
        <w:rPr>
          <w:i/>
          <w:spacing w:val="-3"/>
        </w:rPr>
        <w:t>Biomass in 1000</w:t>
      </w:r>
      <w:r w:rsidR="009E75F6" w:rsidRPr="009E75F6">
        <w:rPr>
          <w:i/>
          <w:spacing w:val="-3"/>
        </w:rPr>
        <w:t>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3"/>
        <w:gridCol w:w="656"/>
        <w:gridCol w:w="732"/>
        <w:gridCol w:w="1056"/>
        <w:gridCol w:w="989"/>
        <w:gridCol w:w="692"/>
        <w:gridCol w:w="1280"/>
        <w:gridCol w:w="636"/>
        <w:gridCol w:w="1092"/>
        <w:gridCol w:w="1712"/>
      </w:tblGrid>
      <w:tr w:rsidR="000E4B45" w:rsidRPr="001F2312" w:rsidTr="0070241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4B45" w:rsidRPr="001F2312" w:rsidRDefault="000E4B45" w:rsidP="00702417">
            <w:pPr>
              <w:jc w:val="center"/>
              <w:rPr>
                <w:b/>
                <w:bCs/>
              </w:rPr>
            </w:pPr>
            <w:r w:rsidRPr="001F2312">
              <w:rPr>
                <w:b/>
                <w:bCs/>
              </w:rPr>
              <w:t>Year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4B45" w:rsidRPr="001F2312" w:rsidRDefault="000E4B45" w:rsidP="007024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4B45" w:rsidRPr="001F2312" w:rsidRDefault="000E4B45" w:rsidP="00702417">
            <w:pPr>
              <w:jc w:val="center"/>
              <w:rPr>
                <w:b/>
                <w:bCs/>
              </w:rPr>
            </w:pPr>
            <w:r w:rsidRPr="001F2312">
              <w:rPr>
                <w:b/>
                <w:bCs/>
              </w:rPr>
              <w:t>B</w:t>
            </w:r>
            <w:r w:rsidRPr="001F2312">
              <w:rPr>
                <w:b/>
                <w:bCs/>
                <w:vertAlign w:val="subscript"/>
              </w:rPr>
              <w:t>MSY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4B45" w:rsidRPr="001F2312" w:rsidRDefault="000E4B45" w:rsidP="007024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Current MMB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4B45" w:rsidRPr="001F2312" w:rsidRDefault="000E4B45" w:rsidP="007024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B/B</w:t>
            </w:r>
            <w:r w:rsidRPr="001F2312">
              <w:rPr>
                <w:b/>
                <w:bCs/>
                <w:vertAlign w:val="subscript"/>
              </w:rPr>
              <w:t>MSY</w:t>
            </w:r>
            <w:r>
              <w:rPr>
                <w:b/>
                <w:bCs/>
              </w:rPr>
              <w:t xml:space="preserve"> (MMB)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4B45" w:rsidRPr="001F2312" w:rsidRDefault="000E4B45" w:rsidP="007024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1F2312">
              <w:rPr>
                <w:b/>
                <w:bCs/>
                <w:vertAlign w:val="subscript"/>
              </w:rPr>
              <w:t>OFL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4B45" w:rsidRDefault="000E4B45" w:rsidP="007024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Years to define</w:t>
            </w:r>
          </w:p>
          <w:p w:rsidR="000E4B45" w:rsidRPr="001F2312" w:rsidRDefault="000E4B45" w:rsidP="007024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1F2312">
              <w:rPr>
                <w:b/>
                <w:bCs/>
                <w:vertAlign w:val="subscript"/>
              </w:rPr>
              <w:t>MSY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4B45" w:rsidRPr="001F2312" w:rsidRDefault="00E426E0" w:rsidP="00702417">
            <w:pPr>
              <w:ind w:left="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0E4B45">
              <w:rPr>
                <w:b/>
                <w:bCs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4B45" w:rsidRDefault="00342C9D" w:rsidP="00702417">
            <w:pPr>
              <w:ind w:left="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1-Buffer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E4B45" w:rsidRDefault="00DB7B64" w:rsidP="00702417">
            <w:pPr>
              <w:ind w:left="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Retained ABC</w:t>
            </w:r>
          </w:p>
        </w:tc>
      </w:tr>
      <w:tr w:rsidR="00575487" w:rsidRPr="001F2312" w:rsidTr="00702417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2.18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2.33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487" w:rsidRDefault="00575487" w:rsidP="00EB386C">
            <w:pPr>
              <w:jc w:val="center"/>
            </w:pPr>
            <w:r>
              <w:t>0.18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1980-2015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487" w:rsidRDefault="00575487" w:rsidP="00EB386C">
            <w:pPr>
              <w:jc w:val="center"/>
            </w:pPr>
            <w: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487" w:rsidRDefault="00575487" w:rsidP="00EB386C">
            <w:pPr>
              <w:jc w:val="center"/>
            </w:pPr>
            <w:r>
              <w:t>0.26</w:t>
            </w:r>
          </w:p>
        </w:tc>
      </w:tr>
      <w:tr w:rsidR="00575487" w:rsidRPr="001F2312" w:rsidTr="004E66C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2.06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2.66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487" w:rsidRDefault="00575487" w:rsidP="00EB386C">
            <w:pPr>
              <w:jc w:val="center"/>
            </w:pPr>
            <w:r>
              <w:t>0.18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1980-2016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487" w:rsidRDefault="00575487" w:rsidP="00EB386C">
            <w:pPr>
              <w:jc w:val="center"/>
            </w:pPr>
            <w: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487" w:rsidRDefault="00575487" w:rsidP="00EB386C">
            <w:pPr>
              <w:jc w:val="center"/>
            </w:pPr>
            <w:r>
              <w:t>0.26</w:t>
            </w:r>
          </w:p>
        </w:tc>
      </w:tr>
      <w:tr w:rsidR="00575487" w:rsidRPr="001F2312" w:rsidTr="00EB38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75487" w:rsidRDefault="00575487" w:rsidP="00EB386C">
            <w:pPr>
              <w:jc w:val="center"/>
            </w:pPr>
            <w:r>
              <w:t>2.10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75487" w:rsidRDefault="00575487" w:rsidP="00EB386C">
            <w:pPr>
              <w:jc w:val="center"/>
            </w:pPr>
            <w:r>
              <w:t>2.33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75487" w:rsidRDefault="00575487" w:rsidP="00EB386C">
            <w:pPr>
              <w:jc w:val="center"/>
            </w:pPr>
            <w:r>
              <w:rPr>
                <w:rFonts w:eastAsia="Times New Roman"/>
                <w:color w:val="000000"/>
                <w:lang w:eastAsia="en-US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487" w:rsidRDefault="00575487" w:rsidP="00EB386C">
            <w:pPr>
              <w:jc w:val="center"/>
            </w:pPr>
            <w:r>
              <w:t>0.18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1980-2017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487" w:rsidRDefault="00575487" w:rsidP="00EB386C">
            <w:pPr>
              <w:jc w:val="center"/>
            </w:pPr>
            <w: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487" w:rsidRDefault="00575487" w:rsidP="00EB386C">
            <w:pPr>
              <w:jc w:val="center"/>
            </w:pPr>
            <w:r>
              <w:t>0.24</w:t>
            </w:r>
          </w:p>
        </w:tc>
      </w:tr>
      <w:tr w:rsidR="00575487" w:rsidRPr="001F2312" w:rsidTr="00EB38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75487" w:rsidRDefault="00575487" w:rsidP="00EB386C">
            <w:pPr>
              <w:jc w:val="center"/>
            </w:pPr>
            <w:r>
              <w:t>2.18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75487" w:rsidRDefault="00575487" w:rsidP="00EB386C">
            <w:pPr>
              <w:jc w:val="center"/>
            </w:pPr>
            <w:r>
              <w:t>1.85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75487" w:rsidRDefault="00575487" w:rsidP="00EB386C">
            <w:pPr>
              <w:jc w:val="center"/>
            </w:pPr>
            <w: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5487" w:rsidRDefault="00575487" w:rsidP="00EB386C">
            <w:pPr>
              <w:jc w:val="center"/>
            </w:pPr>
            <w:r>
              <w:rPr>
                <w:rFonts w:eastAsia="Times New Roman"/>
                <w:color w:val="000000"/>
                <w:lang w:eastAsia="en-US"/>
              </w:rPr>
              <w:t>0.15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1980-2018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EB386C">
            <w:pPr>
              <w:jc w:val="center"/>
            </w:pPr>
            <w: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487" w:rsidRDefault="00575487" w:rsidP="00EB386C">
            <w:pPr>
              <w:jc w:val="center"/>
            </w:pPr>
            <w: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487" w:rsidRDefault="00575487" w:rsidP="00EB386C">
            <w:pPr>
              <w:jc w:val="center"/>
            </w:pPr>
            <w:r>
              <w:t>0.16</w:t>
            </w:r>
          </w:p>
        </w:tc>
      </w:tr>
      <w:tr w:rsidR="00575487" w:rsidRPr="001F2312" w:rsidTr="00444A25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575487">
            <w:pPr>
              <w:jc w:val="center"/>
            </w:pPr>
            <w: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5487" w:rsidRDefault="00C37423" w:rsidP="00575487">
            <w:pPr>
              <w:jc w:val="center"/>
            </w:pPr>
            <w:r>
              <w:t>4b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75487" w:rsidRDefault="00B243ED" w:rsidP="00575487">
            <w:pPr>
              <w:jc w:val="center"/>
            </w:pPr>
            <w:r>
              <w:t>2.06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75487" w:rsidRDefault="00B243ED" w:rsidP="00575487">
            <w:pPr>
              <w:jc w:val="center"/>
            </w:pPr>
            <w:r>
              <w:t>1.41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75487" w:rsidRDefault="00D06BE4" w:rsidP="00575487">
            <w:pPr>
              <w:jc w:val="center"/>
            </w:pPr>
            <w: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487" w:rsidRDefault="00B243ED" w:rsidP="00575487">
            <w:pPr>
              <w:jc w:val="center"/>
            </w:pPr>
            <w:r>
              <w:t>0.12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575487">
            <w:pPr>
              <w:jc w:val="center"/>
            </w:pPr>
            <w:r>
              <w:t>1980-2019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5487" w:rsidRDefault="00575487" w:rsidP="00575487">
            <w:pPr>
              <w:jc w:val="center"/>
            </w:pPr>
            <w: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5487" w:rsidRDefault="00575487" w:rsidP="00575487">
            <w:pPr>
              <w:jc w:val="center"/>
            </w:pPr>
            <w: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5487" w:rsidRDefault="009B4B72" w:rsidP="00575487">
            <w:pPr>
              <w:jc w:val="center"/>
            </w:pPr>
            <w:r>
              <w:t>TBD</w:t>
            </w:r>
          </w:p>
        </w:tc>
      </w:tr>
    </w:tbl>
    <w:p w:rsidR="004C66A0" w:rsidRDefault="004C66A0" w:rsidP="004C66A0">
      <w:pPr>
        <w:ind w:left="720"/>
        <w:jc w:val="both"/>
        <w:rPr>
          <w:sz w:val="20"/>
          <w:szCs w:val="20"/>
        </w:rPr>
      </w:pPr>
    </w:p>
    <w:p w:rsidR="004C66A0" w:rsidRDefault="004C66A0" w:rsidP="00556C01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</w:p>
    <w:p w:rsidR="00AD58A3" w:rsidRPr="007A4AEE" w:rsidRDefault="004C66A0" w:rsidP="004F27CE">
      <w:pPr>
        <w:pStyle w:val="ListParagraph"/>
        <w:numPr>
          <w:ilvl w:val="0"/>
          <w:numId w:val="10"/>
        </w:numPr>
        <w:jc w:val="both"/>
      </w:pPr>
      <w:r w:rsidRPr="007A4AEE">
        <w:t>Probability Density Function of the OFL</w:t>
      </w:r>
      <w:r w:rsidR="009B21AE">
        <w:t xml:space="preserve">, </w:t>
      </w:r>
      <w:r w:rsidR="00240BAE" w:rsidRPr="007A4AEE">
        <w:t xml:space="preserve">OFL </w:t>
      </w:r>
      <w:r w:rsidR="00F97760" w:rsidRPr="007A4AEE">
        <w:t>profile</w:t>
      </w:r>
      <w:r w:rsidR="009B21AE">
        <w:t xml:space="preserve">, and </w:t>
      </w:r>
      <w:proofErr w:type="spellStart"/>
      <w:r w:rsidR="007D2A25" w:rsidRPr="007A4AEE">
        <w:t>mcmc</w:t>
      </w:r>
      <w:proofErr w:type="spellEnd"/>
      <w:r w:rsidR="007D2A25" w:rsidRPr="007A4AEE">
        <w:t xml:space="preserve"> estimates.</w:t>
      </w:r>
      <w:r w:rsidR="000905EE" w:rsidRPr="007A4AEE">
        <w:t xml:space="preserve"> </w:t>
      </w:r>
    </w:p>
    <w:p w:rsidR="007053CA" w:rsidRDefault="007053CA" w:rsidP="004C66A0">
      <w:pPr>
        <w:jc w:val="both"/>
        <w:rPr>
          <w:noProof/>
        </w:rPr>
      </w:pPr>
    </w:p>
    <w:p w:rsidR="007D62D3" w:rsidRPr="00F72451" w:rsidRDefault="0024255C" w:rsidP="008718A5">
      <w:pPr>
        <w:ind w:left="720"/>
        <w:jc w:val="both"/>
        <w:rPr>
          <w:b/>
          <w:noProof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EF4475C">
            <wp:simplePos x="1371600" y="1092200"/>
            <wp:positionH relativeFrom="column">
              <wp:align>left</wp:align>
            </wp:positionH>
            <wp:positionV relativeFrom="paragraph">
              <wp:align>top</wp:align>
            </wp:positionV>
            <wp:extent cx="4572000" cy="3539067"/>
            <wp:effectExtent l="0" t="0" r="0" b="0"/>
            <wp:wrapSquare wrapText="bothSides"/>
            <wp:docPr id="19" name="Chart 1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>
        <w:rPr>
          <w:b/>
          <w:noProof/>
        </w:rPr>
        <w:br w:type="textWrapping" w:clear="all"/>
      </w:r>
    </w:p>
    <w:p w:rsidR="00F72451" w:rsidRPr="00F72451" w:rsidRDefault="00F72451" w:rsidP="004C66A0">
      <w:pPr>
        <w:jc w:val="both"/>
        <w:rPr>
          <w:b/>
        </w:rPr>
      </w:pPr>
    </w:p>
    <w:p w:rsidR="007053CA" w:rsidRPr="007A4AEE" w:rsidRDefault="00A95C00" w:rsidP="004F27CE">
      <w:pPr>
        <w:pStyle w:val="ListParagraph"/>
        <w:numPr>
          <w:ilvl w:val="0"/>
          <w:numId w:val="10"/>
        </w:numPr>
        <w:jc w:val="both"/>
      </w:pPr>
      <w:r w:rsidRPr="007A4AEE">
        <w:t>The basis for the ABC recommendation</w:t>
      </w:r>
    </w:p>
    <w:p w:rsidR="00AD58A3" w:rsidRPr="007A4AEE" w:rsidRDefault="00AD58A3" w:rsidP="00A95C00">
      <w:pPr>
        <w:jc w:val="both"/>
      </w:pPr>
    </w:p>
    <w:p w:rsidR="000905EE" w:rsidRPr="007A4AEE" w:rsidRDefault="00A551FD" w:rsidP="007610BA">
      <w:pPr>
        <w:ind w:left="720"/>
        <w:jc w:val="both"/>
      </w:pPr>
      <w:r w:rsidRPr="007A4AEE">
        <w:t xml:space="preserve">For Tier 4 stocks, </w:t>
      </w:r>
      <w:r w:rsidR="003C564A" w:rsidRPr="007A4AEE">
        <w:t xml:space="preserve">the </w:t>
      </w:r>
      <w:r w:rsidRPr="007A4AEE">
        <w:t xml:space="preserve">default </w:t>
      </w:r>
      <w:r w:rsidR="003C564A" w:rsidRPr="007A4AEE">
        <w:t xml:space="preserve">maximum </w:t>
      </w:r>
      <w:r w:rsidR="003E5B69" w:rsidRPr="007A4AEE">
        <w:t xml:space="preserve">ABC is </w:t>
      </w:r>
      <w:r w:rsidR="00067B86" w:rsidRPr="007A4AEE">
        <w:t xml:space="preserve">based on </w:t>
      </w:r>
      <w:r w:rsidR="003E5B69" w:rsidRPr="007A4AEE">
        <w:t>P*=49</w:t>
      </w:r>
      <w:r w:rsidR="00067B86" w:rsidRPr="007A4AEE">
        <w:t>%</w:t>
      </w:r>
      <w:r w:rsidR="003E5B69" w:rsidRPr="007A4AEE">
        <w:t xml:space="preserve"> that is </w:t>
      </w:r>
      <w:r w:rsidRPr="007A4AEE">
        <w:t>essentially identical to the OFL</w:t>
      </w:r>
      <w:r w:rsidR="002A06C1" w:rsidRPr="007A4AEE">
        <w:t xml:space="preserve">. </w:t>
      </w:r>
      <w:r w:rsidR="00760213" w:rsidRPr="007A4AEE">
        <w:t>A</w:t>
      </w:r>
      <w:r w:rsidR="0094465D" w:rsidRPr="007A4AEE">
        <w:t>ccount</w:t>
      </w:r>
      <w:r w:rsidR="00760213" w:rsidRPr="007A4AEE">
        <w:t>ing</w:t>
      </w:r>
      <w:r w:rsidR="0094465D" w:rsidRPr="007A4AEE">
        <w:t xml:space="preserve"> for uncertaintie</w:t>
      </w:r>
      <w:r w:rsidR="00760213" w:rsidRPr="007A4AEE">
        <w:t xml:space="preserve">s in assessment and model results, the </w:t>
      </w:r>
      <w:r w:rsidR="00067B86" w:rsidRPr="007A4AEE">
        <w:t>SSC</w:t>
      </w:r>
      <w:r w:rsidR="00760213" w:rsidRPr="007A4AEE">
        <w:t xml:space="preserve"> chose to use 90% OFL </w:t>
      </w:r>
      <w:r w:rsidR="003C564A" w:rsidRPr="007A4AEE">
        <w:t xml:space="preserve">(10% Buffer) </w:t>
      </w:r>
      <w:r w:rsidR="00760213" w:rsidRPr="007A4AEE">
        <w:t>for the Norton Sound red king crab stock</w:t>
      </w:r>
      <w:r w:rsidR="00AD33D6" w:rsidRPr="007A4AEE">
        <w:t xml:space="preserve"> from</w:t>
      </w:r>
      <w:r w:rsidR="00633BE9" w:rsidRPr="007A4AEE">
        <w:t xml:space="preserve"> 2011</w:t>
      </w:r>
      <w:r w:rsidR="00AD33D6" w:rsidRPr="007A4AEE">
        <w:t xml:space="preserve"> to 2014</w:t>
      </w:r>
      <w:r w:rsidR="006C4C54">
        <w:t xml:space="preserve">. </w:t>
      </w:r>
      <w:r w:rsidR="00DE63F5" w:rsidRPr="007A4AEE">
        <w:t xml:space="preserve">In 2015, the buffer </w:t>
      </w:r>
      <w:r w:rsidR="00AD33D6" w:rsidRPr="007A4AEE">
        <w:t xml:space="preserve">was increased </w:t>
      </w:r>
      <w:r w:rsidR="00DE63F5" w:rsidRPr="007A4AEE">
        <w:t xml:space="preserve">to </w:t>
      </w:r>
      <w:r w:rsidR="00A74017" w:rsidRPr="007A4AEE">
        <w:t xml:space="preserve">20% (ABC = 80% OFL). </w:t>
      </w:r>
    </w:p>
    <w:p w:rsidR="00A95C00" w:rsidRPr="007A4AEE" w:rsidRDefault="00C65EE1" w:rsidP="00C65EE1">
      <w:pPr>
        <w:tabs>
          <w:tab w:val="left" w:pos="2630"/>
        </w:tabs>
        <w:jc w:val="both"/>
      </w:pPr>
      <w:r w:rsidRPr="007A4AEE">
        <w:tab/>
      </w:r>
    </w:p>
    <w:p w:rsidR="00A95C00" w:rsidRPr="007A4AEE" w:rsidRDefault="00EB7A9B" w:rsidP="004F27CE">
      <w:pPr>
        <w:pStyle w:val="ListParagraph"/>
        <w:numPr>
          <w:ilvl w:val="0"/>
          <w:numId w:val="10"/>
        </w:numPr>
        <w:tabs>
          <w:tab w:val="left" w:pos="10350"/>
        </w:tabs>
        <w:jc w:val="both"/>
      </w:pPr>
      <w:r w:rsidRPr="007A4AEE">
        <w:t xml:space="preserve">A summary of the results of any rebuilding analyses. </w:t>
      </w:r>
      <w:r w:rsidR="00C65EE1" w:rsidRPr="007A4AEE">
        <w:tab/>
      </w:r>
    </w:p>
    <w:p w:rsidR="009B21AE" w:rsidRDefault="009B21AE" w:rsidP="007610BA">
      <w:pPr>
        <w:tabs>
          <w:tab w:val="left" w:pos="720"/>
          <w:tab w:val="left" w:pos="2880"/>
          <w:tab w:val="left" w:pos="7463"/>
        </w:tabs>
        <w:ind w:left="720"/>
        <w:jc w:val="both"/>
      </w:pPr>
    </w:p>
    <w:p w:rsidR="0039010C" w:rsidRPr="007A4AEE" w:rsidRDefault="00EB7A9B" w:rsidP="007610BA">
      <w:pPr>
        <w:tabs>
          <w:tab w:val="left" w:pos="720"/>
          <w:tab w:val="left" w:pos="2880"/>
          <w:tab w:val="left" w:pos="7463"/>
        </w:tabs>
        <w:ind w:firstLine="720"/>
        <w:jc w:val="both"/>
      </w:pPr>
      <w:r w:rsidRPr="007A4AEE">
        <w:t>N/A</w:t>
      </w:r>
    </w:p>
    <w:p w:rsidR="00EB7A9B" w:rsidRPr="007A4AEE" w:rsidRDefault="00C65EE1" w:rsidP="0071483F">
      <w:pPr>
        <w:ind w:left="720"/>
        <w:jc w:val="both"/>
      </w:pPr>
      <w:r w:rsidRPr="007A4AEE">
        <w:t xml:space="preserve"> </w:t>
      </w:r>
    </w:p>
    <w:p w:rsidR="0049196C" w:rsidRPr="007A4AEE" w:rsidRDefault="0049196C" w:rsidP="004F27CE">
      <w:pPr>
        <w:pStyle w:val="ListParagraph"/>
        <w:numPr>
          <w:ilvl w:val="0"/>
          <w:numId w:val="3"/>
        </w:numPr>
        <w:spacing w:line="360" w:lineRule="auto"/>
        <w:ind w:left="360"/>
        <w:rPr>
          <w:b/>
          <w:i/>
        </w:rPr>
      </w:pPr>
      <w:r w:rsidRPr="007A4AEE">
        <w:rPr>
          <w:b/>
          <w:i/>
        </w:rPr>
        <w:t>Summary of Major Changes in 20</w:t>
      </w:r>
      <w:r w:rsidR="00AB572B" w:rsidRPr="007A4AEE">
        <w:rPr>
          <w:b/>
          <w:i/>
        </w:rPr>
        <w:t>1</w:t>
      </w:r>
      <w:r w:rsidR="000A5CEE">
        <w:rPr>
          <w:b/>
          <w:i/>
        </w:rPr>
        <w:t>8</w:t>
      </w:r>
    </w:p>
    <w:p w:rsidR="00AB40A3" w:rsidRPr="007A4AEE" w:rsidRDefault="007A481A" w:rsidP="00AB40A3">
      <w:pPr>
        <w:pStyle w:val="ListParagraph"/>
        <w:numPr>
          <w:ilvl w:val="0"/>
          <w:numId w:val="1"/>
        </w:numPr>
        <w:spacing w:after="120"/>
        <w:contextualSpacing w:val="0"/>
        <w:jc w:val="both"/>
      </w:pPr>
      <w:r w:rsidRPr="007A4AEE">
        <w:t>Changes to the management of the fishery</w:t>
      </w:r>
      <w:r w:rsidRPr="007A4AEE">
        <w:rPr>
          <w:b/>
        </w:rPr>
        <w:t xml:space="preserve">:  </w:t>
      </w:r>
    </w:p>
    <w:p w:rsidR="00933DE0" w:rsidRPr="007A4AEE" w:rsidRDefault="000A5CEE" w:rsidP="00933DE0">
      <w:pPr>
        <w:pStyle w:val="ListParagraph"/>
        <w:spacing w:after="120"/>
        <w:contextualSpacing w:val="0"/>
        <w:jc w:val="both"/>
      </w:pPr>
      <w:r>
        <w:t xml:space="preserve">None </w:t>
      </w:r>
    </w:p>
    <w:p w:rsidR="003E5B69" w:rsidRPr="007A4AEE" w:rsidRDefault="007A481A" w:rsidP="004E66CC">
      <w:pPr>
        <w:pStyle w:val="ListParagraph"/>
        <w:numPr>
          <w:ilvl w:val="0"/>
          <w:numId w:val="1"/>
        </w:numPr>
        <w:spacing w:after="120"/>
        <w:contextualSpacing w:val="0"/>
        <w:jc w:val="both"/>
      </w:pPr>
      <w:r w:rsidRPr="007A4AEE">
        <w:t>Changes to the input data</w:t>
      </w:r>
    </w:p>
    <w:p w:rsidR="000A5CEE" w:rsidRDefault="00A74017" w:rsidP="007610BA">
      <w:pPr>
        <w:numPr>
          <w:ilvl w:val="1"/>
          <w:numId w:val="1"/>
        </w:numPr>
        <w:spacing w:after="120"/>
      </w:pPr>
      <w:r w:rsidRPr="007A4AEE">
        <w:t>Data update</w:t>
      </w:r>
      <w:r w:rsidR="007D62D3">
        <w:t xml:space="preserve">: </w:t>
      </w:r>
    </w:p>
    <w:p w:rsidR="00933DE0" w:rsidRDefault="007D62D3" w:rsidP="000A5CEE">
      <w:pPr>
        <w:numPr>
          <w:ilvl w:val="2"/>
          <w:numId w:val="1"/>
        </w:numPr>
        <w:spacing w:after="120"/>
      </w:pPr>
      <w:r>
        <w:t>1977-201</w:t>
      </w:r>
      <w:r w:rsidR="000A5CEE">
        <w:t>8</w:t>
      </w:r>
      <w:r w:rsidR="00BD49C1" w:rsidRPr="007A4AEE">
        <w:t xml:space="preserve"> </w:t>
      </w:r>
      <w:r w:rsidR="00282332" w:rsidRPr="007A4AEE">
        <w:t>standardize</w:t>
      </w:r>
      <w:r w:rsidR="005E6CED" w:rsidRPr="007A4AEE">
        <w:t>d commercial catch CPUE and CV</w:t>
      </w:r>
      <w:r w:rsidR="006C4C54">
        <w:t xml:space="preserve">. </w:t>
      </w:r>
      <w:r w:rsidR="00A74017" w:rsidRPr="007A4AEE">
        <w:t xml:space="preserve">No changes in standardization methodology </w:t>
      </w:r>
      <w:r w:rsidR="009D3C4B">
        <w:t>(NPFMC</w:t>
      </w:r>
      <w:r w:rsidR="00A74017" w:rsidRPr="007A4AEE">
        <w:t xml:space="preserve"> 2013).</w:t>
      </w:r>
    </w:p>
    <w:p w:rsidR="000A5CEE" w:rsidRDefault="000A5CEE" w:rsidP="000A5CEE">
      <w:pPr>
        <w:numPr>
          <w:ilvl w:val="2"/>
          <w:numId w:val="1"/>
        </w:numPr>
        <w:spacing w:after="120"/>
      </w:pPr>
      <w:r>
        <w:t>Winter and Summer fishery harvest, discards, and length composition data</w:t>
      </w:r>
    </w:p>
    <w:p w:rsidR="000A5CEE" w:rsidRDefault="000A5CEE" w:rsidP="000A5CEE">
      <w:pPr>
        <w:numPr>
          <w:ilvl w:val="2"/>
          <w:numId w:val="1"/>
        </w:numPr>
        <w:spacing w:after="120"/>
      </w:pPr>
      <w:r>
        <w:t>Tag recovery data</w:t>
      </w:r>
    </w:p>
    <w:p w:rsidR="000A5CEE" w:rsidRDefault="000A5CEE" w:rsidP="000A5CEE">
      <w:pPr>
        <w:numPr>
          <w:ilvl w:val="2"/>
          <w:numId w:val="1"/>
        </w:numPr>
        <w:spacing w:after="120"/>
      </w:pPr>
      <w:r>
        <w:lastRenderedPageBreak/>
        <w:t>Trawl survey: abundance, length-shell composition</w:t>
      </w:r>
    </w:p>
    <w:p w:rsidR="000A5CEE" w:rsidRDefault="000A5CEE" w:rsidP="000A5CEE">
      <w:pPr>
        <w:numPr>
          <w:ilvl w:val="1"/>
          <w:numId w:val="1"/>
        </w:numPr>
        <w:spacing w:after="120"/>
      </w:pPr>
      <w:r>
        <w:t>New data:</w:t>
      </w:r>
    </w:p>
    <w:p w:rsidR="000A5CEE" w:rsidRDefault="000A5CEE" w:rsidP="00E20B8C">
      <w:pPr>
        <w:numPr>
          <w:ilvl w:val="2"/>
          <w:numId w:val="1"/>
        </w:numPr>
        <w:spacing w:after="120"/>
      </w:pPr>
      <w:r>
        <w:t xml:space="preserve">Winter commercial retained length-shell data </w:t>
      </w:r>
    </w:p>
    <w:p w:rsidR="008C5D94" w:rsidRPr="00341767" w:rsidRDefault="008C5D94" w:rsidP="008C5D94"/>
    <w:p w:rsidR="00AD33D6" w:rsidRPr="007A4AEE" w:rsidRDefault="007A481A" w:rsidP="00AD33D6">
      <w:pPr>
        <w:pStyle w:val="ListParagraph"/>
        <w:numPr>
          <w:ilvl w:val="0"/>
          <w:numId w:val="1"/>
        </w:numPr>
        <w:spacing w:after="120"/>
        <w:contextualSpacing w:val="0"/>
        <w:jc w:val="both"/>
      </w:pPr>
      <w:r w:rsidRPr="007A4AEE">
        <w:t>Changes to the assessment methodology:</w:t>
      </w:r>
      <w:r w:rsidR="00EB7A9B" w:rsidRPr="007A4AEE">
        <w:t xml:space="preserve"> </w:t>
      </w:r>
    </w:p>
    <w:p w:rsidR="00506543" w:rsidRPr="007A4AEE" w:rsidRDefault="00DC6BFD" w:rsidP="00AD33D6">
      <w:pPr>
        <w:pStyle w:val="ListParagraph"/>
        <w:spacing w:after="120"/>
        <w:contextualSpacing w:val="0"/>
        <w:jc w:val="both"/>
      </w:pPr>
      <w:r w:rsidRPr="007A4AEE">
        <w:t>None</w:t>
      </w:r>
      <w:r w:rsidR="00FB311A" w:rsidRPr="007A4AEE">
        <w:t xml:space="preserve"> </w:t>
      </w:r>
      <w:r w:rsidR="00506543" w:rsidRPr="007A4AEE">
        <w:t xml:space="preserve"> </w:t>
      </w:r>
    </w:p>
    <w:p w:rsidR="00AD33D6" w:rsidRPr="007A4AEE" w:rsidRDefault="00EB7A9B" w:rsidP="00AD33D6">
      <w:pPr>
        <w:pStyle w:val="ListParagraph"/>
        <w:numPr>
          <w:ilvl w:val="0"/>
          <w:numId w:val="1"/>
        </w:numPr>
        <w:spacing w:after="120"/>
        <w:contextualSpacing w:val="0"/>
        <w:jc w:val="both"/>
      </w:pPr>
      <w:r w:rsidRPr="007A4AEE">
        <w:t>Changes to the assessment results.</w:t>
      </w:r>
    </w:p>
    <w:p w:rsidR="00EB7A9B" w:rsidRDefault="00DC6BFD" w:rsidP="0071483F">
      <w:pPr>
        <w:pStyle w:val="ListParagraph"/>
        <w:spacing w:after="120"/>
        <w:contextualSpacing w:val="0"/>
        <w:jc w:val="both"/>
      </w:pPr>
      <w:r w:rsidRPr="007A4AEE">
        <w:t>None</w:t>
      </w:r>
      <w:r w:rsidR="00C9565F" w:rsidRPr="007A4AEE">
        <w:t xml:space="preserve"> </w:t>
      </w:r>
    </w:p>
    <w:p w:rsidR="00C90639" w:rsidRPr="007A4AEE" w:rsidRDefault="00C90639" w:rsidP="0071483F">
      <w:pPr>
        <w:pStyle w:val="ListParagraph"/>
        <w:spacing w:after="120"/>
        <w:contextualSpacing w:val="0"/>
        <w:jc w:val="both"/>
      </w:pPr>
    </w:p>
    <w:p w:rsidR="00F97760" w:rsidRPr="00D359DE" w:rsidRDefault="009D1AD1" w:rsidP="004F27CE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NewRomanPSMT" w:eastAsiaTheme="minorEastAsia" w:hAnsi="TimesNewRomanPSMT" w:cs="TimesNewRomanPSMT"/>
        </w:rPr>
      </w:pPr>
      <w:r w:rsidRPr="007A4AEE">
        <w:rPr>
          <w:b/>
          <w:i/>
        </w:rPr>
        <w:t>Response to SSC and CPT Comments</w:t>
      </w:r>
    </w:p>
    <w:p w:rsidR="00242C99" w:rsidRDefault="00242C99" w:rsidP="00D359DE">
      <w:pPr>
        <w:spacing w:line="360" w:lineRule="auto"/>
        <w:rPr>
          <w:rFonts w:ascii="TimesNewRomanPSMT" w:eastAsiaTheme="minorEastAsia" w:hAnsi="TimesNewRomanPSMT" w:cs="TimesNewRomanPSMT"/>
        </w:rPr>
      </w:pPr>
    </w:p>
    <w:p w:rsidR="00D359DE" w:rsidRDefault="00E92D41" w:rsidP="00D359DE">
      <w:pPr>
        <w:spacing w:line="360" w:lineRule="auto"/>
        <w:rPr>
          <w:rFonts w:ascii="TimesNewRomanPSMT" w:eastAsiaTheme="minorEastAsia" w:hAnsi="TimesNewRomanPSMT" w:cs="TimesNewRomanPSMT"/>
        </w:rPr>
      </w:pPr>
      <w:r>
        <w:rPr>
          <w:rFonts w:ascii="TimesNewRomanPSMT" w:eastAsiaTheme="minorEastAsia" w:hAnsi="TimesNewRomanPSMT" w:cs="TimesNewRomanPSMT"/>
        </w:rPr>
        <w:t>Crab Plan Team –</w:t>
      </w:r>
      <w:r w:rsidR="00B95BE4">
        <w:rPr>
          <w:rFonts w:ascii="TimesNewRomanPSMT" w:eastAsiaTheme="minorEastAsia" w:hAnsi="TimesNewRomanPSMT" w:cs="TimesNewRomanPSMT"/>
        </w:rPr>
        <w:t xml:space="preserve"> January 9</w:t>
      </w:r>
      <w:r w:rsidR="001500A8">
        <w:rPr>
          <w:rFonts w:ascii="TimesNewRomanPSMT" w:eastAsiaTheme="minorEastAsia" w:hAnsi="TimesNewRomanPSMT" w:cs="TimesNewRomanPSMT"/>
        </w:rPr>
        <w:t>,</w:t>
      </w:r>
      <w:r w:rsidR="00B95BE4">
        <w:rPr>
          <w:rFonts w:ascii="TimesNewRomanPSMT" w:eastAsiaTheme="minorEastAsia" w:hAnsi="TimesNewRomanPSMT" w:cs="TimesNewRomanPSMT"/>
        </w:rPr>
        <w:t xml:space="preserve"> 2018</w:t>
      </w:r>
    </w:p>
    <w:p w:rsidR="00291CD8" w:rsidRDefault="00291CD8" w:rsidP="00D359DE">
      <w:pPr>
        <w:spacing w:line="360" w:lineRule="auto"/>
        <w:rPr>
          <w:rFonts w:ascii="TimesNewRomanPSMT" w:eastAsiaTheme="minorEastAsia" w:hAnsi="TimesNewRomanPSMT" w:cs="TimesNewRomanPSMT"/>
        </w:rPr>
      </w:pPr>
    </w:p>
    <w:p w:rsidR="00CD27F7" w:rsidRPr="00CD27F7" w:rsidRDefault="00CD27F7" w:rsidP="00CD27F7">
      <w:pPr>
        <w:pStyle w:val="ListParagraph"/>
        <w:spacing w:after="120"/>
        <w:jc w:val="both"/>
        <w:rPr>
          <w:rFonts w:eastAsia="Times New Roman"/>
        </w:rPr>
      </w:pPr>
    </w:p>
    <w:p w:rsidR="00B95BE4" w:rsidRPr="00B95BE4" w:rsidRDefault="00B95BE4" w:rsidP="00B95BE4">
      <w:pPr>
        <w:pStyle w:val="ListParagraph"/>
        <w:numPr>
          <w:ilvl w:val="0"/>
          <w:numId w:val="18"/>
        </w:numPr>
        <w:spacing w:after="120"/>
        <w:jc w:val="both"/>
        <w:rPr>
          <w:rFonts w:eastAsia="Times New Roman"/>
        </w:rPr>
      </w:pPr>
      <w:r>
        <w:rPr>
          <w:rFonts w:eastAsia="Times New Roman"/>
        </w:rPr>
        <w:t xml:space="preserve">Evaluate methods to improved ADF&amp;G bottom trawl survey biomass estimation, including </w:t>
      </w:r>
      <w:proofErr w:type="gramStart"/>
      <w:r>
        <w:rPr>
          <w:rFonts w:eastAsia="Times New Roman"/>
        </w:rPr>
        <w:t>model based</w:t>
      </w:r>
      <w:proofErr w:type="gramEnd"/>
      <w:r>
        <w:rPr>
          <w:rFonts w:eastAsia="Times New Roman"/>
        </w:rPr>
        <w:t xml:space="preserve"> approaches.</w:t>
      </w:r>
    </w:p>
    <w:p w:rsidR="00DA0027" w:rsidRDefault="00DA0027" w:rsidP="00DA0027">
      <w:pPr>
        <w:pStyle w:val="ListParagraph"/>
        <w:spacing w:after="120"/>
        <w:jc w:val="both"/>
        <w:rPr>
          <w:sz w:val="22"/>
          <w:szCs w:val="22"/>
        </w:rPr>
      </w:pPr>
    </w:p>
    <w:p w:rsidR="002634B9" w:rsidRDefault="00DA0027" w:rsidP="00B46EDF">
      <w:pPr>
        <w:pStyle w:val="ListParagraph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Author</w:t>
      </w:r>
      <w:r w:rsidR="001500A8">
        <w:rPr>
          <w:sz w:val="22"/>
          <w:szCs w:val="22"/>
        </w:rPr>
        <w:t>s’</w:t>
      </w:r>
      <w:r>
        <w:rPr>
          <w:sz w:val="22"/>
          <w:szCs w:val="22"/>
        </w:rPr>
        <w:t xml:space="preserve"> reply: </w:t>
      </w:r>
      <w:r w:rsidR="00BA1C2D">
        <w:rPr>
          <w:sz w:val="22"/>
          <w:szCs w:val="22"/>
        </w:rPr>
        <w:t xml:space="preserve"> VAST modeling approach has been considered.   However, validity of the application of this method need to be evaluated before this approach is used for model assessment. </w:t>
      </w:r>
    </w:p>
    <w:p w:rsidR="00BA1C2D" w:rsidRDefault="00BA1C2D" w:rsidP="00B46EDF">
      <w:pPr>
        <w:pStyle w:val="ListParagraph"/>
        <w:spacing w:after="120"/>
        <w:jc w:val="both"/>
        <w:rPr>
          <w:sz w:val="22"/>
          <w:szCs w:val="22"/>
        </w:rPr>
      </w:pPr>
    </w:p>
    <w:p w:rsidR="00B95BE4" w:rsidRPr="00B95BE4" w:rsidRDefault="00B95BE4" w:rsidP="00B95BE4">
      <w:pPr>
        <w:pStyle w:val="ListParagraph"/>
        <w:spacing w:after="120"/>
        <w:jc w:val="both"/>
        <w:rPr>
          <w:rFonts w:eastAsia="Times New Roman"/>
        </w:rPr>
      </w:pPr>
    </w:p>
    <w:p w:rsidR="00B95BE4" w:rsidRPr="00B569A4" w:rsidRDefault="00B95BE4" w:rsidP="004F27CE">
      <w:pPr>
        <w:pStyle w:val="ListParagraph"/>
        <w:numPr>
          <w:ilvl w:val="0"/>
          <w:numId w:val="18"/>
        </w:numPr>
        <w:spacing w:after="120"/>
        <w:jc w:val="both"/>
        <w:rPr>
          <w:rFonts w:eastAsia="Times New Roman"/>
        </w:rPr>
      </w:pPr>
      <w:r w:rsidRPr="00B569A4">
        <w:t xml:space="preserve">Quantitatively evaluate the representativeness of observer sampling. </w:t>
      </w:r>
    </w:p>
    <w:p w:rsidR="00B569A4" w:rsidRDefault="00B569A4" w:rsidP="00B569A4">
      <w:pPr>
        <w:pStyle w:val="ListParagraph"/>
        <w:spacing w:after="120"/>
        <w:jc w:val="both"/>
        <w:rPr>
          <w:rFonts w:eastAsia="Times New Roman"/>
        </w:rPr>
      </w:pPr>
    </w:p>
    <w:p w:rsidR="00B569A4" w:rsidRDefault="00B569A4" w:rsidP="00B569A4">
      <w:pPr>
        <w:pStyle w:val="ListParagraph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Authors’ reply: </w:t>
      </w:r>
    </w:p>
    <w:p w:rsidR="00B569A4" w:rsidRDefault="00B569A4" w:rsidP="00B569A4">
      <w:pPr>
        <w:pStyle w:val="ListParagraph"/>
        <w:spacing w:after="120"/>
        <w:jc w:val="both"/>
        <w:rPr>
          <w:sz w:val="22"/>
          <w:szCs w:val="22"/>
        </w:rPr>
      </w:pPr>
    </w:p>
    <w:p w:rsidR="00B569A4" w:rsidRDefault="00B569A4" w:rsidP="00B569A4">
      <w:pPr>
        <w:pStyle w:val="ListParagraph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From 2012 to 2017 distribution of samples taken by stat area differed greatly from those of commercial fishery.</w:t>
      </w:r>
      <w:r w:rsidR="0002799A">
        <w:rPr>
          <w:sz w:val="22"/>
          <w:szCs w:val="22"/>
        </w:rPr>
        <w:t xml:space="preserve">  </w:t>
      </w:r>
      <w:r w:rsidR="00EF6FF5">
        <w:rPr>
          <w:sz w:val="22"/>
          <w:szCs w:val="22"/>
        </w:rPr>
        <w:t xml:space="preserve">Further analyses are needed to examine spatial difference in length-shell composition. </w:t>
      </w:r>
      <w:r>
        <w:rPr>
          <w:sz w:val="22"/>
          <w:szCs w:val="22"/>
        </w:rPr>
        <w:t xml:space="preserve">     </w:t>
      </w:r>
    </w:p>
    <w:p w:rsidR="004159D5" w:rsidRPr="00EF6FF5" w:rsidRDefault="004159D5" w:rsidP="00EF6FF5">
      <w:pPr>
        <w:spacing w:after="120"/>
        <w:jc w:val="both"/>
        <w:rPr>
          <w:rFonts w:eastAsia="Times New Roman"/>
        </w:rPr>
      </w:pPr>
    </w:p>
    <w:p w:rsidR="00B95BE4" w:rsidRPr="00B95BE4" w:rsidRDefault="00B95BE4" w:rsidP="004F27CE">
      <w:pPr>
        <w:pStyle w:val="ListParagraph"/>
        <w:numPr>
          <w:ilvl w:val="0"/>
          <w:numId w:val="18"/>
        </w:numPr>
        <w:spacing w:after="120"/>
        <w:jc w:val="both"/>
        <w:rPr>
          <w:rFonts w:eastAsia="Times New Roman"/>
        </w:rPr>
      </w:pPr>
      <w:r>
        <w:rPr>
          <w:sz w:val="22"/>
          <w:szCs w:val="22"/>
        </w:rPr>
        <w:t>Estimate fishery retention curve.  Consider alternative (2-parameter and 1-parameter) curves for both retention and selectivity</w:t>
      </w:r>
    </w:p>
    <w:p w:rsidR="00B95BE4" w:rsidRDefault="00B95BE4" w:rsidP="00B95BE4">
      <w:pPr>
        <w:pStyle w:val="ListParagraph"/>
        <w:rPr>
          <w:sz w:val="22"/>
          <w:szCs w:val="22"/>
        </w:rPr>
      </w:pPr>
    </w:p>
    <w:p w:rsidR="00CE2173" w:rsidRDefault="00CE2173" w:rsidP="00CE2173">
      <w:pPr>
        <w:pStyle w:val="ListParagraph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Authors’ reply: </w:t>
      </w:r>
    </w:p>
    <w:p w:rsidR="002F7A13" w:rsidRDefault="00CE2173" w:rsidP="000F351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Retention curve can be estimated by estimating total catch selectivity (fitting to total catch length/shell distribution) and multiples of total catch selectivity with retention curve (fitting to retained catch length/shell distribution).  In Norton Sound, total catch data are available only for </w:t>
      </w:r>
      <w:r w:rsidR="00EF6FF5">
        <w:rPr>
          <w:sz w:val="22"/>
          <w:szCs w:val="22"/>
        </w:rPr>
        <w:t>7</w:t>
      </w:r>
      <w:r>
        <w:rPr>
          <w:sz w:val="22"/>
          <w:szCs w:val="22"/>
        </w:rPr>
        <w:t xml:space="preserve"> years from</w:t>
      </w:r>
      <w:r w:rsidR="008D3F1E">
        <w:rPr>
          <w:sz w:val="22"/>
          <w:szCs w:val="22"/>
        </w:rPr>
        <w:t xml:space="preserve"> 2012 to 201</w:t>
      </w:r>
      <w:r w:rsidR="00EF6FF5">
        <w:rPr>
          <w:sz w:val="22"/>
          <w:szCs w:val="22"/>
        </w:rPr>
        <w:t>8</w:t>
      </w:r>
      <w:r w:rsidR="008D3F1E">
        <w:rPr>
          <w:sz w:val="22"/>
          <w:szCs w:val="22"/>
        </w:rPr>
        <w:t>.  During 1986-1995</w:t>
      </w:r>
      <w:r>
        <w:rPr>
          <w:sz w:val="22"/>
          <w:szCs w:val="22"/>
        </w:rPr>
        <w:t xml:space="preserve"> samples of retained and discarded crabs were collected independently (600~1000 for each).  Total number of retained and disca</w:t>
      </w:r>
      <w:r w:rsidR="008D3F1E">
        <w:rPr>
          <w:sz w:val="22"/>
          <w:szCs w:val="22"/>
        </w:rPr>
        <w:t>rded catch are unknown during th</w:t>
      </w:r>
      <w:r w:rsidR="007B11C9">
        <w:rPr>
          <w:sz w:val="22"/>
          <w:szCs w:val="22"/>
        </w:rPr>
        <w:t>e</w:t>
      </w:r>
      <w:r w:rsidR="008D3F1E">
        <w:rPr>
          <w:sz w:val="22"/>
          <w:szCs w:val="22"/>
        </w:rPr>
        <w:t xml:space="preserve"> 1986-1995 surveys.   </w:t>
      </w:r>
      <w:r w:rsidR="000F351B">
        <w:rPr>
          <w:sz w:val="22"/>
          <w:szCs w:val="22"/>
        </w:rPr>
        <w:t xml:space="preserve">Thus, </w:t>
      </w:r>
      <w:r w:rsidR="000F351B" w:rsidRPr="002F7A13">
        <w:rPr>
          <w:b/>
          <w:sz w:val="22"/>
          <w:szCs w:val="22"/>
        </w:rPr>
        <w:t>only 2012-201</w:t>
      </w:r>
      <w:r w:rsidR="00EF6FF5">
        <w:rPr>
          <w:b/>
          <w:sz w:val="22"/>
          <w:szCs w:val="22"/>
        </w:rPr>
        <w:t>8</w:t>
      </w:r>
      <w:r w:rsidR="000F351B" w:rsidRPr="002F7A13">
        <w:rPr>
          <w:b/>
          <w:sz w:val="22"/>
          <w:szCs w:val="22"/>
        </w:rPr>
        <w:t xml:space="preserve"> data were used to estimate total </w:t>
      </w:r>
      <w:r w:rsidR="008D3F1E" w:rsidRPr="002F7A13">
        <w:rPr>
          <w:b/>
          <w:sz w:val="22"/>
          <w:szCs w:val="22"/>
        </w:rPr>
        <w:t>catch selectivity</w:t>
      </w:r>
      <w:r w:rsidR="008D3F1E">
        <w:rPr>
          <w:sz w:val="22"/>
          <w:szCs w:val="22"/>
        </w:rPr>
        <w:t xml:space="preserve">, </w:t>
      </w:r>
      <w:r w:rsidR="002F7A13">
        <w:rPr>
          <w:sz w:val="22"/>
          <w:szCs w:val="22"/>
        </w:rPr>
        <w:t xml:space="preserve">and </w:t>
      </w:r>
      <w:r w:rsidR="002F7A13" w:rsidRPr="002F7A13">
        <w:rPr>
          <w:b/>
          <w:sz w:val="22"/>
          <w:szCs w:val="22"/>
        </w:rPr>
        <w:t>1987-1994 discards data were removed from the mode.</w:t>
      </w:r>
      <w:r w:rsidR="002F7A13">
        <w:rPr>
          <w:sz w:val="22"/>
          <w:szCs w:val="22"/>
        </w:rPr>
        <w:t xml:space="preserve">  </w:t>
      </w:r>
    </w:p>
    <w:p w:rsidR="007B4D43" w:rsidRDefault="007B4D43" w:rsidP="007B4D43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Inclusion of retained curve also changed observer data.  In the base lime model, </w:t>
      </w:r>
    </w:p>
    <w:p w:rsidR="007B4D43" w:rsidRPr="007B4D43" w:rsidRDefault="007B4D43" w:rsidP="007B4D43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B4D43" w:rsidRDefault="007B4D43" w:rsidP="007B4D43">
      <w:pPr>
        <w:pStyle w:val="ListParagraph"/>
        <w:rPr>
          <w:sz w:val="22"/>
          <w:szCs w:val="22"/>
        </w:rPr>
      </w:pPr>
    </w:p>
    <w:p w:rsidR="007B4D43" w:rsidRDefault="007B4D43" w:rsidP="007B4D43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Model and Data configuration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55"/>
        <w:gridCol w:w="1925"/>
        <w:gridCol w:w="1238"/>
        <w:gridCol w:w="2160"/>
        <w:gridCol w:w="2178"/>
      </w:tblGrid>
      <w:tr w:rsidR="007B11C9" w:rsidTr="00835F19">
        <w:tc>
          <w:tcPr>
            <w:tcW w:w="1355" w:type="dxa"/>
          </w:tcPr>
          <w:p w:rsidR="007B11C9" w:rsidRDefault="007B11C9" w:rsidP="001717A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Model </w:t>
            </w:r>
          </w:p>
        </w:tc>
        <w:tc>
          <w:tcPr>
            <w:tcW w:w="1925" w:type="dxa"/>
          </w:tcPr>
          <w:p w:rsidR="007B11C9" w:rsidRDefault="007B11C9" w:rsidP="001717A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Observer data</w:t>
            </w:r>
          </w:p>
        </w:tc>
        <w:tc>
          <w:tcPr>
            <w:tcW w:w="1238" w:type="dxa"/>
          </w:tcPr>
          <w:p w:rsidR="007B11C9" w:rsidRDefault="00835F19" w:rsidP="001717A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Available Years</w:t>
            </w:r>
          </w:p>
        </w:tc>
        <w:tc>
          <w:tcPr>
            <w:tcW w:w="2160" w:type="dxa"/>
          </w:tcPr>
          <w:p w:rsidR="007B11C9" w:rsidRDefault="007B11C9" w:rsidP="001717A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Likelihood </w:t>
            </w:r>
          </w:p>
          <w:p w:rsidR="007B11C9" w:rsidRDefault="007B11C9" w:rsidP="001717A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Commercial </w:t>
            </w:r>
          </w:p>
          <w:p w:rsidR="007B11C9" w:rsidRDefault="007B11C9" w:rsidP="001717A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Retained</w:t>
            </w:r>
          </w:p>
        </w:tc>
        <w:tc>
          <w:tcPr>
            <w:tcW w:w="2178" w:type="dxa"/>
          </w:tcPr>
          <w:p w:rsidR="007B11C9" w:rsidRDefault="007B11C9" w:rsidP="001717A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Likelihood </w:t>
            </w:r>
          </w:p>
          <w:p w:rsidR="007B11C9" w:rsidRDefault="007B11C9" w:rsidP="001717A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Observer</w:t>
            </w:r>
          </w:p>
        </w:tc>
      </w:tr>
      <w:tr w:rsidR="007B11C9" w:rsidTr="00814156">
        <w:tc>
          <w:tcPr>
            <w:tcW w:w="1355" w:type="dxa"/>
            <w:tcBorders>
              <w:bottom w:val="single" w:sz="4" w:space="0" w:color="auto"/>
            </w:tcBorders>
          </w:tcPr>
          <w:p w:rsidR="007B11C9" w:rsidRDefault="007B11C9" w:rsidP="001717A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Baseline </w:t>
            </w:r>
          </w:p>
        </w:tc>
        <w:tc>
          <w:tcPr>
            <w:tcW w:w="1925" w:type="dxa"/>
          </w:tcPr>
          <w:p w:rsidR="007B11C9" w:rsidRDefault="007B11C9" w:rsidP="001717A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Discards length-shell comp</w:t>
            </w:r>
          </w:p>
        </w:tc>
        <w:tc>
          <w:tcPr>
            <w:tcW w:w="1238" w:type="dxa"/>
          </w:tcPr>
          <w:p w:rsidR="007B11C9" w:rsidRDefault="007B11C9" w:rsidP="001717A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1986-1995, 2012-2018</w:t>
            </w:r>
          </w:p>
        </w:tc>
        <w:tc>
          <w:tcPr>
            <w:tcW w:w="2160" w:type="dxa"/>
          </w:tcPr>
          <w:p w:rsidR="007B11C9" w:rsidRDefault="007B11C9" w:rsidP="001717A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835F19">
              <w:rPr>
                <w:sz w:val="22"/>
                <w:szCs w:val="22"/>
              </w:rPr>
              <w:t xml:space="preserve">S </w:t>
            </w:r>
            <w:r>
              <w:rPr>
                <w:sz w:val="22"/>
                <w:szCs w:val="22"/>
              </w:rPr>
              <w:t>*</w:t>
            </w:r>
            <w:r w:rsidR="00835F19">
              <w:rPr>
                <w:sz w:val="22"/>
                <w:szCs w:val="22"/>
              </w:rPr>
              <w:t>PL</w:t>
            </w:r>
          </w:p>
        </w:tc>
        <w:tc>
          <w:tcPr>
            <w:tcW w:w="2178" w:type="dxa"/>
          </w:tcPr>
          <w:p w:rsidR="00834BD1" w:rsidRDefault="007B11C9" w:rsidP="001717A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835F19">
              <w:rPr>
                <w:sz w:val="22"/>
                <w:szCs w:val="22"/>
              </w:rPr>
              <w:t xml:space="preserve">S </w:t>
            </w:r>
            <w:r>
              <w:rPr>
                <w:sz w:val="22"/>
                <w:szCs w:val="22"/>
              </w:rPr>
              <w:t>*(1-</w:t>
            </w:r>
            <w:r w:rsidR="00835F19">
              <w:rPr>
                <w:sz w:val="22"/>
                <w:szCs w:val="22"/>
              </w:rPr>
              <w:t>PL</w:t>
            </w:r>
            <w:r>
              <w:rPr>
                <w:sz w:val="22"/>
                <w:szCs w:val="22"/>
              </w:rPr>
              <w:t>)</w:t>
            </w:r>
          </w:p>
        </w:tc>
      </w:tr>
      <w:tr w:rsidR="007B11C9" w:rsidTr="00814156">
        <w:tc>
          <w:tcPr>
            <w:tcW w:w="1355" w:type="dxa"/>
            <w:tcBorders>
              <w:bottom w:val="nil"/>
            </w:tcBorders>
          </w:tcPr>
          <w:p w:rsidR="007B11C9" w:rsidRDefault="007B11C9" w:rsidP="001717A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Retention </w:t>
            </w:r>
            <w:r w:rsidR="00835F19">
              <w:rPr>
                <w:sz w:val="22"/>
                <w:szCs w:val="22"/>
              </w:rPr>
              <w:t>selectivity</w:t>
            </w:r>
          </w:p>
        </w:tc>
        <w:tc>
          <w:tcPr>
            <w:tcW w:w="1925" w:type="dxa"/>
          </w:tcPr>
          <w:p w:rsidR="007B11C9" w:rsidRDefault="007B11C9" w:rsidP="001717A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catch length-shell comp</w:t>
            </w:r>
          </w:p>
        </w:tc>
        <w:tc>
          <w:tcPr>
            <w:tcW w:w="1238" w:type="dxa"/>
          </w:tcPr>
          <w:p w:rsidR="007B11C9" w:rsidRDefault="007B11C9" w:rsidP="001717A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2012-2018</w:t>
            </w:r>
          </w:p>
        </w:tc>
        <w:tc>
          <w:tcPr>
            <w:tcW w:w="2160" w:type="dxa"/>
          </w:tcPr>
          <w:p w:rsidR="007B11C9" w:rsidRDefault="007B11C9" w:rsidP="001717A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835F19">
              <w:rPr>
                <w:sz w:val="22"/>
                <w:szCs w:val="22"/>
              </w:rPr>
              <w:t>S*RS</w:t>
            </w:r>
          </w:p>
        </w:tc>
        <w:tc>
          <w:tcPr>
            <w:tcW w:w="2178" w:type="dxa"/>
          </w:tcPr>
          <w:p w:rsidR="007B11C9" w:rsidRDefault="007B11C9" w:rsidP="001717A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835F19">
              <w:rPr>
                <w:sz w:val="22"/>
                <w:szCs w:val="22"/>
              </w:rPr>
              <w:t>S</w:t>
            </w:r>
          </w:p>
        </w:tc>
      </w:tr>
      <w:tr w:rsidR="00814156" w:rsidTr="00814156">
        <w:tc>
          <w:tcPr>
            <w:tcW w:w="1355" w:type="dxa"/>
            <w:tcBorders>
              <w:top w:val="nil"/>
            </w:tcBorders>
          </w:tcPr>
          <w:p w:rsidR="00814156" w:rsidRDefault="00814156" w:rsidP="00814156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925" w:type="dxa"/>
          </w:tcPr>
          <w:p w:rsidR="00814156" w:rsidRDefault="00814156" w:rsidP="00814156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Discards length-shell comp</w:t>
            </w:r>
          </w:p>
        </w:tc>
        <w:tc>
          <w:tcPr>
            <w:tcW w:w="1238" w:type="dxa"/>
          </w:tcPr>
          <w:p w:rsidR="00814156" w:rsidRDefault="00814156" w:rsidP="00814156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1986-1995</w:t>
            </w:r>
          </w:p>
        </w:tc>
        <w:tc>
          <w:tcPr>
            <w:tcW w:w="2160" w:type="dxa"/>
          </w:tcPr>
          <w:p w:rsidR="00814156" w:rsidRDefault="00814156" w:rsidP="00814156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TS*RS</w:t>
            </w:r>
          </w:p>
        </w:tc>
        <w:tc>
          <w:tcPr>
            <w:tcW w:w="2178" w:type="dxa"/>
          </w:tcPr>
          <w:p w:rsidR="00814156" w:rsidRDefault="00814156" w:rsidP="00814156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TS*(1-RS)</w:t>
            </w:r>
          </w:p>
        </w:tc>
      </w:tr>
    </w:tbl>
    <w:p w:rsidR="00814156" w:rsidRDefault="007B4D43" w:rsidP="00835F19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35F19">
        <w:rPr>
          <w:sz w:val="22"/>
          <w:szCs w:val="22"/>
        </w:rPr>
        <w:t xml:space="preserve">TS: Total catch selectivity, PL: observed legal proportion by length class, RS: Retention </w:t>
      </w:r>
    </w:p>
    <w:p w:rsidR="007B4D43" w:rsidRPr="00835F19" w:rsidRDefault="00835F19" w:rsidP="00835F19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selectivity</w:t>
      </w:r>
    </w:p>
    <w:p w:rsidR="007B4D43" w:rsidRPr="007C08E8" w:rsidRDefault="007B4D43" w:rsidP="007C08E8">
      <w:pPr>
        <w:rPr>
          <w:sz w:val="22"/>
          <w:szCs w:val="22"/>
        </w:rPr>
      </w:pPr>
    </w:p>
    <w:p w:rsidR="00CE2173" w:rsidRPr="00B95BE4" w:rsidRDefault="00CE2173" w:rsidP="00B95BE4">
      <w:pPr>
        <w:pStyle w:val="ListParagraph"/>
        <w:rPr>
          <w:sz w:val="22"/>
          <w:szCs w:val="22"/>
        </w:rPr>
      </w:pPr>
    </w:p>
    <w:p w:rsidR="00B95BE4" w:rsidRPr="00B95BE4" w:rsidRDefault="00B95BE4" w:rsidP="004F27CE">
      <w:pPr>
        <w:pStyle w:val="ListParagraph"/>
        <w:numPr>
          <w:ilvl w:val="0"/>
          <w:numId w:val="18"/>
        </w:numPr>
        <w:spacing w:after="120"/>
        <w:jc w:val="both"/>
        <w:rPr>
          <w:rFonts w:eastAsia="Times New Roman"/>
        </w:rPr>
      </w:pPr>
      <w:r>
        <w:rPr>
          <w:sz w:val="22"/>
          <w:szCs w:val="22"/>
        </w:rPr>
        <w:t xml:space="preserve">Provide Tier 3 calculations and evaluate its suitability for Tier 3 status. </w:t>
      </w:r>
    </w:p>
    <w:p w:rsidR="00B95BE4" w:rsidRDefault="00B95BE4" w:rsidP="00B95BE4">
      <w:pPr>
        <w:pStyle w:val="ListParagraph"/>
        <w:rPr>
          <w:sz w:val="22"/>
          <w:szCs w:val="22"/>
        </w:rPr>
      </w:pPr>
    </w:p>
    <w:p w:rsidR="004D1603" w:rsidRDefault="004D1603" w:rsidP="00B95BE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Author’s reply </w:t>
      </w:r>
    </w:p>
    <w:p w:rsidR="004D1603" w:rsidRDefault="004D1603" w:rsidP="00B95BE4">
      <w:pPr>
        <w:pStyle w:val="ListParagraph"/>
        <w:rPr>
          <w:sz w:val="22"/>
          <w:szCs w:val="22"/>
        </w:rPr>
      </w:pPr>
    </w:p>
    <w:p w:rsidR="00304E58" w:rsidRDefault="00304E58" w:rsidP="00304E58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We calculated F35% for base model that resulted to 1.86 with B35</w:t>
      </w:r>
      <w:r w:rsidR="00F20EE3">
        <w:rPr>
          <w:sz w:val="22"/>
          <w:szCs w:val="22"/>
        </w:rPr>
        <w:t>%</w:t>
      </w:r>
      <w:r>
        <w:rPr>
          <w:sz w:val="22"/>
          <w:szCs w:val="22"/>
        </w:rPr>
        <w:t xml:space="preserve"> of 1</w:t>
      </w:r>
      <w:r w:rsidR="00307CF4">
        <w:rPr>
          <w:sz w:val="22"/>
          <w:szCs w:val="22"/>
        </w:rPr>
        <w:t>.</w:t>
      </w:r>
      <w:r>
        <w:rPr>
          <w:sz w:val="22"/>
          <w:szCs w:val="22"/>
        </w:rPr>
        <w:t>22</w:t>
      </w:r>
      <w:r w:rsidR="00307CF4">
        <w:rPr>
          <w:sz w:val="22"/>
          <w:szCs w:val="22"/>
        </w:rPr>
        <w:t xml:space="preserve"> million lb. </w:t>
      </w:r>
    </w:p>
    <w:p w:rsidR="00307CF4" w:rsidRDefault="00F20EE3" w:rsidP="00304E58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Based on 2019 projected MMB of 3.11 million </w:t>
      </w:r>
      <w:proofErr w:type="spellStart"/>
      <w:r>
        <w:rPr>
          <w:sz w:val="22"/>
          <w:szCs w:val="22"/>
        </w:rPr>
        <w:t>lb</w:t>
      </w:r>
      <w:proofErr w:type="spellEnd"/>
      <w:r>
        <w:rPr>
          <w:sz w:val="22"/>
          <w:szCs w:val="22"/>
        </w:rPr>
        <w:t xml:space="preserve"> and legal biomass of 2.50 million </w:t>
      </w:r>
      <w:proofErr w:type="spellStart"/>
      <w:r>
        <w:rPr>
          <w:sz w:val="22"/>
          <w:szCs w:val="22"/>
        </w:rPr>
        <w:t>lb</w:t>
      </w:r>
      <w:proofErr w:type="spellEnd"/>
      <w:r>
        <w:rPr>
          <w:sz w:val="22"/>
          <w:szCs w:val="22"/>
        </w:rPr>
        <w:t xml:space="preserve">, OFL retained legal biomass by Tier 3 calculation is 1.86 million </w:t>
      </w:r>
      <w:proofErr w:type="spellStart"/>
      <w:r>
        <w:rPr>
          <w:sz w:val="22"/>
          <w:szCs w:val="22"/>
        </w:rPr>
        <w:t>lb</w:t>
      </w:r>
      <w:proofErr w:type="spellEnd"/>
      <w:r>
        <w:rPr>
          <w:sz w:val="22"/>
          <w:szCs w:val="22"/>
        </w:rPr>
        <w:t xml:space="preserve"> that was 7.75 times higher than Tier 4 OFL of 0.24 million lb.  </w:t>
      </w:r>
    </w:p>
    <w:p w:rsidR="00B95BE4" w:rsidRDefault="00B95BE4" w:rsidP="004D4847">
      <w:pPr>
        <w:jc w:val="both"/>
        <w:rPr>
          <w:color w:val="000000" w:themeColor="text1"/>
          <w:sz w:val="20"/>
          <w:szCs w:val="20"/>
        </w:rPr>
      </w:pPr>
    </w:p>
    <w:p w:rsidR="00DA0027" w:rsidRPr="003A1D15" w:rsidRDefault="00DA0027" w:rsidP="003A1D15">
      <w:pPr>
        <w:spacing w:after="120"/>
        <w:jc w:val="both"/>
        <w:rPr>
          <w:sz w:val="22"/>
          <w:szCs w:val="22"/>
        </w:rPr>
      </w:pPr>
    </w:p>
    <w:p w:rsidR="00D33CD8" w:rsidRDefault="00D33CD8" w:rsidP="00D33CD8">
      <w:pPr>
        <w:spacing w:line="360" w:lineRule="auto"/>
        <w:rPr>
          <w:rFonts w:ascii="TimesNewRomanPSMT" w:eastAsiaTheme="minorEastAsia" w:hAnsi="TimesNewRomanPSMT" w:cs="TimesNewRomanPSMT"/>
        </w:rPr>
      </w:pPr>
      <w:r>
        <w:rPr>
          <w:rFonts w:ascii="TimesNewRomanPSMT" w:eastAsiaTheme="minorEastAsia" w:hAnsi="TimesNewRomanPSMT" w:cs="TimesNewRomanPSMT"/>
        </w:rPr>
        <w:t xml:space="preserve">SSC – </w:t>
      </w:r>
      <w:r w:rsidR="00B95BE4">
        <w:rPr>
          <w:rFonts w:ascii="TimesNewRomanPSMT" w:eastAsiaTheme="minorEastAsia" w:hAnsi="TimesNewRomanPSMT" w:cs="TimesNewRomanPSMT"/>
        </w:rPr>
        <w:t xml:space="preserve">February </w:t>
      </w:r>
      <w:proofErr w:type="gramStart"/>
      <w:r w:rsidR="00B95BE4">
        <w:rPr>
          <w:rFonts w:ascii="TimesNewRomanPSMT" w:eastAsiaTheme="minorEastAsia" w:hAnsi="TimesNewRomanPSMT" w:cs="TimesNewRomanPSMT"/>
        </w:rPr>
        <w:t>5</w:t>
      </w:r>
      <w:proofErr w:type="gramEnd"/>
      <w:r w:rsidR="00B95BE4">
        <w:rPr>
          <w:rFonts w:ascii="TimesNewRomanPSMT" w:eastAsiaTheme="minorEastAsia" w:hAnsi="TimesNewRomanPSMT" w:cs="TimesNewRomanPSMT"/>
        </w:rPr>
        <w:t xml:space="preserve"> 2018</w:t>
      </w:r>
      <w:r w:rsidR="00CD27F7">
        <w:rPr>
          <w:rFonts w:ascii="TimesNewRomanPSMT" w:eastAsiaTheme="minorEastAsia" w:hAnsi="TimesNewRomanPSMT" w:cs="TimesNewRomanPSMT"/>
        </w:rPr>
        <w:t xml:space="preserve"> </w:t>
      </w:r>
    </w:p>
    <w:p w:rsidR="005552C5" w:rsidRDefault="005552C5" w:rsidP="005552C5">
      <w:pPr>
        <w:pStyle w:val="Default"/>
        <w:ind w:left="720"/>
        <w:rPr>
          <w:sz w:val="22"/>
          <w:szCs w:val="22"/>
        </w:rPr>
      </w:pPr>
    </w:p>
    <w:p w:rsidR="005552C5" w:rsidRDefault="00DE72E2" w:rsidP="004F27CE">
      <w:pPr>
        <w:pStyle w:val="Default"/>
        <w:numPr>
          <w:ilvl w:val="0"/>
          <w:numId w:val="18"/>
        </w:numPr>
        <w:spacing w:after="179"/>
        <w:rPr>
          <w:sz w:val="22"/>
          <w:szCs w:val="22"/>
        </w:rPr>
      </w:pPr>
      <w:r>
        <w:rPr>
          <w:sz w:val="22"/>
          <w:szCs w:val="22"/>
        </w:rPr>
        <w:t>Requests more information on the evidence of biennial mating and some consideration of the implications, if any, on fishery harvest strategy.</w:t>
      </w:r>
    </w:p>
    <w:p w:rsidR="00E20B8C" w:rsidRDefault="00E20B8C" w:rsidP="00E20B8C">
      <w:pPr>
        <w:pStyle w:val="Default"/>
        <w:spacing w:after="179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Author Reply </w:t>
      </w:r>
    </w:p>
    <w:p w:rsidR="00E20B8C" w:rsidRDefault="00E20B8C" w:rsidP="00E20B8C">
      <w:pPr>
        <w:pStyle w:val="Default"/>
        <w:spacing w:after="179"/>
        <w:ind w:left="720"/>
        <w:rPr>
          <w:sz w:val="22"/>
          <w:szCs w:val="22"/>
        </w:rPr>
      </w:pPr>
      <w:r>
        <w:rPr>
          <w:sz w:val="22"/>
          <w:szCs w:val="22"/>
        </w:rPr>
        <w:t>Further researches are needed to confirm</w:t>
      </w:r>
      <w:r w:rsidR="0098776A">
        <w:rPr>
          <w:sz w:val="22"/>
          <w:szCs w:val="22"/>
        </w:rPr>
        <w:t xml:space="preserve">. </w:t>
      </w:r>
    </w:p>
    <w:p w:rsidR="00F56E25" w:rsidRDefault="00DE72E2" w:rsidP="00F56E25">
      <w:pPr>
        <w:pStyle w:val="Default"/>
        <w:numPr>
          <w:ilvl w:val="0"/>
          <w:numId w:val="18"/>
        </w:numPr>
        <w:spacing w:after="179"/>
        <w:rPr>
          <w:sz w:val="22"/>
          <w:szCs w:val="22"/>
        </w:rPr>
      </w:pPr>
      <w:r>
        <w:rPr>
          <w:sz w:val="22"/>
          <w:szCs w:val="22"/>
        </w:rPr>
        <w:t xml:space="preserve">Recommend a spatial comparison of the ADFG and NMFS trawl survey 2017. </w:t>
      </w:r>
    </w:p>
    <w:p w:rsidR="00DD2B69" w:rsidRDefault="00DD2B69" w:rsidP="00F56E25">
      <w:pPr>
        <w:pStyle w:val="Default"/>
        <w:spacing w:after="179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Author Reply </w:t>
      </w:r>
    </w:p>
    <w:p w:rsidR="00F56E25" w:rsidRDefault="00DD2B69" w:rsidP="00F56E25">
      <w:pPr>
        <w:pStyle w:val="Default"/>
        <w:spacing w:after="179"/>
        <w:ind w:left="720"/>
        <w:rPr>
          <w:sz w:val="22"/>
          <w:szCs w:val="22"/>
        </w:rPr>
      </w:pPr>
      <w:r>
        <w:rPr>
          <w:sz w:val="22"/>
          <w:szCs w:val="22"/>
        </w:rPr>
        <w:t>12 stations were surveyed by both ADFG and NMFS trawl survey in 2017.   On average, swept area of NMFS survey (0.042 km</w:t>
      </w:r>
      <w:r w:rsidRPr="00DD2B69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) was about twice of ADFG (0.023 km</w:t>
      </w:r>
      <w:r w:rsidRPr="00DD2B69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).  Average CPUE (# of crabs/km</w:t>
      </w:r>
      <w:r w:rsidRPr="00DD2B69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) of males of CL greate</w:t>
      </w:r>
      <w:r w:rsidR="00673E31">
        <w:rPr>
          <w:sz w:val="22"/>
          <w:szCs w:val="22"/>
        </w:rPr>
        <w:t>r and equal to 64mm of ADFG (91.7</w:t>
      </w:r>
      <w:r>
        <w:rPr>
          <w:sz w:val="22"/>
          <w:szCs w:val="22"/>
        </w:rPr>
        <w:t>) was about twice of NMFS (</w:t>
      </w:r>
      <w:r w:rsidR="00673E31">
        <w:rPr>
          <w:sz w:val="22"/>
          <w:szCs w:val="22"/>
        </w:rPr>
        <w:t>47.3</w:t>
      </w:r>
      <w:r w:rsidR="00751841">
        <w:rPr>
          <w:sz w:val="22"/>
          <w:szCs w:val="22"/>
        </w:rPr>
        <w:t xml:space="preserve">).  CPUE of ADFG trawl was also higher for small males.  </w:t>
      </w:r>
      <w:r w:rsidR="0085429A">
        <w:rPr>
          <w:sz w:val="22"/>
          <w:szCs w:val="22"/>
        </w:rPr>
        <w:t>On the other hand</w:t>
      </w:r>
      <w:r w:rsidR="00751841">
        <w:rPr>
          <w:sz w:val="22"/>
          <w:szCs w:val="22"/>
        </w:rPr>
        <w:t>, NMFS trawl caught mor</w:t>
      </w:r>
      <w:r w:rsidR="00673E31">
        <w:rPr>
          <w:sz w:val="22"/>
          <w:szCs w:val="22"/>
        </w:rPr>
        <w:t xml:space="preserve">e than </w:t>
      </w:r>
      <w:proofErr w:type="gramStart"/>
      <w:r w:rsidR="00673E31">
        <w:rPr>
          <w:sz w:val="22"/>
          <w:szCs w:val="22"/>
        </w:rPr>
        <w:t>3 time</w:t>
      </w:r>
      <w:proofErr w:type="gramEnd"/>
      <w:r w:rsidR="00673E31">
        <w:rPr>
          <w:sz w:val="22"/>
          <w:szCs w:val="22"/>
        </w:rPr>
        <w:t xml:space="preserve"> higher females (58.5) than ADFG (17.7</w:t>
      </w:r>
      <w:r w:rsidR="00751841">
        <w:rPr>
          <w:sz w:val="22"/>
          <w:szCs w:val="22"/>
        </w:rPr>
        <w:t xml:space="preserve">).  </w:t>
      </w:r>
      <w:r w:rsidR="0085429A">
        <w:rPr>
          <w:sz w:val="22"/>
          <w:szCs w:val="22"/>
        </w:rPr>
        <w:t xml:space="preserve"> Simultaneously, there was high variations among stations.  </w:t>
      </w:r>
    </w:p>
    <w:p w:rsidR="00E20B8C" w:rsidRDefault="00476194" w:rsidP="00E20B8C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1053119</wp:posOffset>
                </wp:positionH>
                <wp:positionV relativeFrom="paragraph">
                  <wp:posOffset>1534045</wp:posOffset>
                </wp:positionV>
                <wp:extent cx="2827925" cy="908005"/>
                <wp:effectExtent l="0" t="0" r="10795" b="2603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7925" cy="908005"/>
                          <a:chOff x="0" y="0"/>
                          <a:chExt cx="2827925" cy="908005"/>
                        </a:xfrm>
                      </wpg:grpSpPr>
                      <wps:wsp>
                        <wps:cNvPr id="6" name="Oval 6"/>
                        <wps:cNvSpPr/>
                        <wps:spPr>
                          <a:xfrm>
                            <a:off x="2279072" y="581890"/>
                            <a:ext cx="181610" cy="1873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>
                            <a:off x="1898072" y="526472"/>
                            <a:ext cx="181610" cy="1873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1530927" y="477981"/>
                            <a:ext cx="181610" cy="1873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1149927" y="443345"/>
                            <a:ext cx="181610" cy="1873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 11"/>
                        <wps:cNvSpPr/>
                        <wps:spPr>
                          <a:xfrm>
                            <a:off x="748145" y="394854"/>
                            <a:ext cx="181610" cy="1873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Oval 13"/>
                        <wps:cNvSpPr/>
                        <wps:spPr>
                          <a:xfrm>
                            <a:off x="401781" y="339436"/>
                            <a:ext cx="181610" cy="1873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" name="Group 2"/>
                        <wpg:cNvGrpSpPr/>
                        <wpg:grpSpPr>
                          <a:xfrm>
                            <a:off x="0" y="0"/>
                            <a:ext cx="2827925" cy="908005"/>
                            <a:chOff x="0" y="0"/>
                            <a:chExt cx="2827925" cy="908005"/>
                          </a:xfrm>
                        </wpg:grpSpPr>
                        <wps:wsp>
                          <wps:cNvPr id="4" name="Oval 4"/>
                          <wps:cNvSpPr/>
                          <wps:spPr>
                            <a:xfrm>
                              <a:off x="706581" y="720436"/>
                              <a:ext cx="181707" cy="187569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Oval 5"/>
                          <wps:cNvSpPr/>
                          <wps:spPr>
                            <a:xfrm>
                              <a:off x="318654" y="665018"/>
                              <a:ext cx="181707" cy="187569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Oval 7"/>
                          <wps:cNvSpPr/>
                          <wps:spPr>
                            <a:xfrm>
                              <a:off x="2646218" y="630381"/>
                              <a:ext cx="181707" cy="187569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Oval 12"/>
                          <wps:cNvSpPr/>
                          <wps:spPr>
                            <a:xfrm>
                              <a:off x="0" y="249381"/>
                              <a:ext cx="181610" cy="1873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Oval 14"/>
                          <wps:cNvSpPr/>
                          <wps:spPr>
                            <a:xfrm>
                              <a:off x="443345" y="0"/>
                              <a:ext cx="181610" cy="1873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Oval 15"/>
                          <wps:cNvSpPr/>
                          <wps:spPr>
                            <a:xfrm>
                              <a:off x="817418" y="48490"/>
                              <a:ext cx="181610" cy="1873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Oval 16"/>
                          <wps:cNvSpPr/>
                          <wps:spPr>
                            <a:xfrm>
                              <a:off x="1212272" y="103909"/>
                              <a:ext cx="181610" cy="1873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Oval 17"/>
                          <wps:cNvSpPr/>
                          <wps:spPr>
                            <a:xfrm>
                              <a:off x="1586345" y="152400"/>
                              <a:ext cx="181610" cy="1873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Oval 18"/>
                          <wps:cNvSpPr/>
                          <wps:spPr>
                            <a:xfrm>
                              <a:off x="2341418" y="214745"/>
                              <a:ext cx="181610" cy="1873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ECDB12F" id="Group 3" o:spid="_x0000_s1026" style="position:absolute;margin-left:82.9pt;margin-top:120.8pt;width:222.65pt;height:71.5pt;z-index:251673600" coordsize="28279,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">
                <v:oval id="Oval 6" o:spid="_x0000_s1027" style="position:absolute;left:22790;top:5818;width:1816;height:1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" filled="f" strokecolor="red" strokeweight="2pt"/>
                <v:oval id="Oval 8" o:spid="_x0000_s1028" style="position:absolute;left:18980;top:5264;width:1816;height:1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" filled="f" strokecolor="red" strokeweight="2pt"/>
                <v:oval id="Oval 9" o:spid="_x0000_s1029" style="position:absolute;left:15309;top:4779;width:1816;height:1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" filled="f" strokecolor="red" strokeweight="2pt"/>
                <v:oval id="Oval 10" o:spid="_x0000_s1030" style="position:absolute;left:11499;top:4433;width:1816;height:1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" filled="f" strokecolor="red" strokeweight="2pt"/>
                <v:oval id="Oval 11" o:spid="_x0000_s1031" style="position:absolute;left:7481;top:3948;width:1816;height:1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" filled="f" strokecolor="red" strokeweight="2pt"/>
                <v:oval id="Oval 13" o:spid="_x0000_s1032" style="position:absolute;left:4017;top:3394;width:1816;height:1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" filled="f" strokecolor="red" strokeweight="2pt"/>
                <v:group id="Group 2" o:spid="_x0000_s1033" style="position:absolute;width:28279;height:9080" coordsize="28279,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oval id="Oval 4" o:spid="_x0000_s1034" style="position:absolute;left:7065;top:7204;width:1817;height:1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" filled="f" strokecolor="red" strokeweight="2pt"/>
                  <v:oval id="Oval 5" o:spid="_x0000_s1035" style="position:absolute;left:3186;top:6650;width:1817;height:1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" filled="f" strokecolor="red" strokeweight="2pt"/>
                  <v:oval id="Oval 7" o:spid="_x0000_s1036" style="position:absolute;left:26462;top:6303;width:1817;height:1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" filled="f" strokecolor="red" strokeweight="2pt"/>
                  <v:oval id="Oval 12" o:spid="_x0000_s1037" style="position:absolute;top:2493;width:1816;height:1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" filled="f" strokecolor="red" strokeweight="2pt"/>
                  <v:oval id="Oval 14" o:spid="_x0000_s1038" style="position:absolute;left:4433;width:1816;height:1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" filled="f" strokecolor="red" strokeweight="2pt"/>
                  <v:oval id="Oval 15" o:spid="_x0000_s1039" style="position:absolute;left:8174;top:484;width:1816;height:1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" filled="f" strokecolor="red" strokeweight="2pt"/>
                  <v:oval id="Oval 16" o:spid="_x0000_s1040" style="position:absolute;left:12122;top:1039;width:1816;height:1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" filled="f" strokecolor="red" strokeweight="2pt"/>
                  <v:oval id="Oval 17" o:spid="_x0000_s1041" style="position:absolute;left:15863;top:1524;width:1816;height:1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" filled="f" strokecolor="red" strokeweight="2pt"/>
                  <v:oval id="Oval 18" o:spid="_x0000_s1042" style="position:absolute;left:23414;top:2147;width:1816;height:1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" filled="f" strokecolor="red" strokeweight="2pt"/>
                </v:group>
              </v:group>
            </w:pict>
          </mc:Fallback>
        </mc:AlternateContent>
      </w:r>
      <w:r w:rsidR="00E20B8C" w:rsidRPr="008C5D94">
        <w:rPr>
          <w:noProof/>
        </w:rPr>
        <w:drawing>
          <wp:inline distT="0" distB="0" distL="0" distR="0" wp14:anchorId="03AC05A8" wp14:editId="79619D93">
            <wp:extent cx="5229900" cy="3669323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900" cy="3669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B8C" w:rsidRDefault="00E20B8C" w:rsidP="00E20B8C">
      <w:r>
        <w:t xml:space="preserve"> Gray shaded area is standard stations.   Red circles are NMFS trawl survey stations. </w:t>
      </w:r>
    </w:p>
    <w:p w:rsidR="00E20B8C" w:rsidRDefault="00E20B8C" w:rsidP="00E20B8C"/>
    <w:p w:rsidR="0085429A" w:rsidRDefault="0085429A" w:rsidP="00F56E25">
      <w:pPr>
        <w:pStyle w:val="Default"/>
        <w:spacing w:after="179"/>
        <w:ind w:left="720"/>
        <w:rPr>
          <w:sz w:val="22"/>
          <w:szCs w:val="22"/>
        </w:rPr>
      </w:pPr>
    </w:p>
    <w:p w:rsidR="0085429A" w:rsidRDefault="0085429A" w:rsidP="00F56E25">
      <w:pPr>
        <w:pStyle w:val="Default"/>
        <w:spacing w:after="179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Table:  Comparison of CPUE between ADFG and NMFS trawl survey in 2017. </w:t>
      </w:r>
    </w:p>
    <w:tbl>
      <w:tblPr>
        <w:tblW w:w="7278" w:type="dxa"/>
        <w:tblInd w:w="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1041"/>
        <w:gridCol w:w="1041"/>
        <w:gridCol w:w="1041"/>
        <w:gridCol w:w="1041"/>
        <w:gridCol w:w="1041"/>
        <w:gridCol w:w="1041"/>
      </w:tblGrid>
      <w:tr w:rsidR="008F4E3F" w:rsidRPr="008F4E3F" w:rsidTr="005E6714">
        <w:trPr>
          <w:trHeight w:val="288"/>
        </w:trPr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082" w:type="dxa"/>
            <w:gridSpan w:val="2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</w:t>
            </w:r>
            <w:r w:rsidRPr="008F4E3F">
              <w:rPr>
                <w:rFonts w:eastAsia="Times New Roman"/>
                <w:color w:val="000000"/>
                <w:sz w:val="22"/>
                <w:szCs w:val="22"/>
              </w:rPr>
              <w:t>emale</w:t>
            </w:r>
          </w:p>
        </w:tc>
        <w:tc>
          <w:tcPr>
            <w:tcW w:w="2082" w:type="dxa"/>
            <w:gridSpan w:val="2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Male &lt; 64mm CL</w:t>
            </w:r>
          </w:p>
        </w:tc>
        <w:tc>
          <w:tcPr>
            <w:tcW w:w="2082" w:type="dxa"/>
            <w:gridSpan w:val="2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rPr>
                <w:rFonts w:eastAsia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 xml:space="preserve">Male  </w:t>
            </w:r>
            <w:r>
              <w:rPr>
                <w:sz w:val="22"/>
                <w:szCs w:val="22"/>
              </w:rPr>
              <w:t>≥</w:t>
            </w:r>
            <w:proofErr w:type="gramEnd"/>
            <w:r>
              <w:rPr>
                <w:sz w:val="22"/>
                <w:szCs w:val="22"/>
              </w:rPr>
              <w:t xml:space="preserve"> 64mm CL</w:t>
            </w:r>
          </w:p>
        </w:tc>
      </w:tr>
      <w:tr w:rsidR="008F4E3F" w:rsidRPr="008F4E3F" w:rsidTr="005E6714">
        <w:trPr>
          <w:trHeight w:val="288"/>
        </w:trPr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Station 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ADFG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N</w:t>
            </w:r>
            <w:r w:rsidR="00483F3E">
              <w:rPr>
                <w:rFonts w:eastAsia="Times New Roman"/>
                <w:color w:val="000000"/>
                <w:sz w:val="22"/>
                <w:szCs w:val="22"/>
              </w:rPr>
              <w:t>OAA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ADFG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N</w:t>
            </w:r>
            <w:r w:rsidR="00483F3E">
              <w:rPr>
                <w:rFonts w:eastAsia="Times New Roman"/>
                <w:color w:val="000000"/>
                <w:sz w:val="22"/>
                <w:szCs w:val="22"/>
              </w:rPr>
              <w:t>OAA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ADFG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NOAA</w:t>
            </w:r>
          </w:p>
        </w:tc>
      </w:tr>
      <w:tr w:rsidR="008F4E3F" w:rsidRPr="008F4E3F" w:rsidTr="005E6714">
        <w:trPr>
          <w:trHeight w:val="288"/>
        </w:trPr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8F4E3F" w:rsidRPr="008F4E3F" w:rsidTr="005E6714">
        <w:trPr>
          <w:trHeight w:val="288"/>
        </w:trPr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42.96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44.2</w:t>
            </w:r>
            <w:r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21.48</w:t>
            </w:r>
          </w:p>
        </w:tc>
      </w:tr>
      <w:tr w:rsidR="008F4E3F" w:rsidRPr="008F4E3F" w:rsidTr="005E6714">
        <w:trPr>
          <w:trHeight w:val="288"/>
        </w:trPr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8F4E3F" w:rsidRPr="008F4E3F" w:rsidTr="005E6714">
        <w:trPr>
          <w:trHeight w:val="288"/>
        </w:trPr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44.28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381.5</w:t>
            </w: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44.2</w:t>
            </w:r>
            <w:r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178.0</w:t>
            </w:r>
            <w:r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88.5</w:t>
            </w:r>
            <w:r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50.87</w:t>
            </w:r>
          </w:p>
        </w:tc>
      </w:tr>
      <w:tr w:rsidR="008F4E3F" w:rsidRPr="008F4E3F" w:rsidTr="005E6714">
        <w:trPr>
          <w:trHeight w:val="288"/>
        </w:trPr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132.86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259.80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221.4</w:t>
            </w:r>
            <w:r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129.9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88.5</w:t>
            </w:r>
            <w:r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5429A" w:rsidP="0085429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8F4E3F" w:rsidRPr="008F4E3F" w:rsidTr="005E6714">
        <w:trPr>
          <w:trHeight w:val="288"/>
        </w:trPr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88.5</w:t>
            </w:r>
            <w:r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8F4E3F" w:rsidRPr="008F4E3F" w:rsidTr="005E6714">
        <w:trPr>
          <w:trHeight w:val="288"/>
        </w:trPr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22.94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88.5</w:t>
            </w:r>
            <w:r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8F4E3F" w:rsidRPr="008F4E3F" w:rsidTr="005E6714">
        <w:trPr>
          <w:trHeight w:val="288"/>
        </w:trPr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44.2</w:t>
            </w:r>
            <w:r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27.1</w:t>
            </w:r>
            <w:r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88.5</w:t>
            </w:r>
            <w:r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81.4</w:t>
            </w:r>
            <w:r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</w:tr>
      <w:tr w:rsidR="008F4E3F" w:rsidRPr="008F4E3F" w:rsidTr="005E6714">
        <w:trPr>
          <w:trHeight w:val="288"/>
        </w:trPr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22.2</w:t>
            </w:r>
            <w:r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132.86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22.2</w:t>
            </w:r>
            <w:r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708.60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111.04</w:t>
            </w:r>
          </w:p>
        </w:tc>
      </w:tr>
      <w:tr w:rsidR="008F4E3F" w:rsidRPr="008F4E3F" w:rsidTr="005E6714">
        <w:trPr>
          <w:trHeight w:val="288"/>
        </w:trPr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125.4</w:t>
            </w:r>
            <w:r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</w:tr>
      <w:tr w:rsidR="008F4E3F" w:rsidRPr="008F4E3F" w:rsidTr="005E6714">
        <w:trPr>
          <w:trHeight w:val="288"/>
        </w:trPr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48.3</w:t>
            </w:r>
            <w:r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44.2</w:t>
            </w:r>
            <w:r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120.8</w:t>
            </w:r>
            <w:r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8F4E3F" w:rsidRPr="008F4E3F" w:rsidTr="005E6714">
        <w:trPr>
          <w:trHeight w:val="288"/>
        </w:trPr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44.2</w:t>
            </w:r>
            <w:r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99.6</w:t>
            </w:r>
            <w:r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5429A" w:rsidRPr="008F4E3F" w:rsidRDefault="0085429A" w:rsidP="0085429A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124.5</w:t>
            </w:r>
            <w:r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224.24</w:t>
            </w:r>
          </w:p>
        </w:tc>
      </w:tr>
      <w:tr w:rsidR="008F4E3F" w:rsidRPr="008F4E3F" w:rsidTr="005E6714">
        <w:trPr>
          <w:trHeight w:val="288"/>
        </w:trPr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</w:tr>
      <w:tr w:rsidR="008F4E3F" w:rsidRPr="008F4E3F" w:rsidTr="005E6714">
        <w:trPr>
          <w:trHeight w:val="288"/>
        </w:trPr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265.7</w:t>
            </w: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88.5</w:t>
            </w:r>
            <w:r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24.0</w:t>
            </w:r>
            <w:r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</w:tr>
      <w:tr w:rsidR="008F4E3F" w:rsidRPr="008F4E3F" w:rsidTr="005E6714">
        <w:trPr>
          <w:trHeight w:val="288"/>
        </w:trPr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88.5</w:t>
            </w:r>
            <w:r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23.85</w:t>
            </w:r>
          </w:p>
        </w:tc>
      </w:tr>
      <w:tr w:rsidR="008F4E3F" w:rsidRPr="008F4E3F" w:rsidTr="005E6714">
        <w:trPr>
          <w:trHeight w:val="288"/>
        </w:trPr>
        <w:tc>
          <w:tcPr>
            <w:tcW w:w="1032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Average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17.7</w:t>
            </w:r>
            <w:r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58.50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56.94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40.18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91.7</w:t>
            </w:r>
            <w:r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8F4E3F" w:rsidRPr="008F4E3F" w:rsidRDefault="008F4E3F" w:rsidP="008F4E3F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4E3F">
              <w:rPr>
                <w:rFonts w:eastAsia="Times New Roman"/>
                <w:color w:val="000000"/>
                <w:sz w:val="22"/>
                <w:szCs w:val="22"/>
              </w:rPr>
              <w:t>47.32</w:t>
            </w:r>
          </w:p>
        </w:tc>
      </w:tr>
    </w:tbl>
    <w:p w:rsidR="00DD2B69" w:rsidRPr="00F56E25" w:rsidRDefault="00DD2B69" w:rsidP="00F56E25">
      <w:pPr>
        <w:pStyle w:val="Default"/>
        <w:spacing w:after="179"/>
        <w:ind w:left="720"/>
        <w:rPr>
          <w:sz w:val="22"/>
          <w:szCs w:val="22"/>
        </w:rPr>
      </w:pPr>
    </w:p>
    <w:p w:rsidR="00DE72E2" w:rsidRDefault="00DE72E2" w:rsidP="004F27CE">
      <w:pPr>
        <w:pStyle w:val="Default"/>
        <w:numPr>
          <w:ilvl w:val="0"/>
          <w:numId w:val="18"/>
        </w:numPr>
        <w:spacing w:after="17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Consider whether switch of commercial buyers in 2005 may have affected the apparent CPUE and its standardization. </w:t>
      </w:r>
    </w:p>
    <w:p w:rsidR="00E657F5" w:rsidRDefault="00E657F5" w:rsidP="00E657F5">
      <w:pPr>
        <w:pStyle w:val="ListParagraph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Authors’ reply: </w:t>
      </w:r>
    </w:p>
    <w:p w:rsidR="0085429A" w:rsidRDefault="00E657F5" w:rsidP="00E20B8C">
      <w:pPr>
        <w:pStyle w:val="Default"/>
        <w:spacing w:after="179"/>
        <w:ind w:left="720"/>
        <w:rPr>
          <w:sz w:val="22"/>
          <w:szCs w:val="22"/>
        </w:rPr>
      </w:pPr>
      <w:r>
        <w:rPr>
          <w:sz w:val="22"/>
          <w:szCs w:val="22"/>
        </w:rPr>
        <w:t>In the standardization of commercial CPUE (Appendix B), variable “Year of commercial fishery” was identified as the most influential factor.  T</w:t>
      </w:r>
      <w:r w:rsidR="00531BE4">
        <w:rPr>
          <w:sz w:val="22"/>
          <w:szCs w:val="22"/>
        </w:rPr>
        <w:t xml:space="preserve">he variable, in effect, addresses any deviations </w:t>
      </w:r>
      <w:r w:rsidR="004D1603">
        <w:rPr>
          <w:sz w:val="22"/>
          <w:szCs w:val="22"/>
        </w:rPr>
        <w:t xml:space="preserve">associated with particular year </w:t>
      </w:r>
      <w:r w:rsidR="00531BE4">
        <w:rPr>
          <w:sz w:val="22"/>
          <w:szCs w:val="22"/>
        </w:rPr>
        <w:t xml:space="preserve">of fishing, including changes in regulation. </w:t>
      </w:r>
    </w:p>
    <w:p w:rsidR="00DE72E2" w:rsidRDefault="00DE72E2" w:rsidP="004F27CE">
      <w:pPr>
        <w:pStyle w:val="Default"/>
        <w:numPr>
          <w:ilvl w:val="0"/>
          <w:numId w:val="18"/>
        </w:numPr>
        <w:spacing w:after="179"/>
        <w:rPr>
          <w:sz w:val="22"/>
          <w:szCs w:val="22"/>
        </w:rPr>
      </w:pPr>
      <w:r>
        <w:rPr>
          <w:sz w:val="22"/>
          <w:szCs w:val="22"/>
        </w:rPr>
        <w:t xml:space="preserve">Request to include </w:t>
      </w:r>
      <w:r w:rsidR="00E657F5">
        <w:rPr>
          <w:sz w:val="22"/>
          <w:szCs w:val="22"/>
        </w:rPr>
        <w:t>Quanti</w:t>
      </w:r>
      <w:r>
        <w:rPr>
          <w:sz w:val="22"/>
          <w:szCs w:val="22"/>
        </w:rPr>
        <w:t>tative</w:t>
      </w:r>
      <w:r w:rsidR="00E657F5">
        <w:rPr>
          <w:sz w:val="22"/>
          <w:szCs w:val="22"/>
        </w:rPr>
        <w:t xml:space="preserve"> Baseline of Annual Community Engagement and </w:t>
      </w:r>
      <w:proofErr w:type="gramStart"/>
      <w:r w:rsidR="00E657F5">
        <w:rPr>
          <w:sz w:val="22"/>
          <w:szCs w:val="22"/>
        </w:rPr>
        <w:t>Dependency .</w:t>
      </w:r>
      <w:proofErr w:type="gramEnd"/>
      <w:r w:rsidR="00E657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5552C5" w:rsidRDefault="005552C5" w:rsidP="005552C5">
      <w:pPr>
        <w:pStyle w:val="Default"/>
        <w:spacing w:after="179"/>
        <w:ind w:left="720"/>
        <w:rPr>
          <w:sz w:val="22"/>
          <w:szCs w:val="22"/>
        </w:rPr>
      </w:pPr>
      <w:r>
        <w:rPr>
          <w:sz w:val="22"/>
          <w:szCs w:val="22"/>
        </w:rPr>
        <w:t>Author</w:t>
      </w:r>
      <w:r w:rsidR="001500A8">
        <w:rPr>
          <w:sz w:val="22"/>
          <w:szCs w:val="22"/>
        </w:rPr>
        <w:t>’s</w:t>
      </w:r>
      <w:r>
        <w:rPr>
          <w:sz w:val="22"/>
          <w:szCs w:val="22"/>
        </w:rPr>
        <w:t xml:space="preserve"> reply:</w:t>
      </w:r>
      <w:r w:rsidR="004D1603">
        <w:rPr>
          <w:sz w:val="22"/>
          <w:szCs w:val="22"/>
        </w:rPr>
        <w:t xml:space="preserve">  </w:t>
      </w:r>
    </w:p>
    <w:p w:rsidR="004D1603" w:rsidRDefault="004D1603" w:rsidP="005552C5">
      <w:pPr>
        <w:pStyle w:val="Default"/>
        <w:spacing w:after="179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This will be done by Economic SAFE, but not in this chapter. </w:t>
      </w:r>
    </w:p>
    <w:p w:rsidR="00215F1B" w:rsidRDefault="00215F1B" w:rsidP="00C56D24">
      <w:pPr>
        <w:pStyle w:val="Default"/>
        <w:spacing w:after="179"/>
        <w:rPr>
          <w:sz w:val="22"/>
          <w:szCs w:val="22"/>
        </w:rPr>
      </w:pPr>
    </w:p>
    <w:p w:rsidR="005019DD" w:rsidRDefault="005019DD" w:rsidP="00C56D24">
      <w:pPr>
        <w:pStyle w:val="Default"/>
        <w:spacing w:after="179"/>
        <w:rPr>
          <w:sz w:val="22"/>
          <w:szCs w:val="22"/>
        </w:rPr>
      </w:pPr>
    </w:p>
    <w:p w:rsidR="008F0352" w:rsidRDefault="008F0352" w:rsidP="00C56D24">
      <w:pPr>
        <w:pStyle w:val="Default"/>
        <w:spacing w:after="179"/>
        <w:rPr>
          <w:sz w:val="22"/>
          <w:szCs w:val="22"/>
        </w:rPr>
      </w:pPr>
      <w:r>
        <w:rPr>
          <w:sz w:val="22"/>
          <w:szCs w:val="22"/>
        </w:rPr>
        <w:t xml:space="preserve">CIE-Review: June </w:t>
      </w:r>
    </w:p>
    <w:p w:rsidR="007A1978" w:rsidRDefault="007A1978" w:rsidP="007A1978">
      <w:pPr>
        <w:spacing w:line="360" w:lineRule="auto"/>
        <w:rPr>
          <w:rFonts w:ascii="TimesNewRomanPSMT" w:eastAsiaTheme="minorEastAsia" w:hAnsi="TimesNewRomanPSMT" w:cs="TimesNewRomanPSMT"/>
        </w:rPr>
      </w:pPr>
    </w:p>
    <w:p w:rsidR="007A1978" w:rsidRDefault="007A1978" w:rsidP="007A1978">
      <w:pPr>
        <w:spacing w:line="360" w:lineRule="auto"/>
        <w:rPr>
          <w:rFonts w:ascii="TimesNewRomanPSMT" w:eastAsiaTheme="minorEastAsia" w:hAnsi="TimesNewRomanPSMT" w:cs="TimesNewRomanPSMT"/>
        </w:rPr>
      </w:pPr>
      <w:r>
        <w:rPr>
          <w:rFonts w:ascii="TimesNewRomanPSMT" w:eastAsiaTheme="minorEastAsia" w:hAnsi="TimesNewRomanPSMT" w:cs="TimesNewRomanPSMT"/>
        </w:rPr>
        <w:t>Crab Plan Team – September 12, 2018</w:t>
      </w:r>
    </w:p>
    <w:p w:rsidR="007A1978" w:rsidRPr="007A1978" w:rsidRDefault="007A1978" w:rsidP="007A1978">
      <w:pPr>
        <w:autoSpaceDE w:val="0"/>
        <w:autoSpaceDN w:val="0"/>
        <w:adjustRightInd w:val="0"/>
        <w:rPr>
          <w:rFonts w:ascii="Cambria" w:hAnsi="Cambria" w:cs="Cambria"/>
          <w:color w:val="000000"/>
        </w:rPr>
      </w:pPr>
    </w:p>
    <w:p w:rsidR="007A1978" w:rsidRDefault="007A1978" w:rsidP="007A197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"/>
        <w:rPr>
          <w:color w:val="000000"/>
          <w:sz w:val="22"/>
          <w:szCs w:val="22"/>
        </w:rPr>
      </w:pPr>
      <w:r w:rsidRPr="007A1978">
        <w:rPr>
          <w:color w:val="000000"/>
          <w:sz w:val="22"/>
          <w:szCs w:val="22"/>
        </w:rPr>
        <w:t xml:space="preserve">Limit the January discussion to Tier 3 vs. Tier 4. The CPT does not need to see </w:t>
      </w:r>
      <w:proofErr w:type="gramStart"/>
      <w:r w:rsidRPr="007A1978">
        <w:rPr>
          <w:color w:val="000000"/>
          <w:sz w:val="22"/>
          <w:szCs w:val="22"/>
        </w:rPr>
        <w:t>all of</w:t>
      </w:r>
      <w:proofErr w:type="gramEnd"/>
      <w:r w:rsidRPr="007A1978">
        <w:rPr>
          <w:color w:val="000000"/>
          <w:sz w:val="22"/>
          <w:szCs w:val="22"/>
        </w:rPr>
        <w:t xml:space="preserve"> the model description again.</w:t>
      </w:r>
    </w:p>
    <w:p w:rsidR="007A1978" w:rsidRDefault="007A1978" w:rsidP="007A1978">
      <w:pPr>
        <w:pStyle w:val="ListParagraph"/>
        <w:autoSpaceDE w:val="0"/>
        <w:autoSpaceDN w:val="0"/>
        <w:adjustRightInd w:val="0"/>
        <w:spacing w:after="6"/>
        <w:rPr>
          <w:color w:val="000000"/>
          <w:sz w:val="22"/>
          <w:szCs w:val="22"/>
        </w:rPr>
      </w:pPr>
      <w:r w:rsidRPr="007A1978">
        <w:rPr>
          <w:color w:val="000000"/>
          <w:sz w:val="22"/>
          <w:szCs w:val="22"/>
        </w:rPr>
        <w:t xml:space="preserve"> </w:t>
      </w:r>
    </w:p>
    <w:p w:rsidR="007A1978" w:rsidRPr="007A1978" w:rsidRDefault="007A1978" w:rsidP="007A1978">
      <w:pPr>
        <w:pStyle w:val="ListParagraph"/>
        <w:autoSpaceDE w:val="0"/>
        <w:autoSpaceDN w:val="0"/>
        <w:adjustRightInd w:val="0"/>
        <w:spacing w:after="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Author Reply:  Model results with updated data were included in the report.  However, the results would not be presented at the CPT. </w:t>
      </w:r>
    </w:p>
    <w:p w:rsidR="007A1978" w:rsidRPr="007A1978" w:rsidRDefault="007A1978" w:rsidP="007A1978">
      <w:pPr>
        <w:pStyle w:val="ListParagraph"/>
        <w:autoSpaceDE w:val="0"/>
        <w:autoSpaceDN w:val="0"/>
        <w:adjustRightInd w:val="0"/>
        <w:spacing w:after="6"/>
        <w:rPr>
          <w:color w:val="000000"/>
          <w:sz w:val="22"/>
          <w:szCs w:val="22"/>
        </w:rPr>
      </w:pPr>
    </w:p>
    <w:p w:rsidR="007A1978" w:rsidRDefault="007A1978" w:rsidP="007A197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"/>
        <w:rPr>
          <w:color w:val="000000"/>
          <w:sz w:val="22"/>
          <w:szCs w:val="22"/>
        </w:rPr>
      </w:pPr>
      <w:r w:rsidRPr="007A1978">
        <w:rPr>
          <w:color w:val="000000"/>
          <w:sz w:val="22"/>
          <w:szCs w:val="22"/>
        </w:rPr>
        <w:t>A key concern is determining if Tier 3 status is appropriate for NSRKC. A thorough examination of the understanding (based on NSRKC-specific studies) of the processes that determine F35% is needed to make this determination.</w:t>
      </w:r>
    </w:p>
    <w:p w:rsidR="00E17CDD" w:rsidRDefault="00E17CDD" w:rsidP="00E17CDD">
      <w:pPr>
        <w:pStyle w:val="ListParagraph"/>
        <w:autoSpaceDE w:val="0"/>
        <w:autoSpaceDN w:val="0"/>
        <w:adjustRightInd w:val="0"/>
        <w:spacing w:after="6"/>
        <w:rPr>
          <w:color w:val="000000"/>
          <w:sz w:val="22"/>
          <w:szCs w:val="22"/>
        </w:rPr>
      </w:pPr>
    </w:p>
    <w:p w:rsidR="00E17CDD" w:rsidRDefault="00E17CDD" w:rsidP="00E17CDD">
      <w:pPr>
        <w:pStyle w:val="ListParagraph"/>
        <w:autoSpaceDE w:val="0"/>
        <w:autoSpaceDN w:val="0"/>
        <w:adjustRightInd w:val="0"/>
        <w:spacing w:after="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Author Reply:  We concur with CPT.  </w:t>
      </w:r>
    </w:p>
    <w:p w:rsidR="00E17CDD" w:rsidRDefault="00E17CDD" w:rsidP="00E17CDD">
      <w:pPr>
        <w:pStyle w:val="ListParagraph"/>
        <w:autoSpaceDE w:val="0"/>
        <w:autoSpaceDN w:val="0"/>
        <w:adjustRightInd w:val="0"/>
        <w:spacing w:after="6"/>
        <w:rPr>
          <w:color w:val="000000"/>
          <w:sz w:val="22"/>
          <w:szCs w:val="22"/>
        </w:rPr>
      </w:pPr>
    </w:p>
    <w:p w:rsidR="007A1978" w:rsidRDefault="007A1978" w:rsidP="00E17CD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"/>
        <w:rPr>
          <w:color w:val="000000"/>
          <w:sz w:val="22"/>
          <w:szCs w:val="22"/>
        </w:rPr>
      </w:pPr>
      <w:r w:rsidRPr="007A1978">
        <w:rPr>
          <w:color w:val="000000"/>
          <w:sz w:val="22"/>
          <w:szCs w:val="22"/>
        </w:rPr>
        <w:t xml:space="preserve">The CPT suggests comparing the calculated OFLs when the increased natural mortality on the plus group is included when computing a Tier 4 OFL to support the decision between Tier 3 vs. 4 status. A relevant question is what would happen if the stock was fished at </w:t>
      </w:r>
      <w:r w:rsidRPr="007A1978">
        <w:rPr>
          <w:i/>
          <w:iCs/>
          <w:color w:val="000000"/>
          <w:sz w:val="22"/>
          <w:szCs w:val="22"/>
        </w:rPr>
        <w:t xml:space="preserve">M </w:t>
      </w:r>
      <w:r w:rsidRPr="007A1978">
        <w:rPr>
          <w:color w:val="000000"/>
          <w:sz w:val="22"/>
          <w:szCs w:val="22"/>
        </w:rPr>
        <w:t xml:space="preserve">uniformly, as there is no assumed selectivity in Tier 4 rules. The basic thrust of these questions is to ensure that the OFLs presented for Tier 3 and Tier 4 are fair comparisons. </w:t>
      </w:r>
    </w:p>
    <w:p w:rsidR="00E17CDD" w:rsidRDefault="00E17CDD" w:rsidP="00E17CDD">
      <w:pPr>
        <w:pStyle w:val="ListParagraph"/>
        <w:autoSpaceDE w:val="0"/>
        <w:autoSpaceDN w:val="0"/>
        <w:adjustRightInd w:val="0"/>
        <w:spacing w:after="6"/>
        <w:rPr>
          <w:color w:val="000000"/>
          <w:sz w:val="22"/>
          <w:szCs w:val="22"/>
        </w:rPr>
      </w:pPr>
    </w:p>
    <w:p w:rsidR="00E17CDD" w:rsidRDefault="00E17CDD" w:rsidP="00E17CDD">
      <w:pPr>
        <w:pStyle w:val="ListParagraph"/>
        <w:autoSpaceDE w:val="0"/>
        <w:autoSpaceDN w:val="0"/>
        <w:adjustRightInd w:val="0"/>
        <w:spacing w:after="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Author Reply:  Tier 4 OFL</w:t>
      </w:r>
      <w:r w:rsidR="005019DD">
        <w:rPr>
          <w:color w:val="000000"/>
          <w:sz w:val="22"/>
          <w:szCs w:val="22"/>
        </w:rPr>
        <w:t>*</w:t>
      </w:r>
      <w:r>
        <w:rPr>
          <w:color w:val="000000"/>
          <w:sz w:val="22"/>
          <w:szCs w:val="22"/>
        </w:rPr>
        <w:t xml:space="preserve"> based on increased M on the large group is presented.  OFL</w:t>
      </w:r>
      <w:r w:rsidR="005019DD">
        <w:rPr>
          <w:color w:val="000000"/>
          <w:sz w:val="22"/>
          <w:szCs w:val="22"/>
        </w:rPr>
        <w:t>*</w:t>
      </w:r>
      <w:r>
        <w:rPr>
          <w:color w:val="000000"/>
          <w:sz w:val="22"/>
          <w:szCs w:val="22"/>
        </w:rPr>
        <w:t xml:space="preserve"> </w:t>
      </w:r>
      <w:r w:rsidR="0050347B">
        <w:rPr>
          <w:color w:val="000000"/>
          <w:sz w:val="22"/>
          <w:szCs w:val="22"/>
        </w:rPr>
        <w:t xml:space="preserve">(0.44 mil </w:t>
      </w:r>
      <w:proofErr w:type="spellStart"/>
      <w:r w:rsidR="0050347B">
        <w:rPr>
          <w:color w:val="000000"/>
          <w:sz w:val="22"/>
          <w:szCs w:val="22"/>
        </w:rPr>
        <w:t>lb</w:t>
      </w:r>
      <w:proofErr w:type="spellEnd"/>
      <w:r w:rsidR="0050347B"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was higher than CPT specified OFL</w:t>
      </w:r>
      <w:r w:rsidR="0050347B">
        <w:rPr>
          <w:color w:val="000000"/>
          <w:sz w:val="22"/>
          <w:szCs w:val="22"/>
        </w:rPr>
        <w:t xml:space="preserve"> (0.24 mil </w:t>
      </w:r>
      <w:proofErr w:type="spellStart"/>
      <w:r w:rsidR="0050347B">
        <w:rPr>
          <w:color w:val="000000"/>
          <w:sz w:val="22"/>
          <w:szCs w:val="22"/>
        </w:rPr>
        <w:t>lb</w:t>
      </w:r>
      <w:proofErr w:type="spellEnd"/>
      <w:r w:rsidR="0050347B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>, but still lower than Tier 3 OFL</w:t>
      </w:r>
      <w:r w:rsidR="005019DD">
        <w:rPr>
          <w:color w:val="000000"/>
          <w:sz w:val="22"/>
          <w:szCs w:val="22"/>
        </w:rPr>
        <w:t xml:space="preserve"> </w:t>
      </w:r>
      <w:r w:rsidR="0050347B">
        <w:rPr>
          <w:color w:val="000000"/>
          <w:sz w:val="22"/>
          <w:szCs w:val="22"/>
        </w:rPr>
        <w:t xml:space="preserve">(1.55-1.64 mil </w:t>
      </w:r>
      <w:proofErr w:type="spellStart"/>
      <w:r w:rsidR="0050347B">
        <w:rPr>
          <w:color w:val="000000"/>
          <w:sz w:val="22"/>
          <w:szCs w:val="22"/>
        </w:rPr>
        <w:t>lb</w:t>
      </w:r>
      <w:proofErr w:type="spellEnd"/>
      <w:r w:rsidR="0050347B">
        <w:rPr>
          <w:color w:val="000000"/>
          <w:sz w:val="22"/>
          <w:szCs w:val="22"/>
        </w:rPr>
        <w:t xml:space="preserve">) </w:t>
      </w:r>
      <w:r w:rsidR="005019DD">
        <w:rPr>
          <w:color w:val="000000"/>
          <w:sz w:val="22"/>
          <w:szCs w:val="22"/>
        </w:rPr>
        <w:t>(See Model selection and Evaluation section).</w:t>
      </w:r>
    </w:p>
    <w:p w:rsidR="007A1978" w:rsidRPr="00E17CDD" w:rsidRDefault="007A1978" w:rsidP="00E17CDD">
      <w:pPr>
        <w:autoSpaceDE w:val="0"/>
        <w:autoSpaceDN w:val="0"/>
        <w:adjustRightInd w:val="0"/>
        <w:spacing w:after="6"/>
        <w:rPr>
          <w:color w:val="000000"/>
          <w:sz w:val="22"/>
          <w:szCs w:val="22"/>
        </w:rPr>
      </w:pPr>
    </w:p>
    <w:p w:rsidR="00E17CDD" w:rsidRDefault="007A1978" w:rsidP="00E17CD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"/>
        <w:rPr>
          <w:sz w:val="22"/>
          <w:szCs w:val="22"/>
        </w:rPr>
      </w:pPr>
      <w:r w:rsidRPr="00E17CDD">
        <w:rPr>
          <w:sz w:val="22"/>
          <w:szCs w:val="22"/>
        </w:rPr>
        <w:t xml:space="preserve">A summary slide of the pros and cons of Tier 3 vs. Tier 4 for this stock would be useful. </w:t>
      </w:r>
    </w:p>
    <w:p w:rsidR="00E17CDD" w:rsidRDefault="00E17CDD" w:rsidP="00E17CDD">
      <w:pPr>
        <w:pStyle w:val="ListParagraph"/>
        <w:autoSpaceDE w:val="0"/>
        <w:autoSpaceDN w:val="0"/>
        <w:adjustRightInd w:val="0"/>
        <w:spacing w:after="6"/>
        <w:rPr>
          <w:color w:val="000000"/>
          <w:sz w:val="22"/>
          <w:szCs w:val="22"/>
        </w:rPr>
      </w:pPr>
    </w:p>
    <w:p w:rsidR="00E17CDD" w:rsidRDefault="00E17CDD" w:rsidP="00E17CDD">
      <w:pPr>
        <w:pStyle w:val="ListParagraph"/>
        <w:autoSpaceDE w:val="0"/>
        <w:autoSpaceDN w:val="0"/>
        <w:adjustRightInd w:val="0"/>
        <w:spacing w:after="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Author Reply:  The slide is provided: </w:t>
      </w:r>
    </w:p>
    <w:p w:rsidR="00E17CDD" w:rsidRDefault="00E17CDD" w:rsidP="00E17CDD">
      <w:pPr>
        <w:pStyle w:val="ListParagraph"/>
        <w:autoSpaceDE w:val="0"/>
        <w:autoSpaceDN w:val="0"/>
        <w:adjustRightInd w:val="0"/>
        <w:spacing w:after="6"/>
        <w:rPr>
          <w:color w:val="000000"/>
          <w:sz w:val="22"/>
          <w:szCs w:val="22"/>
        </w:rPr>
      </w:pPr>
    </w:p>
    <w:p w:rsidR="00E17CDD" w:rsidRDefault="00E17CDD" w:rsidP="00E17CDD">
      <w:pPr>
        <w:pStyle w:val="ListParagraph"/>
        <w:autoSpaceDE w:val="0"/>
        <w:autoSpaceDN w:val="0"/>
        <w:adjustRightInd w:val="0"/>
        <w:spacing w:after="6"/>
        <w:rPr>
          <w:sz w:val="22"/>
          <w:szCs w:val="22"/>
        </w:rPr>
      </w:pPr>
      <w:r>
        <w:rPr>
          <w:sz w:val="22"/>
          <w:szCs w:val="22"/>
        </w:rPr>
        <w:t>Tier 3:</w:t>
      </w:r>
    </w:p>
    <w:p w:rsidR="00E17CDD" w:rsidRDefault="00E17CDD" w:rsidP="00E17CDD">
      <w:pPr>
        <w:pStyle w:val="ListParagraph"/>
        <w:autoSpaceDE w:val="0"/>
        <w:autoSpaceDN w:val="0"/>
        <w:adjustRightInd w:val="0"/>
        <w:spacing w:after="6"/>
        <w:rPr>
          <w:sz w:val="22"/>
          <w:szCs w:val="22"/>
        </w:rPr>
      </w:pPr>
      <w:r>
        <w:rPr>
          <w:sz w:val="22"/>
          <w:szCs w:val="22"/>
        </w:rPr>
        <w:tab/>
        <w:t xml:space="preserve">Pro: </w:t>
      </w:r>
      <w:r w:rsidR="007F39B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Harvest </w:t>
      </w:r>
      <w:r w:rsidR="007F39B1">
        <w:rPr>
          <w:sz w:val="22"/>
          <w:szCs w:val="22"/>
        </w:rPr>
        <w:t xml:space="preserve">limit </w:t>
      </w:r>
      <w:r>
        <w:rPr>
          <w:sz w:val="22"/>
          <w:szCs w:val="22"/>
        </w:rPr>
        <w:t>based entirely on biological process</w:t>
      </w:r>
      <w:r w:rsidR="007F39B1">
        <w:rPr>
          <w:sz w:val="22"/>
          <w:szCs w:val="22"/>
        </w:rPr>
        <w:t xml:space="preserve">.  </w:t>
      </w:r>
    </w:p>
    <w:p w:rsidR="007F39B1" w:rsidRDefault="007F39B1" w:rsidP="00E17CDD">
      <w:pPr>
        <w:pStyle w:val="ListParagraph"/>
        <w:autoSpaceDE w:val="0"/>
        <w:autoSpaceDN w:val="0"/>
        <w:adjustRightInd w:val="0"/>
        <w:spacing w:after="6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Con: High uncertainties about model assumed/estimated biological process.</w:t>
      </w:r>
    </w:p>
    <w:p w:rsidR="007F39B1" w:rsidRDefault="007F39B1" w:rsidP="007F39B1">
      <w:pPr>
        <w:pStyle w:val="ListParagraph"/>
        <w:autoSpaceDE w:val="0"/>
        <w:autoSpaceDN w:val="0"/>
        <w:adjustRightInd w:val="0"/>
        <w:spacing w:after="6"/>
        <w:rPr>
          <w:sz w:val="22"/>
          <w:szCs w:val="22"/>
        </w:rPr>
      </w:pPr>
      <w:r>
        <w:rPr>
          <w:sz w:val="22"/>
          <w:szCs w:val="22"/>
        </w:rPr>
        <w:t>Tier 4:</w:t>
      </w:r>
    </w:p>
    <w:p w:rsidR="007F39B1" w:rsidRDefault="007F39B1" w:rsidP="007F39B1">
      <w:pPr>
        <w:pStyle w:val="ListParagraph"/>
        <w:autoSpaceDE w:val="0"/>
        <w:autoSpaceDN w:val="0"/>
        <w:adjustRightInd w:val="0"/>
        <w:spacing w:after="6"/>
        <w:rPr>
          <w:sz w:val="22"/>
          <w:szCs w:val="22"/>
        </w:rPr>
      </w:pPr>
      <w:r>
        <w:rPr>
          <w:sz w:val="22"/>
          <w:szCs w:val="22"/>
        </w:rPr>
        <w:tab/>
        <w:t>Pro: Conventional</w:t>
      </w:r>
    </w:p>
    <w:p w:rsidR="007F39B1" w:rsidRDefault="007F39B1" w:rsidP="007F39B1">
      <w:pPr>
        <w:pStyle w:val="ListParagraph"/>
        <w:autoSpaceDE w:val="0"/>
        <w:autoSpaceDN w:val="0"/>
        <w:adjustRightInd w:val="0"/>
        <w:spacing w:after="6"/>
        <w:rPr>
          <w:sz w:val="22"/>
          <w:szCs w:val="22"/>
        </w:rPr>
      </w:pPr>
      <w:r>
        <w:rPr>
          <w:sz w:val="22"/>
          <w:szCs w:val="22"/>
        </w:rPr>
        <w:tab/>
        <w:t xml:space="preserve">Con: </w:t>
      </w:r>
      <w:r w:rsidRPr="0050347B">
        <w:rPr>
          <w:i/>
          <w:sz w:val="22"/>
          <w:szCs w:val="22"/>
        </w:rPr>
        <w:t>Ad hoc</w:t>
      </w:r>
      <w:r>
        <w:rPr>
          <w:sz w:val="22"/>
          <w:szCs w:val="22"/>
        </w:rPr>
        <w:t xml:space="preserve"> harvest limit </w:t>
      </w:r>
      <w:r w:rsidR="0050347B">
        <w:rPr>
          <w:sz w:val="22"/>
          <w:szCs w:val="22"/>
        </w:rPr>
        <w:t xml:space="preserve">rule </w:t>
      </w:r>
      <w:r>
        <w:rPr>
          <w:sz w:val="22"/>
          <w:szCs w:val="22"/>
        </w:rPr>
        <w:t xml:space="preserve">that may not be biologically justifiable. </w:t>
      </w:r>
    </w:p>
    <w:p w:rsidR="007F39B1" w:rsidRDefault="007F39B1" w:rsidP="00E17CDD">
      <w:pPr>
        <w:pStyle w:val="ListParagraph"/>
        <w:autoSpaceDE w:val="0"/>
        <w:autoSpaceDN w:val="0"/>
        <w:adjustRightInd w:val="0"/>
        <w:spacing w:after="6"/>
        <w:rPr>
          <w:sz w:val="22"/>
          <w:szCs w:val="22"/>
        </w:rPr>
      </w:pPr>
    </w:p>
    <w:p w:rsidR="007F39B1" w:rsidRDefault="00443D68" w:rsidP="00E17CDD">
      <w:pPr>
        <w:pStyle w:val="ListParagraph"/>
        <w:autoSpaceDE w:val="0"/>
        <w:autoSpaceDN w:val="0"/>
        <w:adjustRightInd w:val="0"/>
        <w:spacing w:after="6"/>
        <w:rPr>
          <w:sz w:val="22"/>
          <w:szCs w:val="22"/>
        </w:rPr>
      </w:pPr>
      <w:r>
        <w:rPr>
          <w:sz w:val="22"/>
          <w:szCs w:val="22"/>
        </w:rPr>
        <w:t xml:space="preserve">Impacts on fishery </w:t>
      </w:r>
    </w:p>
    <w:p w:rsidR="00443D68" w:rsidRDefault="00443D68" w:rsidP="00E17CDD">
      <w:pPr>
        <w:pStyle w:val="ListParagraph"/>
        <w:autoSpaceDE w:val="0"/>
        <w:autoSpaceDN w:val="0"/>
        <w:adjustRightInd w:val="0"/>
        <w:spacing w:after="6"/>
        <w:rPr>
          <w:sz w:val="22"/>
          <w:szCs w:val="22"/>
        </w:rPr>
      </w:pPr>
    </w:p>
    <w:p w:rsidR="00443D68" w:rsidRDefault="007F39B1" w:rsidP="000353B8">
      <w:pPr>
        <w:pStyle w:val="ListParagraph"/>
        <w:autoSpaceDE w:val="0"/>
        <w:autoSpaceDN w:val="0"/>
        <w:adjustRightInd w:val="0"/>
        <w:spacing w:after="6"/>
      </w:pPr>
      <w:r>
        <w:rPr>
          <w:sz w:val="22"/>
          <w:szCs w:val="22"/>
        </w:rPr>
        <w:t>Tier 4 OFL</w:t>
      </w:r>
      <w:r w:rsidR="00443D68">
        <w:rPr>
          <w:sz w:val="22"/>
          <w:szCs w:val="22"/>
        </w:rPr>
        <w:t>/ABC is generally lower than GHL</w:t>
      </w:r>
      <w:r w:rsidR="0050347B">
        <w:rPr>
          <w:sz w:val="22"/>
          <w:szCs w:val="22"/>
        </w:rPr>
        <w:t xml:space="preserve">, and thus </w:t>
      </w:r>
      <w:r w:rsidR="00443D68">
        <w:rPr>
          <w:sz w:val="22"/>
          <w:szCs w:val="22"/>
        </w:rPr>
        <w:t>current fishery harvest is limited by Tier 4 ABC.  Under Tier 3 OFL/ABC</w:t>
      </w:r>
      <w:r w:rsidR="0050347B">
        <w:rPr>
          <w:sz w:val="22"/>
          <w:szCs w:val="22"/>
        </w:rPr>
        <w:t xml:space="preserve"> </w:t>
      </w:r>
      <w:r w:rsidR="00443D68">
        <w:rPr>
          <w:sz w:val="22"/>
          <w:szCs w:val="22"/>
        </w:rPr>
        <w:t xml:space="preserve">harvest will </w:t>
      </w:r>
      <w:r w:rsidR="0050347B">
        <w:rPr>
          <w:sz w:val="22"/>
          <w:szCs w:val="22"/>
        </w:rPr>
        <w:t xml:space="preserve">more likely </w:t>
      </w:r>
      <w:r w:rsidR="00443D68">
        <w:rPr>
          <w:sz w:val="22"/>
          <w:szCs w:val="22"/>
        </w:rPr>
        <w:t xml:space="preserve">be limited by GHL.  For example, </w:t>
      </w:r>
      <w:r w:rsidR="00E925FC">
        <w:rPr>
          <w:sz w:val="22"/>
          <w:szCs w:val="22"/>
        </w:rPr>
        <w:t xml:space="preserve">under model 18.0, </w:t>
      </w:r>
      <w:r w:rsidR="00443D68">
        <w:rPr>
          <w:sz w:val="22"/>
          <w:szCs w:val="22"/>
        </w:rPr>
        <w:t xml:space="preserve">the maximum </w:t>
      </w:r>
      <w:r w:rsidR="000353B8">
        <w:rPr>
          <w:sz w:val="22"/>
          <w:szCs w:val="22"/>
        </w:rPr>
        <w:t xml:space="preserve">allowable </w:t>
      </w:r>
      <w:r w:rsidR="00443D68">
        <w:rPr>
          <w:sz w:val="22"/>
          <w:szCs w:val="22"/>
        </w:rPr>
        <w:t xml:space="preserve">harvest </w:t>
      </w:r>
      <w:r w:rsidR="000353B8">
        <w:rPr>
          <w:sz w:val="22"/>
          <w:szCs w:val="22"/>
        </w:rPr>
        <w:t>under</w:t>
      </w:r>
      <w:r w:rsidR="00443D68">
        <w:rPr>
          <w:sz w:val="22"/>
          <w:szCs w:val="22"/>
        </w:rPr>
        <w:t xml:space="preserve"> GHL will be </w:t>
      </w:r>
      <w:r w:rsidR="003E3D53">
        <w:rPr>
          <w:sz w:val="22"/>
          <w:szCs w:val="22"/>
        </w:rPr>
        <w:t xml:space="preserve">0.32 million </w:t>
      </w:r>
      <w:proofErr w:type="spellStart"/>
      <w:r w:rsidR="003E3D53">
        <w:rPr>
          <w:sz w:val="22"/>
          <w:szCs w:val="22"/>
        </w:rPr>
        <w:t>lb</w:t>
      </w:r>
      <w:proofErr w:type="spellEnd"/>
      <w:r w:rsidR="003E3D53">
        <w:rPr>
          <w:sz w:val="22"/>
          <w:szCs w:val="22"/>
        </w:rPr>
        <w:t xml:space="preserve"> (</w:t>
      </w:r>
      <w:r w:rsidR="000353B8">
        <w:rPr>
          <w:sz w:val="22"/>
          <w:szCs w:val="22"/>
        </w:rPr>
        <w:t xml:space="preserve">up to </w:t>
      </w:r>
      <w:r w:rsidR="00443D68">
        <w:t xml:space="preserve">13% </w:t>
      </w:r>
      <w:r w:rsidR="003E3D53">
        <w:t xml:space="preserve">of </w:t>
      </w:r>
      <w:r w:rsidR="000353B8">
        <w:rPr>
          <w:sz w:val="22"/>
          <w:szCs w:val="22"/>
        </w:rPr>
        <w:t xml:space="preserve">projected legal catchable crab biomass of 2.50 million </w:t>
      </w:r>
      <w:proofErr w:type="spellStart"/>
      <w:r w:rsidR="000353B8">
        <w:rPr>
          <w:sz w:val="22"/>
          <w:szCs w:val="22"/>
        </w:rPr>
        <w:t>lb</w:t>
      </w:r>
      <w:proofErr w:type="spellEnd"/>
      <w:r w:rsidR="000353B8">
        <w:rPr>
          <w:sz w:val="22"/>
          <w:szCs w:val="22"/>
        </w:rPr>
        <w:t>,</w:t>
      </w:r>
      <w:r w:rsidR="003E3D53">
        <w:t>)</w:t>
      </w:r>
      <w:r w:rsidR="000353B8">
        <w:t xml:space="preserve">.  This GHL is higher than </w:t>
      </w:r>
      <w:r w:rsidR="003E3D53">
        <w:t>Tier 4</w:t>
      </w:r>
      <w:r w:rsidR="005C2A4F">
        <w:t>b</w:t>
      </w:r>
      <w:r w:rsidR="003E3D53">
        <w:t xml:space="preserve"> OFL of 0.24 mil </w:t>
      </w:r>
      <w:proofErr w:type="spellStart"/>
      <w:r w:rsidR="003E3D53">
        <w:t>lb</w:t>
      </w:r>
      <w:proofErr w:type="spellEnd"/>
      <w:r w:rsidR="003E3D53">
        <w:t xml:space="preserve"> but </w:t>
      </w:r>
      <w:r w:rsidR="005C2A4F">
        <w:t xml:space="preserve">lower than Tier 3 OFL of </w:t>
      </w:r>
      <w:r w:rsidR="009B66BA">
        <w:t>1.</w:t>
      </w:r>
      <w:r w:rsidR="0050347B">
        <w:t>55</w:t>
      </w:r>
      <w:r w:rsidR="005C2A4F">
        <w:t xml:space="preserve"> mil lb. </w:t>
      </w:r>
    </w:p>
    <w:p w:rsidR="000353B8" w:rsidRPr="00E925FC" w:rsidRDefault="000353B8" w:rsidP="000353B8">
      <w:pPr>
        <w:pStyle w:val="ListParagraph"/>
        <w:autoSpaceDE w:val="0"/>
        <w:autoSpaceDN w:val="0"/>
        <w:adjustRightInd w:val="0"/>
        <w:spacing w:after="6"/>
      </w:pPr>
    </w:p>
    <w:p w:rsidR="003E3D53" w:rsidRDefault="003E3D53" w:rsidP="00E17CDD">
      <w:pPr>
        <w:pStyle w:val="ListParagraph"/>
        <w:autoSpaceDE w:val="0"/>
        <w:autoSpaceDN w:val="0"/>
        <w:adjustRightInd w:val="0"/>
        <w:spacing w:after="6"/>
        <w:rPr>
          <w:sz w:val="22"/>
          <w:szCs w:val="22"/>
        </w:rPr>
      </w:pPr>
    </w:p>
    <w:p w:rsidR="007A1978" w:rsidRDefault="007A1978" w:rsidP="00CD6240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"/>
        <w:rPr>
          <w:sz w:val="22"/>
          <w:szCs w:val="22"/>
        </w:rPr>
      </w:pPr>
      <w:r w:rsidRPr="00E17CDD">
        <w:rPr>
          <w:sz w:val="22"/>
          <w:szCs w:val="22"/>
        </w:rPr>
        <w:t xml:space="preserve">Perform sensitivities to the assumed knife-edge cutoff for maturity. Search out data to inform the appropriateness of the assumptions about maturity. </w:t>
      </w:r>
    </w:p>
    <w:p w:rsidR="00CD6240" w:rsidRDefault="00CD6240" w:rsidP="00CD6240">
      <w:pPr>
        <w:pStyle w:val="ListParagraph"/>
        <w:autoSpaceDE w:val="0"/>
        <w:autoSpaceDN w:val="0"/>
        <w:adjustRightInd w:val="0"/>
        <w:spacing w:after="6"/>
        <w:rPr>
          <w:sz w:val="22"/>
          <w:szCs w:val="22"/>
        </w:rPr>
      </w:pPr>
    </w:p>
    <w:p w:rsidR="004F655F" w:rsidRDefault="00CD6240" w:rsidP="00557370">
      <w:pPr>
        <w:pStyle w:val="ListParagraph"/>
        <w:autoSpaceDE w:val="0"/>
        <w:autoSpaceDN w:val="0"/>
        <w:adjustRightInd w:val="0"/>
        <w:spacing w:after="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Author Reply: </w:t>
      </w:r>
      <w:r w:rsidR="004F655F">
        <w:rPr>
          <w:color w:val="000000"/>
          <w:sz w:val="22"/>
          <w:szCs w:val="22"/>
        </w:rPr>
        <w:t xml:space="preserve"> While information about maturity size is biologically important, b</w:t>
      </w:r>
      <w:r>
        <w:rPr>
          <w:color w:val="000000"/>
          <w:sz w:val="22"/>
          <w:szCs w:val="22"/>
        </w:rPr>
        <w:t xml:space="preserve">ecause the model does not include </w:t>
      </w:r>
      <w:proofErr w:type="spellStart"/>
      <w:r>
        <w:rPr>
          <w:color w:val="000000"/>
          <w:sz w:val="22"/>
          <w:szCs w:val="22"/>
        </w:rPr>
        <w:t>spawner</w:t>
      </w:r>
      <w:proofErr w:type="spellEnd"/>
      <w:r>
        <w:rPr>
          <w:color w:val="000000"/>
          <w:sz w:val="22"/>
          <w:szCs w:val="22"/>
        </w:rPr>
        <w:t>-recruit relationship</w:t>
      </w:r>
      <w:r w:rsidR="00557370">
        <w:rPr>
          <w:color w:val="000000"/>
          <w:sz w:val="22"/>
          <w:szCs w:val="22"/>
        </w:rPr>
        <w:t xml:space="preserve"> (i.e., </w:t>
      </w:r>
      <w:proofErr w:type="gramStart"/>
      <w:r w:rsidR="00557370">
        <w:rPr>
          <w:color w:val="000000"/>
          <w:sz w:val="22"/>
          <w:szCs w:val="22"/>
        </w:rPr>
        <w:t>Recruitment  =</w:t>
      </w:r>
      <w:proofErr w:type="gramEnd"/>
      <w:r w:rsidR="00557370">
        <w:rPr>
          <w:color w:val="000000"/>
          <w:sz w:val="22"/>
          <w:szCs w:val="22"/>
        </w:rPr>
        <w:t xml:space="preserve"> f(matured))</w:t>
      </w:r>
      <w:r>
        <w:rPr>
          <w:color w:val="000000"/>
          <w:sz w:val="22"/>
          <w:szCs w:val="22"/>
        </w:rPr>
        <w:t>,</w:t>
      </w:r>
      <w:r w:rsidR="0055737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4F655F">
        <w:rPr>
          <w:b/>
          <w:color w:val="000000"/>
          <w:sz w:val="22"/>
          <w:szCs w:val="22"/>
        </w:rPr>
        <w:t>maturity information is used solely for calculation of MMB</w:t>
      </w:r>
      <w:r w:rsidR="00557370" w:rsidRPr="004F655F">
        <w:rPr>
          <w:b/>
          <w:color w:val="000000"/>
          <w:sz w:val="22"/>
          <w:szCs w:val="22"/>
        </w:rPr>
        <w:t>, B</w:t>
      </w:r>
      <w:r w:rsidR="00557370" w:rsidRPr="004F655F">
        <w:rPr>
          <w:b/>
          <w:color w:val="000000"/>
          <w:sz w:val="22"/>
          <w:szCs w:val="22"/>
          <w:vertAlign w:val="subscript"/>
        </w:rPr>
        <w:t>MSY</w:t>
      </w:r>
      <w:r w:rsidR="00557370" w:rsidRPr="004F655F">
        <w:rPr>
          <w:b/>
          <w:color w:val="000000"/>
          <w:sz w:val="22"/>
          <w:szCs w:val="22"/>
        </w:rPr>
        <w:t xml:space="preserve">, </w:t>
      </w:r>
      <w:proofErr w:type="spellStart"/>
      <w:r w:rsidR="00557370" w:rsidRPr="004F655F">
        <w:rPr>
          <w:b/>
          <w:color w:val="000000"/>
          <w:sz w:val="22"/>
          <w:szCs w:val="22"/>
        </w:rPr>
        <w:t>B</w:t>
      </w:r>
      <w:r w:rsidR="00557370" w:rsidRPr="004F655F">
        <w:rPr>
          <w:b/>
          <w:color w:val="000000"/>
          <w:sz w:val="22"/>
          <w:szCs w:val="22"/>
          <w:vertAlign w:val="subscript"/>
        </w:rPr>
        <w:t>pred</w:t>
      </w:r>
      <w:proofErr w:type="spellEnd"/>
      <w:r w:rsidR="00557370" w:rsidRPr="004F655F">
        <w:rPr>
          <w:b/>
          <w:color w:val="000000"/>
          <w:sz w:val="22"/>
          <w:szCs w:val="22"/>
        </w:rPr>
        <w:t>,</w:t>
      </w:r>
      <w:r w:rsidRPr="004F655F">
        <w:rPr>
          <w:b/>
          <w:color w:val="000000"/>
          <w:sz w:val="22"/>
          <w:szCs w:val="22"/>
        </w:rPr>
        <w:t xml:space="preserve"> </w:t>
      </w:r>
      <w:r w:rsidR="00557370" w:rsidRPr="004F655F">
        <w:rPr>
          <w:b/>
          <w:color w:val="000000"/>
          <w:sz w:val="22"/>
          <w:szCs w:val="22"/>
        </w:rPr>
        <w:t>(</w:t>
      </w:r>
      <w:proofErr w:type="spellStart"/>
      <w:r w:rsidR="0010756D" w:rsidRPr="004F655F">
        <w:rPr>
          <w:b/>
          <w:color w:val="000000"/>
          <w:sz w:val="22"/>
          <w:szCs w:val="22"/>
        </w:rPr>
        <w:t>B</w:t>
      </w:r>
      <w:r w:rsidR="0010756D" w:rsidRPr="004F655F">
        <w:rPr>
          <w:b/>
          <w:color w:val="000000"/>
          <w:sz w:val="22"/>
          <w:szCs w:val="22"/>
          <w:vertAlign w:val="subscript"/>
        </w:rPr>
        <w:t>pred</w:t>
      </w:r>
      <w:proofErr w:type="spellEnd"/>
      <w:r w:rsidR="0010756D" w:rsidRPr="004F655F">
        <w:rPr>
          <w:b/>
          <w:color w:val="000000"/>
          <w:sz w:val="22"/>
          <w:szCs w:val="22"/>
        </w:rPr>
        <w:t>/B</w:t>
      </w:r>
      <w:r w:rsidR="0010756D" w:rsidRPr="004F655F">
        <w:rPr>
          <w:b/>
          <w:color w:val="000000"/>
          <w:sz w:val="22"/>
          <w:szCs w:val="22"/>
          <w:vertAlign w:val="subscript"/>
        </w:rPr>
        <w:t>MSY</w:t>
      </w:r>
      <w:r w:rsidR="0010756D" w:rsidRPr="004F655F">
        <w:rPr>
          <w:b/>
          <w:color w:val="000000"/>
          <w:sz w:val="22"/>
          <w:szCs w:val="22"/>
        </w:rPr>
        <w:t>)</w:t>
      </w:r>
      <w:r w:rsidR="00557370" w:rsidRPr="004F655F">
        <w:rPr>
          <w:b/>
          <w:color w:val="000000"/>
          <w:sz w:val="22"/>
          <w:szCs w:val="22"/>
        </w:rPr>
        <w:t>, and ultimately FOFL</w:t>
      </w:r>
      <w:r w:rsidR="00557370">
        <w:rPr>
          <w:color w:val="000000"/>
          <w:sz w:val="22"/>
          <w:szCs w:val="22"/>
        </w:rPr>
        <w:t xml:space="preserve">.  </w:t>
      </w:r>
    </w:p>
    <w:p w:rsidR="004F655F" w:rsidRDefault="004F655F" w:rsidP="004F655F">
      <w:pPr>
        <w:pStyle w:val="ListParagraph"/>
        <w:autoSpaceDE w:val="0"/>
        <w:autoSpaceDN w:val="0"/>
        <w:adjustRightInd w:val="0"/>
        <w:spacing w:after="6"/>
        <w:rPr>
          <w:color w:val="000000"/>
          <w:sz w:val="22"/>
          <w:szCs w:val="22"/>
        </w:rPr>
      </w:pPr>
    </w:p>
    <w:p w:rsidR="004F655F" w:rsidRDefault="004F655F" w:rsidP="004F655F">
      <w:pPr>
        <w:pStyle w:val="ListParagraph"/>
        <w:autoSpaceDE w:val="0"/>
        <w:autoSpaceDN w:val="0"/>
        <w:adjustRightInd w:val="0"/>
        <w:spacing w:after="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FOFL is very little affected by the change of maturity criteria.  </w:t>
      </w:r>
    </w:p>
    <w:p w:rsidR="004F655F" w:rsidRDefault="004F655F" w:rsidP="00557370">
      <w:pPr>
        <w:pStyle w:val="ListParagraph"/>
        <w:autoSpaceDE w:val="0"/>
        <w:autoSpaceDN w:val="0"/>
        <w:adjustRightInd w:val="0"/>
        <w:spacing w:after="6"/>
        <w:rPr>
          <w:color w:val="000000"/>
          <w:sz w:val="22"/>
          <w:szCs w:val="22"/>
        </w:rPr>
      </w:pPr>
    </w:p>
    <w:p w:rsidR="00557370" w:rsidRPr="00557370" w:rsidRDefault="004F655F" w:rsidP="00557370">
      <w:pPr>
        <w:pStyle w:val="ListParagraph"/>
        <w:autoSpaceDE w:val="0"/>
        <w:autoSpaceDN w:val="0"/>
        <w:adjustRightInd w:val="0"/>
        <w:spacing w:after="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(Example, default model 18.0)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85"/>
        <w:gridCol w:w="667"/>
        <w:gridCol w:w="612"/>
        <w:gridCol w:w="1123"/>
        <w:gridCol w:w="894"/>
      </w:tblGrid>
      <w:tr w:rsidR="003176E9" w:rsidTr="00484F19">
        <w:trPr>
          <w:trHeight w:val="245"/>
        </w:trPr>
        <w:tc>
          <w:tcPr>
            <w:tcW w:w="0" w:type="auto"/>
          </w:tcPr>
          <w:p w:rsidR="003176E9" w:rsidRDefault="003176E9" w:rsidP="0010756D">
            <w:pPr>
              <w:pStyle w:val="ListParagraph"/>
              <w:autoSpaceDE w:val="0"/>
              <w:autoSpaceDN w:val="0"/>
              <w:adjustRightInd w:val="0"/>
              <w:spacing w:after="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Maturity</w:t>
            </w:r>
            <w:r w:rsidR="004F655F">
              <w:rPr>
                <w:sz w:val="22"/>
                <w:szCs w:val="22"/>
              </w:rPr>
              <w:t xml:space="preserve"> criteria</w:t>
            </w:r>
          </w:p>
        </w:tc>
        <w:tc>
          <w:tcPr>
            <w:tcW w:w="0" w:type="auto"/>
          </w:tcPr>
          <w:p w:rsidR="003176E9" w:rsidRDefault="003176E9" w:rsidP="0010756D">
            <w:pPr>
              <w:pStyle w:val="ListParagraph"/>
              <w:autoSpaceDE w:val="0"/>
              <w:autoSpaceDN w:val="0"/>
              <w:adjustRightInd w:val="0"/>
              <w:spacing w:after="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10756D">
              <w:rPr>
                <w:sz w:val="22"/>
                <w:szCs w:val="22"/>
                <w:vertAlign w:val="subscript"/>
              </w:rPr>
              <w:t>MSY</w:t>
            </w:r>
          </w:p>
        </w:tc>
        <w:tc>
          <w:tcPr>
            <w:tcW w:w="0" w:type="auto"/>
          </w:tcPr>
          <w:p w:rsidR="003176E9" w:rsidRDefault="003176E9" w:rsidP="0010756D">
            <w:pPr>
              <w:pStyle w:val="ListParagraph"/>
              <w:autoSpaceDE w:val="0"/>
              <w:autoSpaceDN w:val="0"/>
              <w:adjustRightInd w:val="0"/>
              <w:spacing w:after="6"/>
              <w:ind w:left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</w:t>
            </w:r>
            <w:r w:rsidRPr="003176E9">
              <w:rPr>
                <w:sz w:val="22"/>
                <w:szCs w:val="22"/>
                <w:vertAlign w:val="subscript"/>
              </w:rPr>
              <w:t>pred</w:t>
            </w:r>
            <w:proofErr w:type="spellEnd"/>
            <w:r>
              <w:rPr>
                <w:sz w:val="22"/>
                <w:szCs w:val="22"/>
                <w:vertAlign w:val="subscript"/>
              </w:rPr>
              <w:t xml:space="preserve"> </w:t>
            </w:r>
          </w:p>
        </w:tc>
        <w:tc>
          <w:tcPr>
            <w:tcW w:w="0" w:type="auto"/>
          </w:tcPr>
          <w:p w:rsidR="003176E9" w:rsidRDefault="003176E9" w:rsidP="0010756D">
            <w:pPr>
              <w:pStyle w:val="ListParagraph"/>
              <w:autoSpaceDE w:val="0"/>
              <w:autoSpaceDN w:val="0"/>
              <w:adjustRightInd w:val="0"/>
              <w:spacing w:after="6"/>
              <w:ind w:left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</w:t>
            </w:r>
            <w:r w:rsidRPr="003176E9">
              <w:rPr>
                <w:sz w:val="22"/>
                <w:szCs w:val="22"/>
                <w:vertAlign w:val="subscript"/>
              </w:rPr>
              <w:t>pred</w:t>
            </w:r>
            <w:proofErr w:type="spellEnd"/>
            <w:r>
              <w:rPr>
                <w:sz w:val="22"/>
                <w:szCs w:val="22"/>
              </w:rPr>
              <w:t>/B</w:t>
            </w:r>
            <w:r w:rsidRPr="003176E9">
              <w:rPr>
                <w:sz w:val="22"/>
                <w:szCs w:val="22"/>
                <w:vertAlign w:val="subscript"/>
              </w:rPr>
              <w:t>MSY</w:t>
            </w:r>
          </w:p>
        </w:tc>
        <w:tc>
          <w:tcPr>
            <w:tcW w:w="0" w:type="auto"/>
          </w:tcPr>
          <w:p w:rsidR="003176E9" w:rsidRDefault="003176E9" w:rsidP="0010756D">
            <w:pPr>
              <w:pStyle w:val="ListParagraph"/>
              <w:autoSpaceDE w:val="0"/>
              <w:autoSpaceDN w:val="0"/>
              <w:adjustRightInd w:val="0"/>
              <w:spacing w:after="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FOFL</w:t>
            </w:r>
          </w:p>
        </w:tc>
      </w:tr>
      <w:tr w:rsidR="003176E9" w:rsidTr="00484F19">
        <w:trPr>
          <w:trHeight w:val="258"/>
        </w:trPr>
        <w:tc>
          <w:tcPr>
            <w:tcW w:w="0" w:type="auto"/>
          </w:tcPr>
          <w:p w:rsidR="003176E9" w:rsidRDefault="003176E9" w:rsidP="0010756D">
            <w:pPr>
              <w:pStyle w:val="ListParagraph"/>
              <w:autoSpaceDE w:val="0"/>
              <w:autoSpaceDN w:val="0"/>
              <w:adjustRightInd w:val="0"/>
              <w:spacing w:after="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Default (</w:t>
            </w:r>
            <w:r>
              <w:rPr>
                <w:color w:val="000000"/>
                <w:sz w:val="22"/>
                <w:szCs w:val="22"/>
              </w:rPr>
              <w:t>≥94mm)</w:t>
            </w:r>
          </w:p>
        </w:tc>
        <w:tc>
          <w:tcPr>
            <w:tcW w:w="0" w:type="auto"/>
          </w:tcPr>
          <w:p w:rsidR="003176E9" w:rsidRDefault="003176E9" w:rsidP="0010756D">
            <w:pPr>
              <w:pStyle w:val="ListParagraph"/>
              <w:autoSpaceDE w:val="0"/>
              <w:autoSpaceDN w:val="0"/>
              <w:adjustRightInd w:val="0"/>
              <w:spacing w:after="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4.58</w:t>
            </w:r>
          </w:p>
        </w:tc>
        <w:tc>
          <w:tcPr>
            <w:tcW w:w="0" w:type="auto"/>
          </w:tcPr>
          <w:p w:rsidR="003176E9" w:rsidRDefault="003176E9" w:rsidP="0010756D">
            <w:pPr>
              <w:pStyle w:val="ListParagraph"/>
              <w:autoSpaceDE w:val="0"/>
              <w:autoSpaceDN w:val="0"/>
              <w:adjustRightInd w:val="0"/>
              <w:spacing w:after="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</w:t>
            </w:r>
          </w:p>
        </w:tc>
        <w:tc>
          <w:tcPr>
            <w:tcW w:w="0" w:type="auto"/>
          </w:tcPr>
          <w:p w:rsidR="003176E9" w:rsidRDefault="003176E9" w:rsidP="0010756D">
            <w:pPr>
              <w:pStyle w:val="ListParagraph"/>
              <w:autoSpaceDE w:val="0"/>
              <w:autoSpaceDN w:val="0"/>
              <w:adjustRightInd w:val="0"/>
              <w:spacing w:after="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0.68</w:t>
            </w:r>
          </w:p>
        </w:tc>
        <w:tc>
          <w:tcPr>
            <w:tcW w:w="0" w:type="auto"/>
          </w:tcPr>
          <w:p w:rsidR="003176E9" w:rsidRDefault="003176E9" w:rsidP="0010756D">
            <w:pPr>
              <w:pStyle w:val="ListParagraph"/>
              <w:autoSpaceDE w:val="0"/>
              <w:autoSpaceDN w:val="0"/>
              <w:adjustRightInd w:val="0"/>
              <w:spacing w:after="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</w:t>
            </w:r>
            <w:r w:rsidR="0055737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γM</w:t>
            </w:r>
          </w:p>
        </w:tc>
      </w:tr>
      <w:tr w:rsidR="003176E9" w:rsidTr="00484F19">
        <w:trPr>
          <w:trHeight w:val="245"/>
        </w:trPr>
        <w:tc>
          <w:tcPr>
            <w:tcW w:w="0" w:type="auto"/>
          </w:tcPr>
          <w:p w:rsidR="003176E9" w:rsidRDefault="003176E9" w:rsidP="0010756D">
            <w:pPr>
              <w:pStyle w:val="ListParagraph"/>
              <w:autoSpaceDE w:val="0"/>
              <w:autoSpaceDN w:val="0"/>
              <w:adjustRightInd w:val="0"/>
              <w:spacing w:after="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 1 (</w:t>
            </w:r>
            <w:r>
              <w:rPr>
                <w:color w:val="000000"/>
                <w:sz w:val="22"/>
                <w:szCs w:val="22"/>
              </w:rPr>
              <w:t>≥104mm)</w:t>
            </w:r>
          </w:p>
        </w:tc>
        <w:tc>
          <w:tcPr>
            <w:tcW w:w="0" w:type="auto"/>
          </w:tcPr>
          <w:p w:rsidR="003176E9" w:rsidRDefault="003176E9" w:rsidP="0010756D">
            <w:pPr>
              <w:pStyle w:val="ListParagraph"/>
              <w:autoSpaceDE w:val="0"/>
              <w:autoSpaceDN w:val="0"/>
              <w:adjustRightInd w:val="0"/>
              <w:spacing w:after="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3.87</w:t>
            </w:r>
          </w:p>
        </w:tc>
        <w:tc>
          <w:tcPr>
            <w:tcW w:w="0" w:type="auto"/>
          </w:tcPr>
          <w:p w:rsidR="003176E9" w:rsidRDefault="003176E9" w:rsidP="0010756D">
            <w:pPr>
              <w:pStyle w:val="ListParagraph"/>
              <w:autoSpaceDE w:val="0"/>
              <w:autoSpaceDN w:val="0"/>
              <w:adjustRightInd w:val="0"/>
              <w:spacing w:after="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2.61</w:t>
            </w:r>
          </w:p>
        </w:tc>
        <w:tc>
          <w:tcPr>
            <w:tcW w:w="0" w:type="auto"/>
          </w:tcPr>
          <w:p w:rsidR="003176E9" w:rsidRDefault="003176E9" w:rsidP="0010756D">
            <w:pPr>
              <w:pStyle w:val="ListParagraph"/>
              <w:autoSpaceDE w:val="0"/>
              <w:autoSpaceDN w:val="0"/>
              <w:adjustRightInd w:val="0"/>
              <w:spacing w:after="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0.67</w:t>
            </w:r>
          </w:p>
        </w:tc>
        <w:tc>
          <w:tcPr>
            <w:tcW w:w="0" w:type="auto"/>
          </w:tcPr>
          <w:p w:rsidR="003176E9" w:rsidRDefault="003176E9" w:rsidP="0010756D">
            <w:pPr>
              <w:pStyle w:val="ListParagraph"/>
              <w:autoSpaceDE w:val="0"/>
              <w:autoSpaceDN w:val="0"/>
              <w:adjustRightInd w:val="0"/>
              <w:spacing w:after="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0.64γM</w:t>
            </w:r>
          </w:p>
        </w:tc>
      </w:tr>
      <w:tr w:rsidR="003176E9" w:rsidTr="00484F19">
        <w:trPr>
          <w:trHeight w:val="258"/>
        </w:trPr>
        <w:tc>
          <w:tcPr>
            <w:tcW w:w="0" w:type="auto"/>
          </w:tcPr>
          <w:p w:rsidR="003176E9" w:rsidRDefault="003176E9" w:rsidP="0010756D">
            <w:pPr>
              <w:pStyle w:val="ListParagraph"/>
              <w:autoSpaceDE w:val="0"/>
              <w:autoSpaceDN w:val="0"/>
              <w:adjustRightInd w:val="0"/>
              <w:spacing w:after="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 2 (</w:t>
            </w:r>
            <w:r>
              <w:rPr>
                <w:color w:val="000000"/>
                <w:sz w:val="22"/>
                <w:szCs w:val="22"/>
              </w:rPr>
              <w:t>≥84mm)</w:t>
            </w:r>
          </w:p>
        </w:tc>
        <w:tc>
          <w:tcPr>
            <w:tcW w:w="0" w:type="auto"/>
          </w:tcPr>
          <w:p w:rsidR="003176E9" w:rsidRDefault="003176E9" w:rsidP="0010756D">
            <w:pPr>
              <w:pStyle w:val="ListParagraph"/>
              <w:autoSpaceDE w:val="0"/>
              <w:autoSpaceDN w:val="0"/>
              <w:adjustRightInd w:val="0"/>
              <w:spacing w:after="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5.04</w:t>
            </w:r>
          </w:p>
        </w:tc>
        <w:tc>
          <w:tcPr>
            <w:tcW w:w="0" w:type="auto"/>
          </w:tcPr>
          <w:p w:rsidR="003176E9" w:rsidRDefault="003176E9" w:rsidP="0010756D">
            <w:pPr>
              <w:pStyle w:val="ListParagraph"/>
              <w:autoSpaceDE w:val="0"/>
              <w:autoSpaceDN w:val="0"/>
              <w:adjustRightInd w:val="0"/>
              <w:spacing w:after="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3.53</w:t>
            </w:r>
          </w:p>
        </w:tc>
        <w:tc>
          <w:tcPr>
            <w:tcW w:w="0" w:type="auto"/>
          </w:tcPr>
          <w:p w:rsidR="003176E9" w:rsidRDefault="003176E9" w:rsidP="0010756D">
            <w:pPr>
              <w:pStyle w:val="ListParagraph"/>
              <w:autoSpaceDE w:val="0"/>
              <w:autoSpaceDN w:val="0"/>
              <w:adjustRightInd w:val="0"/>
              <w:spacing w:after="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0.71</w:t>
            </w:r>
          </w:p>
        </w:tc>
        <w:tc>
          <w:tcPr>
            <w:tcW w:w="0" w:type="auto"/>
          </w:tcPr>
          <w:p w:rsidR="003176E9" w:rsidRDefault="003176E9" w:rsidP="0010756D">
            <w:pPr>
              <w:pStyle w:val="ListParagraph"/>
              <w:autoSpaceDE w:val="0"/>
              <w:autoSpaceDN w:val="0"/>
              <w:adjustRightInd w:val="0"/>
              <w:spacing w:after="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0.68γM</w:t>
            </w:r>
          </w:p>
        </w:tc>
      </w:tr>
      <w:tr w:rsidR="003176E9" w:rsidTr="00484F19">
        <w:trPr>
          <w:trHeight w:val="245"/>
        </w:trPr>
        <w:tc>
          <w:tcPr>
            <w:tcW w:w="0" w:type="auto"/>
          </w:tcPr>
          <w:p w:rsidR="003176E9" w:rsidRDefault="003176E9" w:rsidP="0010756D">
            <w:pPr>
              <w:pStyle w:val="ListParagraph"/>
              <w:autoSpaceDE w:val="0"/>
              <w:autoSpaceDN w:val="0"/>
              <w:adjustRightInd w:val="0"/>
              <w:spacing w:after="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 3 (Alt 1+ .5</w:t>
            </w:r>
            <w:r w:rsidR="00443D68">
              <w:rPr>
                <w:sz w:val="22"/>
                <w:szCs w:val="22"/>
              </w:rPr>
              <w:t>∙</w:t>
            </w:r>
            <w:r>
              <w:rPr>
                <w:sz w:val="22"/>
                <w:szCs w:val="22"/>
              </w:rPr>
              <w:t>94mm)</w:t>
            </w:r>
          </w:p>
        </w:tc>
        <w:tc>
          <w:tcPr>
            <w:tcW w:w="0" w:type="auto"/>
          </w:tcPr>
          <w:p w:rsidR="003176E9" w:rsidRDefault="003176E9" w:rsidP="0010756D">
            <w:pPr>
              <w:pStyle w:val="ListParagraph"/>
              <w:autoSpaceDE w:val="0"/>
              <w:autoSpaceDN w:val="0"/>
              <w:adjustRightInd w:val="0"/>
              <w:spacing w:after="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4.23</w:t>
            </w:r>
          </w:p>
        </w:tc>
        <w:tc>
          <w:tcPr>
            <w:tcW w:w="0" w:type="auto"/>
          </w:tcPr>
          <w:p w:rsidR="003176E9" w:rsidRDefault="003176E9" w:rsidP="0010756D">
            <w:pPr>
              <w:pStyle w:val="ListParagraph"/>
              <w:autoSpaceDE w:val="0"/>
              <w:autoSpaceDN w:val="0"/>
              <w:adjustRightInd w:val="0"/>
              <w:spacing w:after="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2.87</w:t>
            </w:r>
          </w:p>
        </w:tc>
        <w:tc>
          <w:tcPr>
            <w:tcW w:w="0" w:type="auto"/>
          </w:tcPr>
          <w:p w:rsidR="003176E9" w:rsidRDefault="003176E9" w:rsidP="0010756D">
            <w:pPr>
              <w:pStyle w:val="ListParagraph"/>
              <w:autoSpaceDE w:val="0"/>
              <w:autoSpaceDN w:val="0"/>
              <w:adjustRightInd w:val="0"/>
              <w:spacing w:after="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0.68</w:t>
            </w:r>
          </w:p>
        </w:tc>
        <w:tc>
          <w:tcPr>
            <w:tcW w:w="0" w:type="auto"/>
          </w:tcPr>
          <w:p w:rsidR="003176E9" w:rsidRDefault="003176E9" w:rsidP="0010756D">
            <w:pPr>
              <w:pStyle w:val="ListParagraph"/>
              <w:autoSpaceDE w:val="0"/>
              <w:autoSpaceDN w:val="0"/>
              <w:adjustRightInd w:val="0"/>
              <w:spacing w:after="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0.64γM</w:t>
            </w:r>
          </w:p>
        </w:tc>
      </w:tr>
      <w:tr w:rsidR="003176E9" w:rsidTr="00484F19">
        <w:trPr>
          <w:trHeight w:val="258"/>
        </w:trPr>
        <w:tc>
          <w:tcPr>
            <w:tcW w:w="0" w:type="auto"/>
          </w:tcPr>
          <w:p w:rsidR="003176E9" w:rsidRDefault="003176E9" w:rsidP="0010756D">
            <w:pPr>
              <w:pStyle w:val="ListParagraph"/>
              <w:autoSpaceDE w:val="0"/>
              <w:autoSpaceDN w:val="0"/>
              <w:adjustRightInd w:val="0"/>
              <w:spacing w:after="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 4 (Default+ .5</w:t>
            </w:r>
            <w:r w:rsidR="00443D68">
              <w:rPr>
                <w:sz w:val="22"/>
                <w:szCs w:val="22"/>
              </w:rPr>
              <w:t>∙</w:t>
            </w:r>
            <w:r>
              <w:rPr>
                <w:sz w:val="22"/>
                <w:szCs w:val="22"/>
              </w:rPr>
              <w:t>84mm)</w:t>
            </w:r>
          </w:p>
        </w:tc>
        <w:tc>
          <w:tcPr>
            <w:tcW w:w="0" w:type="auto"/>
          </w:tcPr>
          <w:p w:rsidR="003176E9" w:rsidRDefault="003176E9" w:rsidP="0010756D">
            <w:pPr>
              <w:pStyle w:val="ListParagraph"/>
              <w:autoSpaceDE w:val="0"/>
              <w:autoSpaceDN w:val="0"/>
              <w:adjustRightInd w:val="0"/>
              <w:spacing w:after="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4.81</w:t>
            </w:r>
          </w:p>
        </w:tc>
        <w:tc>
          <w:tcPr>
            <w:tcW w:w="0" w:type="auto"/>
          </w:tcPr>
          <w:p w:rsidR="003176E9" w:rsidRDefault="003176E9" w:rsidP="0010756D">
            <w:pPr>
              <w:pStyle w:val="ListParagraph"/>
              <w:autoSpaceDE w:val="0"/>
              <w:autoSpaceDN w:val="0"/>
              <w:adjustRightInd w:val="0"/>
              <w:spacing w:after="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3.33</w:t>
            </w:r>
          </w:p>
        </w:tc>
        <w:tc>
          <w:tcPr>
            <w:tcW w:w="0" w:type="auto"/>
          </w:tcPr>
          <w:p w:rsidR="003176E9" w:rsidRDefault="003176E9" w:rsidP="0010756D">
            <w:pPr>
              <w:pStyle w:val="ListParagraph"/>
              <w:autoSpaceDE w:val="0"/>
              <w:autoSpaceDN w:val="0"/>
              <w:adjustRightInd w:val="0"/>
              <w:spacing w:after="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0.69</w:t>
            </w:r>
          </w:p>
        </w:tc>
        <w:tc>
          <w:tcPr>
            <w:tcW w:w="0" w:type="auto"/>
          </w:tcPr>
          <w:p w:rsidR="003176E9" w:rsidRDefault="003176E9" w:rsidP="0010756D">
            <w:pPr>
              <w:pStyle w:val="ListParagraph"/>
              <w:autoSpaceDE w:val="0"/>
              <w:autoSpaceDN w:val="0"/>
              <w:adjustRightInd w:val="0"/>
              <w:spacing w:after="6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</w:t>
            </w:r>
            <w:r w:rsidR="0055737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γM</w:t>
            </w:r>
          </w:p>
        </w:tc>
      </w:tr>
    </w:tbl>
    <w:p w:rsidR="00CD6240" w:rsidRDefault="0010756D" w:rsidP="0010756D">
      <w:pPr>
        <w:pStyle w:val="ListParagraph"/>
        <w:autoSpaceDE w:val="0"/>
        <w:autoSpaceDN w:val="0"/>
        <w:adjustRightInd w:val="0"/>
        <w:spacing w:after="6"/>
        <w:rPr>
          <w:sz w:val="22"/>
          <w:szCs w:val="22"/>
        </w:rPr>
      </w:pPr>
      <w:r w:rsidRPr="00CD6240">
        <w:rPr>
          <w:sz w:val="22"/>
          <w:szCs w:val="22"/>
        </w:rPr>
        <w:t xml:space="preserve"> </w:t>
      </w:r>
    </w:p>
    <w:p w:rsidR="004F655F" w:rsidRDefault="004F655F" w:rsidP="0010756D">
      <w:pPr>
        <w:pStyle w:val="ListParagraph"/>
        <w:autoSpaceDE w:val="0"/>
        <w:autoSpaceDN w:val="0"/>
        <w:adjustRightInd w:val="0"/>
        <w:spacing w:after="6"/>
        <w:rPr>
          <w:sz w:val="22"/>
          <w:szCs w:val="22"/>
        </w:rPr>
      </w:pPr>
    </w:p>
    <w:p w:rsidR="00572C82" w:rsidRPr="00ED3861" w:rsidRDefault="00572C82" w:rsidP="00DF7DC4">
      <w:pPr>
        <w:jc w:val="both"/>
      </w:pPr>
    </w:p>
    <w:p w:rsidR="00C56F28" w:rsidRPr="007610BA" w:rsidRDefault="00485E00" w:rsidP="004F27CE">
      <w:pPr>
        <w:pStyle w:val="ListParagraph"/>
        <w:numPr>
          <w:ilvl w:val="0"/>
          <w:numId w:val="3"/>
        </w:numPr>
        <w:spacing w:line="360" w:lineRule="auto"/>
        <w:ind w:left="360"/>
        <w:rPr>
          <w:b/>
          <w:i/>
          <w:sz w:val="28"/>
          <w:szCs w:val="28"/>
        </w:rPr>
      </w:pPr>
      <w:r w:rsidRPr="007A481A">
        <w:rPr>
          <w:b/>
          <w:i/>
          <w:sz w:val="28"/>
          <w:szCs w:val="28"/>
        </w:rPr>
        <w:t>Introduction</w:t>
      </w:r>
    </w:p>
    <w:p w:rsidR="003E4414" w:rsidRDefault="00106323" w:rsidP="004F27CE">
      <w:pPr>
        <w:numPr>
          <w:ilvl w:val="3"/>
          <w:numId w:val="8"/>
        </w:numPr>
        <w:spacing w:after="120"/>
        <w:ind w:left="360"/>
      </w:pPr>
      <w:r>
        <w:t>Species: r</w:t>
      </w:r>
      <w:r w:rsidR="00775456">
        <w:t xml:space="preserve">ed </w:t>
      </w:r>
      <w:r>
        <w:t>k</w:t>
      </w:r>
      <w:r w:rsidR="00775456">
        <w:t xml:space="preserve">ing </w:t>
      </w:r>
      <w:r>
        <w:t>c</w:t>
      </w:r>
      <w:r w:rsidR="00775456">
        <w:t>rab (</w:t>
      </w:r>
      <w:proofErr w:type="spellStart"/>
      <w:r w:rsidR="00775456" w:rsidRPr="00775456">
        <w:rPr>
          <w:i/>
        </w:rPr>
        <w:t>Paralithodes</w:t>
      </w:r>
      <w:proofErr w:type="spellEnd"/>
      <w:r w:rsidR="00775456" w:rsidRPr="00775456">
        <w:rPr>
          <w:i/>
        </w:rPr>
        <w:t xml:space="preserve"> </w:t>
      </w:r>
      <w:proofErr w:type="spellStart"/>
      <w:r w:rsidR="00775456" w:rsidRPr="00775456">
        <w:rPr>
          <w:i/>
        </w:rPr>
        <w:t>camtschaticus</w:t>
      </w:r>
      <w:proofErr w:type="spellEnd"/>
      <w:r w:rsidR="00775456">
        <w:t>)</w:t>
      </w:r>
      <w:r w:rsidR="00D11755">
        <w:t xml:space="preserve"> in Norton Sound, Alaska.</w:t>
      </w:r>
      <w:r w:rsidR="00775456">
        <w:t xml:space="preserve"> </w:t>
      </w:r>
    </w:p>
    <w:p w:rsidR="00342C9D" w:rsidRPr="00106323" w:rsidRDefault="00106323" w:rsidP="004F27CE">
      <w:pPr>
        <w:numPr>
          <w:ilvl w:val="3"/>
          <w:numId w:val="8"/>
        </w:numPr>
        <w:spacing w:after="120"/>
        <w:ind w:left="360"/>
        <w:jc w:val="both"/>
      </w:pPr>
      <w:r>
        <w:t xml:space="preserve">General Distribution: Norton Sound red king crab </w:t>
      </w:r>
      <w:r w:rsidR="009E282F">
        <w:t>is</w:t>
      </w:r>
      <w:r w:rsidR="00196627">
        <w:t xml:space="preserve"> one of the northernmost </w:t>
      </w:r>
      <w:r w:rsidR="00485E00">
        <w:t xml:space="preserve">red king crab </w:t>
      </w:r>
      <w:r w:rsidR="00196627">
        <w:t>population</w:t>
      </w:r>
      <w:r w:rsidR="00C403EE">
        <w:t>s</w:t>
      </w:r>
      <w:r w:rsidR="00196627">
        <w:t xml:space="preserve"> that can support a commercial fishery</w:t>
      </w:r>
      <w:r w:rsidR="005749A6">
        <w:t xml:space="preserve"> (</w:t>
      </w:r>
      <w:r w:rsidR="005749A6" w:rsidRPr="00DF6C0F">
        <w:t>Powell et al. 1983</w:t>
      </w:r>
      <w:r w:rsidR="005749A6">
        <w:t>)</w:t>
      </w:r>
      <w:r w:rsidR="002A06C1">
        <w:t xml:space="preserve">. </w:t>
      </w:r>
      <w:r w:rsidR="00AB6D02">
        <w:t xml:space="preserve">It is distributed throughout Norton Sound </w:t>
      </w:r>
      <w:r w:rsidR="00C16323">
        <w:t xml:space="preserve">with </w:t>
      </w:r>
      <w:r w:rsidR="004F2FAA">
        <w:t xml:space="preserve">a </w:t>
      </w:r>
      <w:r w:rsidR="00AB6D02">
        <w:t>westward limit of 167-</w:t>
      </w:r>
      <w:r w:rsidR="00AB6D02" w:rsidRPr="00106323">
        <w:t>168</w:t>
      </w:r>
      <w:r w:rsidR="00AB6D02" w:rsidRPr="00D11755">
        <w:rPr>
          <w:vertAlign w:val="superscript"/>
        </w:rPr>
        <w:t>o</w:t>
      </w:r>
      <w:r w:rsidR="00AB6D02" w:rsidRPr="00106323">
        <w:t xml:space="preserve"> </w:t>
      </w:r>
      <w:r w:rsidR="004F2FAA" w:rsidRPr="00106323">
        <w:t>W.</w:t>
      </w:r>
      <w:r w:rsidR="00AB6D02" w:rsidRPr="00106323">
        <w:t xml:space="preserve"> longitude</w:t>
      </w:r>
      <w:r w:rsidR="00885492">
        <w:t>,</w:t>
      </w:r>
      <w:r w:rsidR="00AB6D02" w:rsidRPr="00106323">
        <w:t xml:space="preserve"> depth</w:t>
      </w:r>
      <w:r w:rsidR="004F2FAA" w:rsidRPr="00106323">
        <w:t>s</w:t>
      </w:r>
      <w:r w:rsidR="00AB6D02" w:rsidRPr="00106323">
        <w:t xml:space="preserve"> less than 30 m</w:t>
      </w:r>
      <w:r w:rsidR="00885492">
        <w:t>,</w:t>
      </w:r>
      <w:r w:rsidR="00AB6D02" w:rsidRPr="00106323">
        <w:t xml:space="preserve"> and </w:t>
      </w:r>
      <w:r w:rsidR="006873A7" w:rsidRPr="00106323">
        <w:t xml:space="preserve">summer </w:t>
      </w:r>
      <w:r w:rsidR="00AB6D02" w:rsidRPr="00106323">
        <w:t>bottom temperature</w:t>
      </w:r>
      <w:r w:rsidR="004F2FAA" w:rsidRPr="00106323">
        <w:t>s</w:t>
      </w:r>
      <w:r w:rsidR="00D11755">
        <w:t xml:space="preserve"> above 4</w:t>
      </w:r>
      <w:r w:rsidR="00AB6D02" w:rsidRPr="00522ACB">
        <w:rPr>
          <w:vertAlign w:val="superscript"/>
        </w:rPr>
        <w:t>o</w:t>
      </w:r>
      <w:r w:rsidR="00AB6D02" w:rsidRPr="00106323">
        <w:t xml:space="preserve">C. </w:t>
      </w:r>
      <w:r w:rsidRPr="00106323">
        <w:t xml:space="preserve">The Norton Sound red king crab management area consists of two units: Norton Sound Section (Q3) </w:t>
      </w:r>
      <w:r w:rsidR="0058349E">
        <w:t>and Kotzebue Section (Q4) (Menard et al. 2011</w:t>
      </w:r>
      <w:r w:rsidRPr="00106323">
        <w:t>)</w:t>
      </w:r>
      <w:r w:rsidR="002A06C1">
        <w:t xml:space="preserve">. </w:t>
      </w:r>
      <w:r w:rsidRPr="00106323">
        <w:t xml:space="preserve">The Norton Sound Section (Q3) consists of all waters in Registration Area Q north of the latitude of Cape </w:t>
      </w:r>
      <w:proofErr w:type="spellStart"/>
      <w:r w:rsidRPr="00106323">
        <w:t>Romanzof</w:t>
      </w:r>
      <w:proofErr w:type="spellEnd"/>
      <w:r w:rsidRPr="00106323">
        <w:t>, east of the International Dateline, and south of 66°N latitude (Figure 1)</w:t>
      </w:r>
      <w:r w:rsidR="002A06C1">
        <w:t xml:space="preserve">. </w:t>
      </w:r>
      <w:r w:rsidRPr="00106323">
        <w:t>The Kotzebue Section (Q4) lies immediately north of the Norton Sound Section and includes Kotzebue Sound</w:t>
      </w:r>
      <w:r w:rsidR="002A06C1">
        <w:t xml:space="preserve">. </w:t>
      </w:r>
      <w:r w:rsidRPr="00106323">
        <w:t>Commercial fisheries have not occurred regular</w:t>
      </w:r>
      <w:r w:rsidR="00222C6B">
        <w:t>ly in the Kotzebue Section. This</w:t>
      </w:r>
      <w:r w:rsidRPr="00106323">
        <w:t xml:space="preserve"> report deals with the Norton Sound Section of the Norton Sound red king crab management area. </w:t>
      </w:r>
    </w:p>
    <w:p w:rsidR="00106323" w:rsidRDefault="00106323" w:rsidP="004F27CE">
      <w:pPr>
        <w:numPr>
          <w:ilvl w:val="3"/>
          <w:numId w:val="8"/>
        </w:numPr>
        <w:spacing w:after="120"/>
        <w:ind w:left="360"/>
        <w:jc w:val="both"/>
      </w:pPr>
      <w:r>
        <w:lastRenderedPageBreak/>
        <w:t xml:space="preserve">Evidence of stock structure: Thus far, no studies </w:t>
      </w:r>
      <w:r w:rsidR="001403EA">
        <w:t>have investigated possible</w:t>
      </w:r>
      <w:r>
        <w:t xml:space="preserve"> stock separation within the putative Norton Sound red king crab</w:t>
      </w:r>
      <w:r w:rsidR="001403EA">
        <w:t xml:space="preserve"> stock</w:t>
      </w:r>
      <w:r w:rsidR="002A06C1">
        <w:t xml:space="preserve">. </w:t>
      </w:r>
    </w:p>
    <w:p w:rsidR="00F731DF" w:rsidRDefault="00106323" w:rsidP="004F27CE">
      <w:pPr>
        <w:numPr>
          <w:ilvl w:val="3"/>
          <w:numId w:val="8"/>
        </w:numPr>
        <w:spacing w:after="120"/>
        <w:ind w:left="360"/>
      </w:pPr>
      <w:r>
        <w:t xml:space="preserve">Life history characteristics relevant to management: </w:t>
      </w:r>
      <w:r w:rsidR="00AB6D02">
        <w:t>One of the</w:t>
      </w:r>
      <w:r w:rsidR="00E31A95">
        <w:t xml:space="preserve"> unique life-history traits of </w:t>
      </w:r>
      <w:r w:rsidR="00AB6D02">
        <w:t xml:space="preserve">Norton Sound red king crab is that they spend </w:t>
      </w:r>
      <w:r w:rsidR="00C16323">
        <w:t xml:space="preserve">their </w:t>
      </w:r>
      <w:r w:rsidR="00AB6D02">
        <w:t xml:space="preserve">entire lives in shallow water </w:t>
      </w:r>
      <w:r w:rsidR="00C16323">
        <w:t>since</w:t>
      </w:r>
      <w:r w:rsidR="00AB6D02">
        <w:t xml:space="preserve"> Norton Sound is generally less than 40 m </w:t>
      </w:r>
      <w:r w:rsidR="00C16323">
        <w:t xml:space="preserve">in </w:t>
      </w:r>
      <w:r w:rsidR="00AB6D02">
        <w:t>depth</w:t>
      </w:r>
      <w:r w:rsidR="002A06C1">
        <w:t xml:space="preserve">. </w:t>
      </w:r>
      <w:r w:rsidR="00AB6D02">
        <w:t>Distribution and migration patterns of Norton Sound red king crab ha</w:t>
      </w:r>
      <w:r w:rsidR="00485E00">
        <w:t>ve</w:t>
      </w:r>
      <w:r w:rsidR="00AB6D02">
        <w:t xml:space="preserve"> not been </w:t>
      </w:r>
      <w:r w:rsidR="00485E00">
        <w:t xml:space="preserve">well </w:t>
      </w:r>
      <w:r w:rsidR="00AB6D02">
        <w:t>studied</w:t>
      </w:r>
      <w:r w:rsidR="002A06C1">
        <w:t xml:space="preserve">. </w:t>
      </w:r>
      <w:r w:rsidR="00AB6D02">
        <w:t xml:space="preserve">Based on </w:t>
      </w:r>
      <w:r w:rsidR="004F2FAA">
        <w:t xml:space="preserve">the </w:t>
      </w:r>
      <w:r w:rsidR="00AB6D02">
        <w:t>1976-2006 trawl survey</w:t>
      </w:r>
      <w:r w:rsidR="00C16323">
        <w:t>s</w:t>
      </w:r>
      <w:r w:rsidR="00AB6D02">
        <w:t xml:space="preserve">, red king crab in Norton Sound are found in areas with </w:t>
      </w:r>
      <w:r w:rsidR="004F2FAA">
        <w:t xml:space="preserve">a </w:t>
      </w:r>
      <w:r w:rsidR="00AB6D02">
        <w:t>mean depth range of 19 ± 6 (SD) m and bottom temperature</w:t>
      </w:r>
      <w:r w:rsidR="004F2FAA">
        <w:t>s</w:t>
      </w:r>
      <w:r w:rsidR="00AB6D02">
        <w:t xml:space="preserve"> of 7.4 ± 2.5 (SD) </w:t>
      </w:r>
      <w:proofErr w:type="spellStart"/>
      <w:r w:rsidR="004F2FAA" w:rsidRPr="00522ACB">
        <w:rPr>
          <w:vertAlign w:val="superscript"/>
        </w:rPr>
        <w:t>o</w:t>
      </w:r>
      <w:r w:rsidR="004F2FAA" w:rsidRPr="00106323">
        <w:t>C</w:t>
      </w:r>
      <w:proofErr w:type="spellEnd"/>
      <w:r w:rsidR="004F2FAA">
        <w:t xml:space="preserve"> </w:t>
      </w:r>
      <w:r w:rsidR="00DE170D">
        <w:t xml:space="preserve">during </w:t>
      </w:r>
      <w:r w:rsidR="009E282F">
        <w:t xml:space="preserve">summer. Norton Sound red king crab </w:t>
      </w:r>
      <w:r w:rsidR="00AB6D02">
        <w:t>are consiste</w:t>
      </w:r>
      <w:r w:rsidR="009E282F">
        <w:t>ntly abundant offshore of Nome</w:t>
      </w:r>
      <w:r w:rsidR="002A06C1">
        <w:t xml:space="preserve">. </w:t>
      </w:r>
    </w:p>
    <w:p w:rsidR="00DE170D" w:rsidRDefault="00A56E62" w:rsidP="00D60233">
      <w:pPr>
        <w:spacing w:after="120"/>
        <w:ind w:left="360"/>
        <w:jc w:val="both"/>
      </w:pPr>
      <w:r>
        <w:t xml:space="preserve">Norton Sound red king crab </w:t>
      </w:r>
      <w:r w:rsidR="00F731DF">
        <w:t>migrate</w:t>
      </w:r>
      <w:r w:rsidR="00AB6D02">
        <w:t xml:space="preserve"> between deeper offshore </w:t>
      </w:r>
      <w:r w:rsidR="007579E2">
        <w:t>and inshore shallow waters</w:t>
      </w:r>
      <w:r w:rsidR="002A06C1">
        <w:t xml:space="preserve">. </w:t>
      </w:r>
      <w:r w:rsidR="00AB6D02">
        <w:t xml:space="preserve">Timing of </w:t>
      </w:r>
      <w:r w:rsidR="00A92C81">
        <w:t xml:space="preserve">the </w:t>
      </w:r>
      <w:r w:rsidR="00AB6D02">
        <w:t xml:space="preserve">inshore mating migration is </w:t>
      </w:r>
      <w:proofErr w:type="gramStart"/>
      <w:r w:rsidR="00AB6D02">
        <w:t>unknown</w:t>
      </w:r>
      <w:r w:rsidR="001365E1">
        <w:t>,</w:t>
      </w:r>
      <w:r w:rsidR="00814156">
        <w:t xml:space="preserve"> </w:t>
      </w:r>
      <w:r w:rsidR="00222C6B">
        <w:t>but</w:t>
      </w:r>
      <w:proofErr w:type="gramEnd"/>
      <w:r w:rsidR="00222C6B">
        <w:t xml:space="preserve"> is </w:t>
      </w:r>
      <w:r w:rsidR="00AB6D02">
        <w:t xml:space="preserve">assumed to </w:t>
      </w:r>
      <w:r w:rsidR="00222C6B">
        <w:t xml:space="preserve">be </w:t>
      </w:r>
      <w:r w:rsidR="00E6371E">
        <w:t xml:space="preserve">during </w:t>
      </w:r>
      <w:r w:rsidR="007579E2">
        <w:t>late fall to winter (Powell et al. 1983)</w:t>
      </w:r>
      <w:r w:rsidR="002A06C1">
        <w:t xml:space="preserve">. </w:t>
      </w:r>
      <w:r w:rsidR="007579E2">
        <w:t>Offshore migration occurs in late May - July (Jen</w:t>
      </w:r>
      <w:r w:rsidR="000E72C2">
        <w:t>e</w:t>
      </w:r>
      <w:r w:rsidR="007579E2">
        <w:t>fer Bell, ADF&amp;G</w:t>
      </w:r>
      <w:r w:rsidR="00885492">
        <w:t>,</w:t>
      </w:r>
      <w:r w:rsidR="007579E2">
        <w:t xml:space="preserve"> personal communication)</w:t>
      </w:r>
      <w:r w:rsidR="002A06C1">
        <w:t xml:space="preserve">. </w:t>
      </w:r>
      <w:r w:rsidR="001365E1">
        <w:t xml:space="preserve">The results from </w:t>
      </w:r>
      <w:r w:rsidR="001365E1" w:rsidRPr="001365E1">
        <w:t xml:space="preserve">a study </w:t>
      </w:r>
      <w:r w:rsidR="001365E1">
        <w:t>funded by North Pacific Research Board (</w:t>
      </w:r>
      <w:r w:rsidR="002207CE">
        <w:t>NPRB</w:t>
      </w:r>
      <w:r w:rsidR="001365E1">
        <w:t>)</w:t>
      </w:r>
      <w:r w:rsidR="002207CE">
        <w:t xml:space="preserve"> </w:t>
      </w:r>
      <w:r w:rsidR="001365E1">
        <w:t xml:space="preserve">during </w:t>
      </w:r>
      <w:r w:rsidR="001365E1" w:rsidRPr="001365E1">
        <w:t xml:space="preserve">2012-2014 </w:t>
      </w:r>
      <w:r w:rsidR="002207CE">
        <w:t xml:space="preserve">suggest that older/large crab (&gt; 104mm CL) stay offshore in winter, based on findings that large crab </w:t>
      </w:r>
      <w:proofErr w:type="gramStart"/>
      <w:r w:rsidR="002207CE">
        <w:t>are</w:t>
      </w:r>
      <w:proofErr w:type="gramEnd"/>
      <w:r w:rsidR="002207CE">
        <w:t xml:space="preserve"> not found nearshore during spring offshore migration periods (</w:t>
      </w:r>
      <w:r w:rsidR="000E72C2">
        <w:t>Jenefer</w:t>
      </w:r>
      <w:r w:rsidR="002207CE">
        <w:t xml:space="preserve"> Bell, ADF&amp;G</w:t>
      </w:r>
      <w:r w:rsidR="00885492">
        <w:t>,</w:t>
      </w:r>
      <w:r w:rsidR="002207CE">
        <w:t xml:space="preserve"> personal communication)</w:t>
      </w:r>
      <w:r w:rsidR="002A06C1">
        <w:t xml:space="preserve">. </w:t>
      </w:r>
      <w:r w:rsidR="00DF7DC4">
        <w:t xml:space="preserve"> M</w:t>
      </w:r>
      <w:r w:rsidR="002207CE">
        <w:t>olt</w:t>
      </w:r>
      <w:r w:rsidR="00DF7DC4">
        <w:t xml:space="preserve"> timing</w:t>
      </w:r>
      <w:r w:rsidR="002207CE">
        <w:t xml:space="preserve"> is unknown</w:t>
      </w:r>
      <w:r w:rsidR="001365E1">
        <w:t xml:space="preserve"> but</w:t>
      </w:r>
      <w:r w:rsidR="002207CE">
        <w:t xml:space="preserve"> </w:t>
      </w:r>
      <w:r w:rsidR="004410AA">
        <w:t>likely occurs</w:t>
      </w:r>
      <w:r w:rsidR="002207CE">
        <w:t xml:space="preserve"> in late August – September, based on increase catches of </w:t>
      </w:r>
      <w:r w:rsidR="004410AA">
        <w:t>newly-molted</w:t>
      </w:r>
      <w:r w:rsidR="002207CE">
        <w:t xml:space="preserve"> crab </w:t>
      </w:r>
      <w:r w:rsidR="00C51C87">
        <w:t xml:space="preserve">late in the </w:t>
      </w:r>
      <w:r w:rsidR="002207CE">
        <w:t>fishing season (August- September) (Joyce Soong, ADF&amp;G personal communication)</w:t>
      </w:r>
      <w:r w:rsidR="00341767">
        <w:t xml:space="preserve"> and</w:t>
      </w:r>
      <w:r w:rsidR="00F12BC7">
        <w:t xml:space="preserve"> </w:t>
      </w:r>
      <w:r w:rsidR="004410AA">
        <w:t>evaluation of</w:t>
      </w:r>
      <w:r w:rsidR="00F12BC7">
        <w:t xml:space="preserve"> </w:t>
      </w:r>
      <w:r w:rsidR="004410AA">
        <w:t>molting hormone profiles</w:t>
      </w:r>
      <w:r w:rsidR="00F12BC7">
        <w:t xml:space="preserve"> in the hemolymph</w:t>
      </w:r>
      <w:r w:rsidR="002207CE">
        <w:t xml:space="preserve"> (</w:t>
      </w:r>
      <w:r w:rsidR="000E72C2">
        <w:t>Jenefer</w:t>
      </w:r>
      <w:r w:rsidR="002207CE">
        <w:t xml:space="preserve"> Bell, ADF&amp;G</w:t>
      </w:r>
      <w:r w:rsidR="00885492">
        <w:t>,</w:t>
      </w:r>
      <w:r w:rsidR="002207CE">
        <w:t xml:space="preserve"> personal communication)</w:t>
      </w:r>
      <w:r w:rsidR="002A06C1">
        <w:t xml:space="preserve">. </w:t>
      </w:r>
      <w:r w:rsidR="00E6371E">
        <w:t xml:space="preserve">Recent observations </w:t>
      </w:r>
      <w:r w:rsidR="004410AA">
        <w:t xml:space="preserve">also </w:t>
      </w:r>
      <w:r w:rsidR="00E6371E">
        <w:t xml:space="preserve">indicate </w:t>
      </w:r>
      <w:r w:rsidR="00F12BC7">
        <w:t xml:space="preserve">that mating may be </w:t>
      </w:r>
      <w:r w:rsidR="00E6371E">
        <w:t>biennial</w:t>
      </w:r>
      <w:r w:rsidR="007579E2">
        <w:t xml:space="preserve"> (Robert Foy, NOAA</w:t>
      </w:r>
      <w:r w:rsidR="00885492">
        <w:t>,</w:t>
      </w:r>
      <w:r w:rsidR="007579E2">
        <w:t xml:space="preserve"> personal communication)</w:t>
      </w:r>
      <w:r w:rsidR="006C4C54">
        <w:t xml:space="preserve">. </w:t>
      </w:r>
      <w:r w:rsidR="00AE54C1">
        <w:t>T</w:t>
      </w:r>
      <w:r w:rsidR="00AB6D02">
        <w:t>rawl survey</w:t>
      </w:r>
      <w:r w:rsidR="00AE54C1">
        <w:t>s</w:t>
      </w:r>
      <w:r w:rsidR="00AB6D02">
        <w:t xml:space="preserve"> show that </w:t>
      </w:r>
      <w:r w:rsidR="00A92C81">
        <w:t xml:space="preserve">crab </w:t>
      </w:r>
      <w:r w:rsidR="00AB6D02">
        <w:t>distribution is dynami</w:t>
      </w:r>
      <w:r w:rsidR="00341767">
        <w:t>c with rece</w:t>
      </w:r>
      <w:r w:rsidR="001403EA">
        <w:t>n</w:t>
      </w:r>
      <w:r w:rsidR="00341767">
        <w:t>t</w:t>
      </w:r>
      <w:r w:rsidR="001403EA">
        <w:t xml:space="preserve"> </w:t>
      </w:r>
      <w:r w:rsidR="00AB6D02">
        <w:t>surveys show</w:t>
      </w:r>
      <w:r w:rsidR="001403EA">
        <w:t>ing</w:t>
      </w:r>
      <w:r w:rsidR="00AB6D02">
        <w:t xml:space="preserve"> high abundance </w:t>
      </w:r>
      <w:r w:rsidR="00A92C81">
        <w:t>on</w:t>
      </w:r>
      <w:r w:rsidR="00AB6D02">
        <w:t xml:space="preserve"> </w:t>
      </w:r>
      <w:r w:rsidR="0030597E">
        <w:t xml:space="preserve">the </w:t>
      </w:r>
      <w:r w:rsidR="00AB6D02">
        <w:t xml:space="preserve">southeast side </w:t>
      </w:r>
      <w:r w:rsidR="00885492">
        <w:t xml:space="preserve">of </w:t>
      </w:r>
      <w:r w:rsidR="00F12BC7">
        <w:t>Norton</w:t>
      </w:r>
      <w:r w:rsidR="00885492">
        <w:t xml:space="preserve"> </w:t>
      </w:r>
      <w:r w:rsidR="003A3C57">
        <w:t>S</w:t>
      </w:r>
      <w:r w:rsidR="00A92C81">
        <w:t xml:space="preserve">ound, </w:t>
      </w:r>
      <w:r w:rsidR="00AB6D02">
        <w:t>offshore of Stebbins and Saint Michael</w:t>
      </w:r>
      <w:r w:rsidR="002A06C1">
        <w:t xml:space="preserve">. </w:t>
      </w:r>
    </w:p>
    <w:p w:rsidR="00341767" w:rsidRDefault="00341767" w:rsidP="00D60233">
      <w:pPr>
        <w:spacing w:after="120"/>
        <w:ind w:left="360"/>
        <w:jc w:val="both"/>
      </w:pPr>
    </w:p>
    <w:p w:rsidR="00BC001C" w:rsidRDefault="00106323" w:rsidP="004F27CE">
      <w:pPr>
        <w:numPr>
          <w:ilvl w:val="3"/>
          <w:numId w:val="8"/>
        </w:numPr>
        <w:spacing w:after="120"/>
        <w:ind w:left="360"/>
        <w:jc w:val="both"/>
      </w:pPr>
      <w:r>
        <w:t>Brief management history: Nor</w:t>
      </w:r>
      <w:r w:rsidR="00F35781">
        <w:t>ton Sound red king crab fisheries consist of commercial and subsistence fisheries</w:t>
      </w:r>
      <w:r w:rsidR="002A06C1">
        <w:t xml:space="preserve">. </w:t>
      </w:r>
      <w:r w:rsidR="00476A58">
        <w:t>The c</w:t>
      </w:r>
      <w:r w:rsidR="00851306">
        <w:t>ommercial red king crab fishery started in 197</w:t>
      </w:r>
      <w:r w:rsidR="0003367F">
        <w:t>7</w:t>
      </w:r>
      <w:r w:rsidR="00F35781">
        <w:t xml:space="preserve"> </w:t>
      </w:r>
      <w:r w:rsidR="00476A58">
        <w:t>and occurs</w:t>
      </w:r>
      <w:r w:rsidR="00957382">
        <w:t xml:space="preserve"> </w:t>
      </w:r>
      <w:r w:rsidR="00F35781">
        <w:t>in summer (Ju</w:t>
      </w:r>
      <w:r w:rsidR="00A96FE9">
        <w:t>ne</w:t>
      </w:r>
      <w:r w:rsidR="00F35781">
        <w:t xml:space="preserve"> – August) </w:t>
      </w:r>
      <w:r w:rsidR="00851306">
        <w:t xml:space="preserve">and </w:t>
      </w:r>
      <w:r w:rsidR="00F35781">
        <w:t>winter (December – Ma</w:t>
      </w:r>
      <w:r w:rsidR="00A96FE9">
        <w:t>y</w:t>
      </w:r>
      <w:r w:rsidR="00F35781">
        <w:t>)</w:t>
      </w:r>
      <w:r w:rsidR="002A06C1">
        <w:t xml:space="preserve">. </w:t>
      </w:r>
      <w:r w:rsidR="00A169F1">
        <w:t>Th</w:t>
      </w:r>
      <w:r w:rsidR="00716E4B">
        <w:t>e majority of red king crab</w:t>
      </w:r>
      <w:r w:rsidR="00E6371E">
        <w:t xml:space="preserve"> </w:t>
      </w:r>
      <w:r w:rsidR="004410AA">
        <w:t>harvest occurs</w:t>
      </w:r>
      <w:r w:rsidR="00D60233">
        <w:t xml:space="preserve"> offshore during the summer commercial fishery</w:t>
      </w:r>
      <w:r w:rsidR="002207CE">
        <w:t xml:space="preserve">, whereas </w:t>
      </w:r>
      <w:r w:rsidR="00D60233">
        <w:t>the</w:t>
      </w:r>
      <w:r w:rsidR="00A169F1">
        <w:t xml:space="preserve"> </w:t>
      </w:r>
      <w:r w:rsidR="00D60233">
        <w:t>winter</w:t>
      </w:r>
      <w:r w:rsidR="00E61D4B">
        <w:t xml:space="preserve"> commercial and</w:t>
      </w:r>
      <w:r w:rsidR="00D60233">
        <w:t xml:space="preserve"> </w:t>
      </w:r>
      <w:r w:rsidR="002207CE">
        <w:t xml:space="preserve">subsistence </w:t>
      </w:r>
      <w:r w:rsidR="00D60233">
        <w:t>fisher</w:t>
      </w:r>
      <w:r w:rsidR="00E61D4B">
        <w:t>ies</w:t>
      </w:r>
      <w:r w:rsidR="00D60233">
        <w:t xml:space="preserve"> </w:t>
      </w:r>
      <w:r w:rsidR="002207CE">
        <w:t xml:space="preserve">occur </w:t>
      </w:r>
      <w:r w:rsidR="00D60233">
        <w:t>nearshore</w:t>
      </w:r>
      <w:r w:rsidR="006C37D2">
        <w:t xml:space="preserve"> through ice.</w:t>
      </w:r>
      <w:r w:rsidR="002A06C1">
        <w:t xml:space="preserve"> </w:t>
      </w:r>
      <w:r w:rsidR="006C37D2">
        <w:t xml:space="preserve">  </w:t>
      </w:r>
    </w:p>
    <w:p w:rsidR="00D938A9" w:rsidRDefault="00D938A9" w:rsidP="00D938A9">
      <w:pPr>
        <w:spacing w:after="120"/>
        <w:ind w:left="360"/>
        <w:jc w:val="both"/>
      </w:pPr>
    </w:p>
    <w:p w:rsidR="008A3D25" w:rsidRPr="00106323" w:rsidRDefault="008A3D25" w:rsidP="00106323">
      <w:pPr>
        <w:spacing w:after="120"/>
        <w:ind w:left="360"/>
        <w:jc w:val="both"/>
        <w:rPr>
          <w:u w:val="single"/>
        </w:rPr>
      </w:pPr>
      <w:r w:rsidRPr="00106323">
        <w:rPr>
          <w:u w:val="single"/>
        </w:rPr>
        <w:t>Summer Commercial Fishery</w:t>
      </w:r>
    </w:p>
    <w:p w:rsidR="003D2E41" w:rsidRDefault="00D60233" w:rsidP="003D2E41">
      <w:pPr>
        <w:spacing w:after="120"/>
        <w:ind w:left="360"/>
        <w:jc w:val="both"/>
        <w:rPr>
          <w:color w:val="000000" w:themeColor="text1"/>
        </w:rPr>
      </w:pPr>
      <w:r>
        <w:t xml:space="preserve">A large-vessel </w:t>
      </w:r>
      <w:r w:rsidR="008D52CF">
        <w:t>s</w:t>
      </w:r>
      <w:r w:rsidR="00342C9D">
        <w:t>ummer commercial crab fishery started in 1977</w:t>
      </w:r>
      <w:r w:rsidR="003E4414">
        <w:t xml:space="preserve"> </w:t>
      </w:r>
      <w:r>
        <w:t xml:space="preserve">in the Norton Sound Section </w:t>
      </w:r>
      <w:r w:rsidR="003E4414">
        <w:t>(Table 1)</w:t>
      </w:r>
      <w:r>
        <w:t xml:space="preserve"> and</w:t>
      </w:r>
      <w:r w:rsidR="008A3D25">
        <w:t xml:space="preserve"> </w:t>
      </w:r>
      <w:r>
        <w:t xml:space="preserve">continued </w:t>
      </w:r>
      <w:r w:rsidR="008A3D25">
        <w:t>from 1977 through 1990</w:t>
      </w:r>
      <w:r w:rsidR="002A06C1">
        <w:t xml:space="preserve">. </w:t>
      </w:r>
      <w:r w:rsidR="008A3D25">
        <w:t xml:space="preserve">No summer commercial fishery occurred in 1991 because </w:t>
      </w:r>
      <w:r w:rsidR="00476A58">
        <w:t xml:space="preserve">there </w:t>
      </w:r>
      <w:r w:rsidR="00E61D4B">
        <w:t>were no</w:t>
      </w:r>
      <w:r w:rsidR="00476A58">
        <w:t xml:space="preserve"> </w:t>
      </w:r>
      <w:r w:rsidR="008A3D25">
        <w:t>staff to manage the fishery</w:t>
      </w:r>
      <w:r w:rsidR="002A06C1">
        <w:t xml:space="preserve">. </w:t>
      </w:r>
      <w:r w:rsidR="008A3D25">
        <w:t xml:space="preserve">In March 1993, </w:t>
      </w:r>
      <w:r w:rsidR="00476A58">
        <w:t xml:space="preserve">the Alaska </w:t>
      </w:r>
      <w:r w:rsidR="008A3D25">
        <w:t xml:space="preserve">Board of Fisheries </w:t>
      </w:r>
      <w:r w:rsidR="006E1A41">
        <w:t xml:space="preserve">(BOF) </w:t>
      </w:r>
      <w:r w:rsidR="00281FF9">
        <w:t>limited</w:t>
      </w:r>
      <w:r w:rsidR="008A3D25">
        <w:t xml:space="preserve"> participation </w:t>
      </w:r>
      <w:r w:rsidR="00281FF9">
        <w:t>in</w:t>
      </w:r>
      <w:r w:rsidR="008A3D25">
        <w:t xml:space="preserve"> the fishery to small boats</w:t>
      </w:r>
      <w:r w:rsidR="002A06C1">
        <w:t xml:space="preserve">. </w:t>
      </w:r>
      <w:r w:rsidR="00476A58">
        <w:t>Then o</w:t>
      </w:r>
      <w:r w:rsidR="008A3D25">
        <w:t>n June 27, 1994, a super-exclusive designation went into effect for the fishery</w:t>
      </w:r>
      <w:r w:rsidR="002A06C1">
        <w:t xml:space="preserve">. </w:t>
      </w:r>
      <w:r w:rsidR="008A3D25">
        <w:t xml:space="preserve">This designation stated </w:t>
      </w:r>
      <w:r w:rsidR="00476A58">
        <w:t xml:space="preserve">that </w:t>
      </w:r>
      <w:r w:rsidR="008A3D25">
        <w:t>a vessel registered for the Norton Sound crab fishery may not be used to take king crab</w:t>
      </w:r>
      <w:r w:rsidR="00AE54C1">
        <w:t>s</w:t>
      </w:r>
      <w:r w:rsidR="008A3D25">
        <w:t xml:space="preserve"> in any other registration area</w:t>
      </w:r>
      <w:r w:rsidR="00AE54C1">
        <w:t>s</w:t>
      </w:r>
      <w:r w:rsidR="008A3D25">
        <w:t xml:space="preserve"> during that registration year</w:t>
      </w:r>
      <w:r w:rsidR="002A06C1">
        <w:t xml:space="preserve">. </w:t>
      </w:r>
      <w:r w:rsidR="008A3D25">
        <w:t xml:space="preserve">A vessel moratorium </w:t>
      </w:r>
      <w:r w:rsidR="00281FF9">
        <w:t xml:space="preserve">was </w:t>
      </w:r>
      <w:r w:rsidR="008A3D25">
        <w:t>put into place before the 1996 season</w:t>
      </w:r>
      <w:r w:rsidR="002A06C1">
        <w:t xml:space="preserve">. </w:t>
      </w:r>
      <w:r w:rsidR="008A3D25">
        <w:t>This was intended to precede a license limitation program</w:t>
      </w:r>
      <w:r w:rsidR="002A06C1">
        <w:t xml:space="preserve">. </w:t>
      </w:r>
      <w:r w:rsidR="008A3D25">
        <w:t>In 1998</w:t>
      </w:r>
      <w:r w:rsidR="00476A58">
        <w:t>,</w:t>
      </w:r>
      <w:r w:rsidR="008A3D25">
        <w:t xml:space="preserve"> Community Development Quota (CDQ) groups were allocated a portion of the summer harvest; however, no </w:t>
      </w:r>
      <w:r w:rsidR="006873A7">
        <w:t xml:space="preserve">CDQ </w:t>
      </w:r>
      <w:r w:rsidR="008A3D25">
        <w:t xml:space="preserve">harvest occurred until the 2000 season. </w:t>
      </w:r>
      <w:r w:rsidR="009D4672">
        <w:t>On January 1, 2000 t</w:t>
      </w:r>
      <w:r w:rsidR="008A3D25">
        <w:t>he North Pacific License Limitation Program (LLP) went into effect for the Norton Sound crab fishery</w:t>
      </w:r>
      <w:r w:rsidR="002A06C1">
        <w:t xml:space="preserve">. </w:t>
      </w:r>
      <w:r w:rsidR="008A3D25">
        <w:t xml:space="preserve">The program </w:t>
      </w:r>
      <w:r w:rsidR="00957382">
        <w:t xml:space="preserve">dictates that </w:t>
      </w:r>
      <w:r w:rsidR="008A3D25">
        <w:t xml:space="preserve">a vessel which exceeds 32 feet in length overall must hold </w:t>
      </w:r>
      <w:r w:rsidR="008A3D25">
        <w:lastRenderedPageBreak/>
        <w:t>a valid crab license issued under the LLP by the National Marine Fisheries Service</w:t>
      </w:r>
      <w:r w:rsidR="002A06C1">
        <w:t xml:space="preserve">. </w:t>
      </w:r>
      <w:r w:rsidR="00E61D4B">
        <w:t>Changes in regulations</w:t>
      </w:r>
      <w:r w:rsidR="008A3D25">
        <w:t xml:space="preserve"> and </w:t>
      </w:r>
      <w:r w:rsidR="00E61D4B">
        <w:t xml:space="preserve">the </w:t>
      </w:r>
      <w:r w:rsidR="008A3D25">
        <w:t xml:space="preserve">location of buyers resulted in </w:t>
      </w:r>
      <w:r w:rsidR="00E61D4B">
        <w:t xml:space="preserve">eastward movement of the </w:t>
      </w:r>
      <w:r w:rsidR="008A3D25">
        <w:t xml:space="preserve">harvest distribution </w:t>
      </w:r>
      <w:r w:rsidR="00EA61F8">
        <w:t>in Norton Sound in the mid-</w:t>
      </w:r>
      <w:r w:rsidR="008A3D25">
        <w:t>1990s</w:t>
      </w:r>
      <w:r w:rsidR="002A06C1">
        <w:t>.</w:t>
      </w:r>
      <w:r w:rsidR="001403EA">
        <w:t xml:space="preserve"> </w:t>
      </w:r>
      <w:r w:rsidR="00FB311A">
        <w:t xml:space="preserve">In Norton Sound, </w:t>
      </w:r>
      <w:r w:rsidR="005A1172">
        <w:t xml:space="preserve">a </w:t>
      </w:r>
      <w:r w:rsidR="00FB311A">
        <w:t>legal crab is defined as ≥ 4-3/</w:t>
      </w:r>
      <w:proofErr w:type="gramStart"/>
      <w:r w:rsidR="00FB311A">
        <w:t>4 inch</w:t>
      </w:r>
      <w:proofErr w:type="gramEnd"/>
      <w:r w:rsidR="00FB311A">
        <w:t xml:space="preserve"> carapac</w:t>
      </w:r>
      <w:r w:rsidR="00ED595F">
        <w:t>e width (</w:t>
      </w:r>
      <w:r w:rsidR="005A1172">
        <w:t>CW</w:t>
      </w:r>
      <w:r w:rsidR="001E7840">
        <w:t xml:space="preserve">, </w:t>
      </w:r>
      <w:r w:rsidR="00ED595F">
        <w:t>Menard et al. 2011</w:t>
      </w:r>
      <w:r w:rsidR="001E7840">
        <w:t>), which is</w:t>
      </w:r>
      <w:r w:rsidR="002F408E">
        <w:t xml:space="preserve"> approximately equivalent to ≥ 10</w:t>
      </w:r>
      <w:r w:rsidR="005A1172">
        <w:t>4 mm carapace length</w:t>
      </w:r>
      <w:r w:rsidR="001E7840">
        <w:t xml:space="preserve"> mm CL</w:t>
      </w:r>
      <w:r w:rsidR="002A06C1">
        <w:t xml:space="preserve">. </w:t>
      </w:r>
      <w:r w:rsidR="00716E4B">
        <w:t xml:space="preserve">Since 2005, </w:t>
      </w:r>
      <w:r w:rsidR="00FB311A" w:rsidRPr="00F13935">
        <w:rPr>
          <w:color w:val="000000" w:themeColor="text1"/>
        </w:rPr>
        <w:t xml:space="preserve">commercial buyers </w:t>
      </w:r>
      <w:r w:rsidR="00796F35">
        <w:rPr>
          <w:color w:val="000000" w:themeColor="text1"/>
        </w:rPr>
        <w:t xml:space="preserve">(Norton Sound Economic Development Corporation) </w:t>
      </w:r>
      <w:r w:rsidR="00FB311A" w:rsidRPr="00F13935">
        <w:rPr>
          <w:color w:val="000000" w:themeColor="text1"/>
        </w:rPr>
        <w:t xml:space="preserve">started accepting only legal crab of ≥ </w:t>
      </w:r>
      <w:proofErr w:type="gramStart"/>
      <w:r w:rsidR="00716E4B" w:rsidRPr="00F13935">
        <w:rPr>
          <w:color w:val="000000" w:themeColor="text1"/>
        </w:rPr>
        <w:t>5 inch</w:t>
      </w:r>
      <w:proofErr w:type="gramEnd"/>
      <w:r w:rsidR="00716E4B" w:rsidRPr="00F13935">
        <w:rPr>
          <w:color w:val="000000" w:themeColor="text1"/>
        </w:rPr>
        <w:t xml:space="preserve"> </w:t>
      </w:r>
      <w:r w:rsidR="002F408E">
        <w:rPr>
          <w:color w:val="000000" w:themeColor="text1"/>
        </w:rPr>
        <w:t>CW</w:t>
      </w:r>
      <w:r w:rsidR="002A06C1">
        <w:rPr>
          <w:color w:val="000000" w:themeColor="text1"/>
        </w:rPr>
        <w:t>.</w:t>
      </w:r>
      <w:r w:rsidR="00796F35">
        <w:rPr>
          <w:color w:val="000000" w:themeColor="text1"/>
        </w:rPr>
        <w:t xml:space="preserve">  This may have increased discards; however, </w:t>
      </w:r>
      <w:r w:rsidR="003D2E41">
        <w:rPr>
          <w:color w:val="000000" w:themeColor="text1"/>
        </w:rPr>
        <w:t xml:space="preserve">because discards have not been monitored until 2012, impact of this change on discards is unknown. This issue was also examined in assessment </w:t>
      </w:r>
      <w:r w:rsidR="00796F35">
        <w:rPr>
          <w:color w:val="000000" w:themeColor="text1"/>
        </w:rPr>
        <w:t xml:space="preserve">model </w:t>
      </w:r>
      <w:r w:rsidR="003D2E41">
        <w:rPr>
          <w:color w:val="000000" w:themeColor="text1"/>
        </w:rPr>
        <w:t xml:space="preserve">selection, which showed </w:t>
      </w:r>
      <w:r w:rsidR="00796F35">
        <w:rPr>
          <w:color w:val="000000" w:themeColor="text1"/>
        </w:rPr>
        <w:t xml:space="preserve">no difference in estimates of selectivity functions before and after 2005 (NPFMC 2016). </w:t>
      </w:r>
      <w:r w:rsidR="002A06C1">
        <w:rPr>
          <w:color w:val="000000" w:themeColor="text1"/>
        </w:rPr>
        <w:t xml:space="preserve"> </w:t>
      </w:r>
      <w:r w:rsidR="00796F35">
        <w:rPr>
          <w:color w:val="000000" w:themeColor="text1"/>
        </w:rPr>
        <w:t xml:space="preserve">  </w:t>
      </w:r>
    </w:p>
    <w:p w:rsidR="00A169F1" w:rsidRDefault="00E61D4B" w:rsidP="007610BA">
      <w:pPr>
        <w:spacing w:after="120"/>
        <w:ind w:left="360"/>
        <w:jc w:val="both"/>
        <w:rPr>
          <w:u w:val="single"/>
        </w:rPr>
      </w:pPr>
      <w:r>
        <w:rPr>
          <w:color w:val="000000" w:themeColor="text1"/>
        </w:rPr>
        <w:t xml:space="preserve">Portions of </w:t>
      </w:r>
      <w:r w:rsidR="00342C9D">
        <w:rPr>
          <w:color w:val="000000" w:themeColor="text1"/>
        </w:rPr>
        <w:t xml:space="preserve">Norton Sound area </w:t>
      </w:r>
      <w:r>
        <w:rPr>
          <w:color w:val="000000" w:themeColor="text1"/>
        </w:rPr>
        <w:t>are closed to</w:t>
      </w:r>
      <w:r w:rsidR="00342C9D">
        <w:rPr>
          <w:color w:val="000000" w:themeColor="text1"/>
        </w:rPr>
        <w:t xml:space="preserve"> commercial fish</w:t>
      </w:r>
      <w:r>
        <w:rPr>
          <w:color w:val="000000" w:themeColor="text1"/>
        </w:rPr>
        <w:t>ing for red king crab</w:t>
      </w:r>
      <w:r w:rsidR="002A06C1">
        <w:rPr>
          <w:color w:val="000000" w:themeColor="text1"/>
        </w:rPr>
        <w:t xml:space="preserve">. </w:t>
      </w:r>
      <w:r w:rsidR="00342C9D">
        <w:rPr>
          <w:color w:val="000000" w:themeColor="text1"/>
        </w:rPr>
        <w:t xml:space="preserve">Since </w:t>
      </w:r>
      <w:r w:rsidR="00051EAA">
        <w:rPr>
          <w:color w:val="000000" w:themeColor="text1"/>
        </w:rPr>
        <w:t xml:space="preserve">the </w:t>
      </w:r>
      <w:r w:rsidR="00342C9D">
        <w:rPr>
          <w:color w:val="000000" w:themeColor="text1"/>
        </w:rPr>
        <w:t xml:space="preserve">beginning of the commercial fisheries in 1977, </w:t>
      </w:r>
      <w:r w:rsidR="001403EA">
        <w:rPr>
          <w:color w:val="000000" w:themeColor="text1"/>
        </w:rPr>
        <w:t>water</w:t>
      </w:r>
      <w:r>
        <w:rPr>
          <w:color w:val="000000" w:themeColor="text1"/>
        </w:rPr>
        <w:t>s</w:t>
      </w:r>
      <w:r w:rsidR="001403EA">
        <w:rPr>
          <w:color w:val="000000" w:themeColor="text1"/>
        </w:rPr>
        <w:t xml:space="preserve"> </w:t>
      </w:r>
      <w:r w:rsidR="000F0C65">
        <w:rPr>
          <w:color w:val="000000" w:themeColor="text1"/>
        </w:rPr>
        <w:t>approximately 5-10 miles off</w:t>
      </w:r>
      <w:r w:rsidR="001403EA">
        <w:rPr>
          <w:color w:val="000000" w:themeColor="text1"/>
        </w:rPr>
        <w:t>s</w:t>
      </w:r>
      <w:r w:rsidR="000F0C65">
        <w:rPr>
          <w:color w:val="000000" w:themeColor="text1"/>
        </w:rPr>
        <w:t xml:space="preserve">hore of southern Seward Peninsula from Port Clarence to St. Michael </w:t>
      </w:r>
      <w:r w:rsidR="00342C9D">
        <w:rPr>
          <w:color w:val="000000" w:themeColor="text1"/>
        </w:rPr>
        <w:t>ha</w:t>
      </w:r>
      <w:r w:rsidR="00051EAA">
        <w:rPr>
          <w:color w:val="000000" w:themeColor="text1"/>
        </w:rPr>
        <w:t>ve</w:t>
      </w:r>
      <w:r w:rsidR="009B309C">
        <w:rPr>
          <w:color w:val="000000" w:themeColor="text1"/>
        </w:rPr>
        <w:t xml:space="preserve"> </w:t>
      </w:r>
      <w:r w:rsidR="00342C9D">
        <w:rPr>
          <w:color w:val="000000" w:themeColor="text1"/>
        </w:rPr>
        <w:t xml:space="preserve">been closed </w:t>
      </w:r>
      <w:r w:rsidR="001E7840">
        <w:rPr>
          <w:color w:val="000000" w:themeColor="text1"/>
        </w:rPr>
        <w:t xml:space="preserve">to protect crab nursery grounds during </w:t>
      </w:r>
      <w:r w:rsidR="008D52CF">
        <w:rPr>
          <w:color w:val="000000" w:themeColor="text1"/>
        </w:rPr>
        <w:t xml:space="preserve">the </w:t>
      </w:r>
      <w:r w:rsidR="00342C9D">
        <w:rPr>
          <w:color w:val="000000" w:themeColor="text1"/>
        </w:rPr>
        <w:t>summer commercial crab fisher</w:t>
      </w:r>
      <w:r w:rsidR="001E7840">
        <w:rPr>
          <w:color w:val="000000" w:themeColor="text1"/>
        </w:rPr>
        <w:t>y</w:t>
      </w:r>
      <w:r w:rsidR="00342C9D">
        <w:rPr>
          <w:color w:val="000000" w:themeColor="text1"/>
        </w:rPr>
        <w:t xml:space="preserve"> </w:t>
      </w:r>
      <w:r w:rsidR="00342C9D">
        <w:t>(Figure 2)</w:t>
      </w:r>
      <w:r w:rsidR="002A06C1">
        <w:t xml:space="preserve">. </w:t>
      </w:r>
      <w:r w:rsidR="00051EAA">
        <w:t>The spatial e</w:t>
      </w:r>
      <w:r w:rsidR="00342C9D">
        <w:t>xtent of closed water</w:t>
      </w:r>
      <w:r w:rsidR="00051EAA">
        <w:t>s</w:t>
      </w:r>
      <w:r w:rsidR="009B309C">
        <w:t xml:space="preserve"> </w:t>
      </w:r>
      <w:r w:rsidR="00051EAA">
        <w:t>has varied historically</w:t>
      </w:r>
      <w:r w:rsidR="002A06C1">
        <w:t xml:space="preserve">. </w:t>
      </w:r>
      <w:bookmarkStart w:id="0" w:name="_Toc134857400"/>
    </w:p>
    <w:p w:rsidR="00D938A9" w:rsidRDefault="00D938A9" w:rsidP="00C350C4">
      <w:pPr>
        <w:spacing w:after="120"/>
        <w:ind w:left="360"/>
        <w:jc w:val="both"/>
        <w:rPr>
          <w:u w:val="single"/>
        </w:rPr>
      </w:pPr>
    </w:p>
    <w:p w:rsidR="0004057D" w:rsidRPr="00C350C4" w:rsidRDefault="0004057D" w:rsidP="00C350C4">
      <w:pPr>
        <w:spacing w:after="120"/>
        <w:ind w:left="360"/>
        <w:jc w:val="both"/>
        <w:rPr>
          <w:u w:val="single"/>
        </w:rPr>
      </w:pPr>
      <w:r w:rsidRPr="00C350C4">
        <w:rPr>
          <w:u w:val="single"/>
        </w:rPr>
        <w:t>CDQ Fishery</w:t>
      </w:r>
      <w:bookmarkEnd w:id="0"/>
    </w:p>
    <w:p w:rsidR="00040C89" w:rsidRPr="00456662" w:rsidRDefault="0004057D" w:rsidP="00360DFC">
      <w:pPr>
        <w:spacing w:after="120"/>
        <w:ind w:left="360"/>
        <w:jc w:val="both"/>
      </w:pPr>
      <w:r>
        <w:t>The Norton Sound and Lower Yukon CDQ groups divide the CDQ allocation</w:t>
      </w:r>
      <w:r w:rsidR="002A06C1">
        <w:t xml:space="preserve">. </w:t>
      </w:r>
      <w:r>
        <w:t xml:space="preserve">Only fishers designated by the Norton Sound and Lower Yukon CDQ groups </w:t>
      </w:r>
      <w:proofErr w:type="gramStart"/>
      <w:r>
        <w:t>are allowed to</w:t>
      </w:r>
      <w:proofErr w:type="gramEnd"/>
      <w:r>
        <w:t xml:space="preserve"> participate in this portion of the king crab fishery</w:t>
      </w:r>
      <w:r w:rsidR="002A06C1">
        <w:t xml:space="preserve">. </w:t>
      </w:r>
      <w:r>
        <w:t xml:space="preserve">Fishers </w:t>
      </w:r>
      <w:r w:rsidR="006E1A41">
        <w:t>are</w:t>
      </w:r>
      <w:r>
        <w:t xml:space="preserve"> required to have a CDQ fishing permit from the Commercial Fisheries Entry Commission (CFEC) and register their vessel with </w:t>
      </w:r>
      <w:r w:rsidR="006873A7">
        <w:t xml:space="preserve">the </w:t>
      </w:r>
      <w:r>
        <w:t>A</w:t>
      </w:r>
      <w:r w:rsidR="00FB27D5">
        <w:t>laska Department of Fish and Game (A</w:t>
      </w:r>
      <w:r>
        <w:t>DF&amp;G</w:t>
      </w:r>
      <w:r w:rsidR="00FB27D5">
        <w:t>)</w:t>
      </w:r>
      <w:r>
        <w:t xml:space="preserve"> before </w:t>
      </w:r>
      <w:r w:rsidR="000F0C65">
        <w:t>begin fishing</w:t>
      </w:r>
      <w:r w:rsidR="002A06C1">
        <w:t xml:space="preserve">. </w:t>
      </w:r>
      <w:r>
        <w:t xml:space="preserve">Fishers operate under </w:t>
      </w:r>
      <w:r w:rsidR="000F0C65">
        <w:t xml:space="preserve">the </w:t>
      </w:r>
      <w:r>
        <w:t xml:space="preserve">authority of </w:t>
      </w:r>
      <w:r w:rsidR="000F0C65">
        <w:t xml:space="preserve">each </w:t>
      </w:r>
      <w:r>
        <w:t>CDQ group</w:t>
      </w:r>
      <w:r w:rsidR="002A06C1">
        <w:t xml:space="preserve">. </w:t>
      </w:r>
      <w:r w:rsidR="000F0C65">
        <w:t xml:space="preserve"> </w:t>
      </w:r>
      <w:r w:rsidR="00E058C9" w:rsidRPr="00456662">
        <w:t>The CDQ fishery may open at any</w:t>
      </w:r>
      <w:r w:rsidR="006F689E">
        <w:t xml:space="preserve"> time</w:t>
      </w:r>
      <w:r w:rsidR="00FE1F27" w:rsidRPr="00456662">
        <w:t xml:space="preserve"> by emergency order</w:t>
      </w:r>
      <w:r w:rsidR="002A06C1">
        <w:t xml:space="preserve">. </w:t>
      </w:r>
      <w:r w:rsidR="006F689E">
        <w:t xml:space="preserve"> </w:t>
      </w:r>
      <w:r w:rsidR="00040C89">
        <w:t xml:space="preserve">CDQ harvest share is 7.5% of total projected harvest. </w:t>
      </w:r>
    </w:p>
    <w:p w:rsidR="00D938A9" w:rsidRDefault="00D938A9" w:rsidP="00C350C4">
      <w:pPr>
        <w:spacing w:after="120"/>
        <w:ind w:left="360"/>
        <w:jc w:val="both"/>
        <w:rPr>
          <w:u w:val="single"/>
        </w:rPr>
      </w:pPr>
      <w:bookmarkStart w:id="1" w:name="_Toc134857402"/>
    </w:p>
    <w:p w:rsidR="00B26E9C" w:rsidRPr="00C350C4" w:rsidRDefault="00B26E9C" w:rsidP="00C350C4">
      <w:pPr>
        <w:spacing w:after="120"/>
        <w:ind w:left="360"/>
        <w:jc w:val="both"/>
        <w:rPr>
          <w:u w:val="single"/>
        </w:rPr>
      </w:pPr>
      <w:r w:rsidRPr="00C350C4">
        <w:rPr>
          <w:u w:val="single"/>
        </w:rPr>
        <w:t>Winter Commercial Fishery</w:t>
      </w:r>
      <w:r w:rsidR="00355F45" w:rsidRPr="00C350C4">
        <w:rPr>
          <w:u w:val="single"/>
        </w:rPr>
        <w:t xml:space="preserve"> </w:t>
      </w:r>
    </w:p>
    <w:p w:rsidR="00A169F1" w:rsidRPr="00106323" w:rsidRDefault="008D52CF" w:rsidP="0026416A">
      <w:pPr>
        <w:spacing w:after="120"/>
        <w:ind w:left="360"/>
        <w:jc w:val="both"/>
      </w:pPr>
      <w:r>
        <w:t>The w</w:t>
      </w:r>
      <w:r w:rsidR="00355F45" w:rsidRPr="00106323">
        <w:t xml:space="preserve">inter commercial </w:t>
      </w:r>
      <w:r w:rsidR="004E1A51">
        <w:t xml:space="preserve">crab </w:t>
      </w:r>
      <w:r w:rsidR="00355F45" w:rsidRPr="00106323">
        <w:t xml:space="preserve">fishery is a small fishery </w:t>
      </w:r>
      <w:r w:rsidR="00C56F28" w:rsidRPr="00106323">
        <w:t>using hand lines and pots through the nearshore ice</w:t>
      </w:r>
      <w:r w:rsidR="00C56F28">
        <w:t xml:space="preserve">. </w:t>
      </w:r>
      <w:r w:rsidR="00051EAA">
        <w:t>On average</w:t>
      </w:r>
      <w:r w:rsidR="00051EAA" w:rsidRPr="00106323">
        <w:t xml:space="preserve"> </w:t>
      </w:r>
      <w:r w:rsidR="00FE1F27" w:rsidRPr="00106323">
        <w:t xml:space="preserve">10 </w:t>
      </w:r>
      <w:r w:rsidR="00114632">
        <w:t xml:space="preserve">permit holders </w:t>
      </w:r>
      <w:r w:rsidR="00051EAA" w:rsidRPr="00106323">
        <w:t>harvest</w:t>
      </w:r>
      <w:r w:rsidR="00051EAA">
        <w:t>ed</w:t>
      </w:r>
      <w:r w:rsidR="00355F45" w:rsidRPr="00106323">
        <w:t xml:space="preserve"> 2,</w:t>
      </w:r>
      <w:r w:rsidR="00A95E50">
        <w:t>5</w:t>
      </w:r>
      <w:r w:rsidR="00355F45" w:rsidRPr="00106323">
        <w:t>00 crab</w:t>
      </w:r>
      <w:r w:rsidR="000F0C65">
        <w:t>s</w:t>
      </w:r>
      <w:r w:rsidR="00355F45" w:rsidRPr="00106323">
        <w:t xml:space="preserve"> </w:t>
      </w:r>
      <w:r w:rsidR="0082272C" w:rsidRPr="00106323">
        <w:t xml:space="preserve">during </w:t>
      </w:r>
      <w:r w:rsidR="00355F45" w:rsidRPr="00106323">
        <w:t>1978-200</w:t>
      </w:r>
      <w:r w:rsidR="00A95E50">
        <w:t>9</w:t>
      </w:r>
      <w:r w:rsidR="00051EAA">
        <w:t>.</w:t>
      </w:r>
      <w:r w:rsidR="009B081C">
        <w:t xml:space="preserve"> </w:t>
      </w:r>
      <w:r w:rsidR="000F0C65">
        <w:t xml:space="preserve"> From 2007 to </w:t>
      </w:r>
      <w:r w:rsidR="00C37FBF">
        <w:t>2015</w:t>
      </w:r>
      <w:r w:rsidR="009B081C">
        <w:t xml:space="preserve"> the winter commercial catch incr</w:t>
      </w:r>
      <w:r w:rsidR="00A92D87">
        <w:t>eased from 3,000 crabs to over</w:t>
      </w:r>
      <w:r w:rsidR="00C37FBF">
        <w:t xml:space="preserve"> 40</w:t>
      </w:r>
      <w:r w:rsidR="003E4414">
        <w:t>,000 (Table 2</w:t>
      </w:r>
      <w:r w:rsidR="009B081C">
        <w:t>)</w:t>
      </w:r>
      <w:r w:rsidR="006C4C54">
        <w:t xml:space="preserve">. </w:t>
      </w:r>
      <w:r w:rsidR="00A92D87">
        <w:t xml:space="preserve">In 2015 </w:t>
      </w:r>
      <w:proofErr w:type="gramStart"/>
      <w:r w:rsidR="00A92D87">
        <w:t>w</w:t>
      </w:r>
      <w:r w:rsidR="00C37FBF">
        <w:t>inter</w:t>
      </w:r>
      <w:proofErr w:type="gramEnd"/>
      <w:r w:rsidR="00C37FBF">
        <w:t xml:space="preserve"> commercial catch reac</w:t>
      </w:r>
      <w:r w:rsidR="0026416A">
        <w:t>hed</w:t>
      </w:r>
      <w:r w:rsidR="00C37FBF">
        <w:t xml:space="preserve"> 20% of total crab catch</w:t>
      </w:r>
      <w:r w:rsidR="00276A44">
        <w:t xml:space="preserve">. </w:t>
      </w:r>
      <w:r w:rsidR="0026416A">
        <w:t>T</w:t>
      </w:r>
      <w:r w:rsidR="00276A44">
        <w:t xml:space="preserve">he BOF </w:t>
      </w:r>
      <w:r w:rsidR="0026416A">
        <w:t xml:space="preserve">responded </w:t>
      </w:r>
      <w:r w:rsidR="00276A44">
        <w:t xml:space="preserve">in May 2015 </w:t>
      </w:r>
      <w:r w:rsidR="0026416A">
        <w:t xml:space="preserve">by </w:t>
      </w:r>
      <w:r w:rsidR="00276A44">
        <w:t>amend</w:t>
      </w:r>
      <w:r w:rsidR="0026416A">
        <w:t>ing</w:t>
      </w:r>
      <w:r w:rsidR="00276A44">
        <w:t xml:space="preserve"> regulations</w:t>
      </w:r>
      <w:r w:rsidR="0026416A">
        <w:t xml:space="preserve"> to</w:t>
      </w:r>
      <w:r w:rsidR="00276A44">
        <w:t xml:space="preserve"> allocat</w:t>
      </w:r>
      <w:r w:rsidR="00A92D87">
        <w:t>e</w:t>
      </w:r>
      <w:r w:rsidR="00276A44">
        <w:t xml:space="preserve"> 8% of the total commercial guideline harvest level (GHL</w:t>
      </w:r>
      <w:r w:rsidR="0026416A">
        <w:t xml:space="preserve">) </w:t>
      </w:r>
      <w:r w:rsidR="00A92D87">
        <w:t xml:space="preserve">to </w:t>
      </w:r>
      <w:r w:rsidR="006C37D2">
        <w:t xml:space="preserve">the winter commercial fishery, which became in effect since 2017 season. </w:t>
      </w:r>
      <w:r w:rsidR="0026416A">
        <w:t xml:space="preserve"> </w:t>
      </w:r>
      <w:r w:rsidR="00A92D87">
        <w:t xml:space="preserve"> T</w:t>
      </w:r>
      <w:r w:rsidR="00276A44">
        <w:t xml:space="preserve">he winter red king crab commercial </w:t>
      </w:r>
      <w:r w:rsidR="00A92D87">
        <w:t>fishing season was also set</w:t>
      </w:r>
      <w:r w:rsidR="00276A44">
        <w:t xml:space="preserve"> from January 15 to April 30, unless changed by emergency order</w:t>
      </w:r>
      <w:r w:rsidR="006C4C54">
        <w:t xml:space="preserve">. </w:t>
      </w:r>
      <w:r w:rsidR="00276A44">
        <w:t xml:space="preserve"> The new regulation </w:t>
      </w:r>
      <w:r w:rsidR="00D938A9">
        <w:t xml:space="preserve">became in effect since </w:t>
      </w:r>
      <w:r w:rsidR="00276A44">
        <w:t>the</w:t>
      </w:r>
      <w:r w:rsidR="0026416A">
        <w:t xml:space="preserve"> 2016</w:t>
      </w:r>
      <w:r w:rsidR="00276A44">
        <w:t xml:space="preserve"> season. </w:t>
      </w:r>
      <w:r w:rsidR="006C37D2">
        <w:t xml:space="preserve">  </w:t>
      </w:r>
    </w:p>
    <w:p w:rsidR="00A92D87" w:rsidRDefault="00A92D87" w:rsidP="004E1A51">
      <w:pPr>
        <w:spacing w:after="120"/>
        <w:ind w:left="360"/>
        <w:jc w:val="both"/>
        <w:rPr>
          <w:u w:val="single"/>
        </w:rPr>
      </w:pPr>
    </w:p>
    <w:p w:rsidR="004E1A51" w:rsidRPr="004E1A51" w:rsidRDefault="0004057D" w:rsidP="004E1A51">
      <w:pPr>
        <w:spacing w:after="120"/>
        <w:ind w:left="360"/>
        <w:jc w:val="both"/>
        <w:rPr>
          <w:u w:val="single"/>
        </w:rPr>
      </w:pPr>
      <w:r w:rsidRPr="00C350C4">
        <w:rPr>
          <w:u w:val="single"/>
        </w:rPr>
        <w:t>Subsistence Fishery</w:t>
      </w:r>
      <w:bookmarkEnd w:id="1"/>
    </w:p>
    <w:p w:rsidR="009B081C" w:rsidRDefault="00051EAA" w:rsidP="00927DAA">
      <w:pPr>
        <w:spacing w:after="120"/>
        <w:ind w:left="360"/>
        <w:jc w:val="both"/>
      </w:pPr>
      <w:r>
        <w:t>While the</w:t>
      </w:r>
      <w:r w:rsidR="00530A2F">
        <w:t xml:space="preserve"> winter</w:t>
      </w:r>
      <w:r>
        <w:t xml:space="preserve"> subsistence fishery has a long history</w:t>
      </w:r>
      <w:r w:rsidR="002A06C1">
        <w:t xml:space="preserve">, </w:t>
      </w:r>
      <w:r w:rsidR="004E1A51">
        <w:t>harvest</w:t>
      </w:r>
      <w:r>
        <w:t xml:space="preserve"> information</w:t>
      </w:r>
      <w:r w:rsidR="004E1A51">
        <w:t xml:space="preserve"> is available </w:t>
      </w:r>
      <w:r>
        <w:t xml:space="preserve">only </w:t>
      </w:r>
      <w:r w:rsidR="004E1A51">
        <w:t>since</w:t>
      </w:r>
      <w:r w:rsidR="00A92D87">
        <w:t xml:space="preserve"> the </w:t>
      </w:r>
      <w:r w:rsidR="009F3035">
        <w:t>19</w:t>
      </w:r>
      <w:r w:rsidR="002A06C1">
        <w:t>77/78</w:t>
      </w:r>
      <w:r w:rsidR="00A92D87">
        <w:t xml:space="preserve"> season</w:t>
      </w:r>
      <w:r w:rsidR="002A06C1">
        <w:t xml:space="preserve">. </w:t>
      </w:r>
      <w:proofErr w:type="gramStart"/>
      <w:r w:rsidR="004E1A51">
        <w:t>The majority of</w:t>
      </w:r>
      <w:proofErr w:type="gramEnd"/>
      <w:r w:rsidR="004E1A51">
        <w:t xml:space="preserve"> </w:t>
      </w:r>
      <w:r>
        <w:t xml:space="preserve">the </w:t>
      </w:r>
      <w:r w:rsidR="004E1A51">
        <w:t>s</w:t>
      </w:r>
      <w:r w:rsidR="00D3475A" w:rsidRPr="00106323">
        <w:t xml:space="preserve">ubsistence crab fishery </w:t>
      </w:r>
      <w:r>
        <w:t>harvest</w:t>
      </w:r>
      <w:r w:rsidRPr="00106323">
        <w:t xml:space="preserve"> </w:t>
      </w:r>
      <w:r w:rsidR="00D3475A" w:rsidRPr="00106323">
        <w:t xml:space="preserve">occurs using </w:t>
      </w:r>
      <w:r w:rsidR="0004057D" w:rsidRPr="00106323">
        <w:t>hand lines and pots</w:t>
      </w:r>
      <w:r w:rsidR="00B26E9C" w:rsidRPr="00106323">
        <w:t xml:space="preserve"> </w:t>
      </w:r>
      <w:r w:rsidR="00123392" w:rsidRPr="00106323">
        <w:t>through</w:t>
      </w:r>
      <w:r w:rsidR="00B26E9C" w:rsidRPr="00106323">
        <w:t xml:space="preserve"> nearshore ice</w:t>
      </w:r>
      <w:r w:rsidR="002A06C1">
        <w:t xml:space="preserve">. </w:t>
      </w:r>
      <w:r w:rsidR="00355F45" w:rsidRPr="00106323">
        <w:t>Aver</w:t>
      </w:r>
      <w:r w:rsidR="00114632">
        <w:t xml:space="preserve">age annual </w:t>
      </w:r>
      <w:r w:rsidR="004E1A51">
        <w:t xml:space="preserve">winter </w:t>
      </w:r>
      <w:r w:rsidR="00114632">
        <w:t>subsistence harvest wa</w:t>
      </w:r>
      <w:r w:rsidR="004E1A51">
        <w:t>s 5,4</w:t>
      </w:r>
      <w:r w:rsidR="00355F45" w:rsidRPr="00106323">
        <w:t xml:space="preserve">00 </w:t>
      </w:r>
      <w:r w:rsidR="00A044B0" w:rsidRPr="00106323">
        <w:t xml:space="preserve">crab </w:t>
      </w:r>
      <w:r w:rsidR="004E1A51">
        <w:t>(1977-2010</w:t>
      </w:r>
      <w:r w:rsidR="00355F45" w:rsidRPr="00106323">
        <w:t xml:space="preserve">). </w:t>
      </w:r>
      <w:r w:rsidR="00114632">
        <w:t>Subsistence harvest</w:t>
      </w:r>
      <w:r w:rsidR="005A1172">
        <w:t>ers</w:t>
      </w:r>
      <w:r w:rsidR="00D3475A" w:rsidRPr="00106323">
        <w:t xml:space="preserve"> need to obtain a permit before fishing and </w:t>
      </w:r>
      <w:r w:rsidR="00114632">
        <w:t xml:space="preserve">record </w:t>
      </w:r>
      <w:r w:rsidR="0004057D" w:rsidRPr="00106323">
        <w:t>daily effort and catch</w:t>
      </w:r>
      <w:r w:rsidR="002A06C1">
        <w:t xml:space="preserve">. </w:t>
      </w:r>
      <w:r w:rsidR="00530A2F">
        <w:t>There are</w:t>
      </w:r>
      <w:r w:rsidR="00A92D87">
        <w:t xml:space="preserve"> </w:t>
      </w:r>
      <w:r w:rsidR="00C56F28" w:rsidRPr="00114632">
        <w:rPr>
          <w:color w:val="000000"/>
        </w:rPr>
        <w:t xml:space="preserve">no size </w:t>
      </w:r>
      <w:r w:rsidR="00A92D87">
        <w:rPr>
          <w:color w:val="000000"/>
        </w:rPr>
        <w:t xml:space="preserve">or sex </w:t>
      </w:r>
      <w:r w:rsidR="00530A2F">
        <w:rPr>
          <w:color w:val="000000"/>
        </w:rPr>
        <w:t xml:space="preserve">specific harvest </w:t>
      </w:r>
      <w:r w:rsidR="00C56F28" w:rsidRPr="00114632">
        <w:rPr>
          <w:color w:val="000000"/>
        </w:rPr>
        <w:t>limit</w:t>
      </w:r>
      <w:r w:rsidR="00530A2F">
        <w:rPr>
          <w:color w:val="000000"/>
        </w:rPr>
        <w:t>s</w:t>
      </w:r>
      <w:r w:rsidR="00A92D87">
        <w:rPr>
          <w:color w:val="000000"/>
        </w:rPr>
        <w:t xml:space="preserve">; however, the </w:t>
      </w:r>
      <w:r w:rsidR="00A92D87">
        <w:rPr>
          <w:color w:val="000000"/>
        </w:rPr>
        <w:lastRenderedPageBreak/>
        <w:t>majority of retained catches are males of near legal size</w:t>
      </w:r>
      <w:r w:rsidR="00C56F28" w:rsidRPr="00114632">
        <w:rPr>
          <w:color w:val="000000"/>
        </w:rPr>
        <w:t>.</w:t>
      </w:r>
      <w:r w:rsidR="00C56F28" w:rsidRPr="00C56F28">
        <w:rPr>
          <w:color w:val="FF0000"/>
        </w:rPr>
        <w:t xml:space="preserve"> </w:t>
      </w:r>
      <w:r w:rsidR="00A92D87">
        <w:rPr>
          <w:color w:val="FF0000"/>
        </w:rPr>
        <w:t xml:space="preserve"> </w:t>
      </w:r>
      <w:r w:rsidR="00A044B0" w:rsidRPr="00106323">
        <w:t>The s</w:t>
      </w:r>
      <w:r w:rsidR="00B26E9C" w:rsidRPr="00106323">
        <w:t xml:space="preserve">ubsistence fishery catch is influenced not only by crab </w:t>
      </w:r>
      <w:r w:rsidR="00A044B0" w:rsidRPr="00106323">
        <w:t>abundance</w:t>
      </w:r>
      <w:r w:rsidR="00B26E9C" w:rsidRPr="00106323">
        <w:t>, but also by change</w:t>
      </w:r>
      <w:r w:rsidR="00A044B0" w:rsidRPr="00106323">
        <w:t>s</w:t>
      </w:r>
      <w:r w:rsidR="00B26E9C" w:rsidRPr="00106323">
        <w:t xml:space="preserve"> in distribution, change</w:t>
      </w:r>
      <w:r w:rsidR="00A044B0" w:rsidRPr="00106323">
        <w:t>s in</w:t>
      </w:r>
      <w:r w:rsidR="00B26E9C" w:rsidRPr="00106323">
        <w:t xml:space="preserve"> gear (e.g., more use of pots instead of hand lines since 198</w:t>
      </w:r>
      <w:r w:rsidR="00AE54C1" w:rsidRPr="00106323">
        <w:t xml:space="preserve">0s), and ice conditions (e.g., </w:t>
      </w:r>
      <w:r w:rsidR="00B26E9C" w:rsidRPr="00106323">
        <w:t>reduced catch due to unstable ice conditions: 1987-88, 1988-89, 1992-93, 2000-01, 2003-04, 2004-05</w:t>
      </w:r>
      <w:r w:rsidR="003C0195" w:rsidRPr="00106323">
        <w:t>, and 2006-07</w:t>
      </w:r>
      <w:r w:rsidR="00B26E9C" w:rsidRPr="00106323">
        <w:t>)</w:t>
      </w:r>
      <w:r w:rsidR="009B309C">
        <w:t>.</w:t>
      </w:r>
    </w:p>
    <w:p w:rsidR="00316421" w:rsidRDefault="008D52CF" w:rsidP="007610BA">
      <w:pPr>
        <w:spacing w:after="120"/>
        <w:ind w:left="360"/>
        <w:jc w:val="both"/>
      </w:pPr>
      <w:r>
        <w:t>The s</w:t>
      </w:r>
      <w:r w:rsidR="004E1A51">
        <w:t xml:space="preserve">ummer subsistence crab fishery harvest has been monitored since 2004 with </w:t>
      </w:r>
      <w:r w:rsidR="0026416A">
        <w:t xml:space="preserve">an </w:t>
      </w:r>
      <w:r w:rsidR="004E1A51">
        <w:t>average harvest of 712 crab per year</w:t>
      </w:r>
      <w:r w:rsidR="002A06C1">
        <w:t xml:space="preserve">. </w:t>
      </w:r>
      <w:r w:rsidR="004E1A51">
        <w:t xml:space="preserve">Since this harvest is very small, </w:t>
      </w:r>
      <w:r>
        <w:t xml:space="preserve">the </w:t>
      </w:r>
      <w:r w:rsidR="004E1A51">
        <w:t xml:space="preserve">summer subsistence fishery was not included in the assessment model. </w:t>
      </w:r>
    </w:p>
    <w:p w:rsidR="008D23E8" w:rsidRPr="00316421" w:rsidRDefault="00316421" w:rsidP="004F27CE">
      <w:pPr>
        <w:numPr>
          <w:ilvl w:val="3"/>
          <w:numId w:val="8"/>
        </w:numPr>
        <w:tabs>
          <w:tab w:val="left" w:pos="360"/>
        </w:tabs>
        <w:spacing w:after="120"/>
        <w:ind w:left="720" w:hanging="720"/>
      </w:pPr>
      <w:r>
        <w:t>Brief description of the annual ADF&amp;G harvest s</w:t>
      </w:r>
      <w:r w:rsidR="008D23E8" w:rsidRPr="00316421">
        <w:t>trategy</w:t>
      </w:r>
    </w:p>
    <w:p w:rsidR="00BC7DDD" w:rsidRDefault="00316421" w:rsidP="00D57917">
      <w:pPr>
        <w:spacing w:after="120"/>
        <w:ind w:left="360"/>
        <w:jc w:val="both"/>
      </w:pPr>
      <w:r>
        <w:t>Since 1997 N</w:t>
      </w:r>
      <w:r w:rsidR="008D23E8" w:rsidRPr="00106323">
        <w:t>orton Sound red kin</w:t>
      </w:r>
      <w:r>
        <w:t>g crab ha</w:t>
      </w:r>
      <w:r w:rsidR="00530A2F">
        <w:t>s</w:t>
      </w:r>
      <w:r>
        <w:t xml:space="preserve"> been </w:t>
      </w:r>
      <w:r w:rsidR="008D23E8" w:rsidRPr="00106323">
        <w:t xml:space="preserve">managed </w:t>
      </w:r>
      <w:r>
        <w:t xml:space="preserve">based on </w:t>
      </w:r>
      <w:r w:rsidR="005A1172">
        <w:t xml:space="preserve">a </w:t>
      </w:r>
      <w:r>
        <w:t xml:space="preserve">guideline harvest </w:t>
      </w:r>
      <w:r w:rsidR="00B12CE1">
        <w:t>level</w:t>
      </w:r>
      <w:r w:rsidR="00F8567D">
        <w:t xml:space="preserve"> (GHL)</w:t>
      </w:r>
      <w:r w:rsidR="002A06C1">
        <w:t xml:space="preserve">. </w:t>
      </w:r>
      <w:r w:rsidR="0070384B">
        <w:t>From 1999 to 2011</w:t>
      </w:r>
      <w:r>
        <w:t xml:space="preserve"> </w:t>
      </w:r>
      <w:r w:rsidR="00A92D87">
        <w:t xml:space="preserve">the </w:t>
      </w:r>
      <w:r>
        <w:t xml:space="preserve">GHL </w:t>
      </w:r>
      <w:r w:rsidR="004E4CA3">
        <w:t xml:space="preserve">for </w:t>
      </w:r>
      <w:r w:rsidR="00A92D87">
        <w:t xml:space="preserve">the </w:t>
      </w:r>
      <w:r w:rsidR="004E4CA3">
        <w:t xml:space="preserve">summer commercial fishery </w:t>
      </w:r>
      <w:r w:rsidR="00A92D87">
        <w:t>was</w:t>
      </w:r>
      <w:r>
        <w:t xml:space="preserve"> determined by a prediction model and the model estimated predicted biomass: </w:t>
      </w:r>
      <w:r w:rsidR="005D5DFC">
        <w:t xml:space="preserve">(1) </w:t>
      </w:r>
      <w:r w:rsidR="00DF0321">
        <w:t xml:space="preserve">0% </w:t>
      </w:r>
      <w:r w:rsidR="00E279B6">
        <w:t xml:space="preserve">harvest rate </w:t>
      </w:r>
      <w:r w:rsidR="00DF0321">
        <w:t xml:space="preserve">of legal crab </w:t>
      </w:r>
      <w:r w:rsidR="00E279B6">
        <w:t xml:space="preserve">when </w:t>
      </w:r>
      <w:r w:rsidR="005D5DFC">
        <w:t xml:space="preserve">estimated legal biomass &lt; 1.5 million </w:t>
      </w:r>
      <w:proofErr w:type="spellStart"/>
      <w:r w:rsidR="005C0E62">
        <w:t>lb</w:t>
      </w:r>
      <w:proofErr w:type="spellEnd"/>
      <w:r w:rsidR="005D5DFC">
        <w:t xml:space="preserve">; (2) </w:t>
      </w:r>
      <w:r w:rsidR="00E279B6">
        <w:t xml:space="preserve">≤ 5% </w:t>
      </w:r>
      <w:r w:rsidR="00152809">
        <w:t xml:space="preserve">of legal male abundance </w:t>
      </w:r>
      <w:r w:rsidR="00E279B6">
        <w:t xml:space="preserve">when </w:t>
      </w:r>
      <w:r w:rsidR="00DF0321">
        <w:t xml:space="preserve">the </w:t>
      </w:r>
      <w:r w:rsidR="005D5DFC">
        <w:t>est</w:t>
      </w:r>
      <w:r w:rsidR="00E279B6">
        <w:t xml:space="preserve">imated legal biomass </w:t>
      </w:r>
      <w:r w:rsidR="00152809">
        <w:t xml:space="preserve">falls within the </w:t>
      </w:r>
      <w:r w:rsidR="007641F6">
        <w:t>range 1.5</w:t>
      </w:r>
      <w:r w:rsidR="00E279B6">
        <w:t>-</w:t>
      </w:r>
      <w:r w:rsidR="005D5DFC">
        <w:t xml:space="preserve">2.5 million </w:t>
      </w:r>
      <w:proofErr w:type="spellStart"/>
      <w:r w:rsidR="005C0E62">
        <w:t>lb</w:t>
      </w:r>
      <w:proofErr w:type="spellEnd"/>
      <w:r w:rsidR="005D5DFC">
        <w:t xml:space="preserve">; and (3) </w:t>
      </w:r>
      <w:r w:rsidR="00E279B6">
        <w:t xml:space="preserve">≤ 10% </w:t>
      </w:r>
      <w:r w:rsidR="00152809">
        <w:t xml:space="preserve">of legal male </w:t>
      </w:r>
      <w:r w:rsidR="00E279B6">
        <w:t xml:space="preserve">when </w:t>
      </w:r>
      <w:r w:rsidR="005D5DFC">
        <w:t xml:space="preserve">estimated legal biomass &gt;2.5 million </w:t>
      </w:r>
      <w:r w:rsidR="005C0E62">
        <w:t>lb</w:t>
      </w:r>
      <w:r w:rsidR="002A06C1">
        <w:t xml:space="preserve">. </w:t>
      </w:r>
    </w:p>
    <w:p w:rsidR="007E665B" w:rsidRDefault="0070384B" w:rsidP="0071483F">
      <w:pPr>
        <w:spacing w:after="120"/>
        <w:ind w:left="360"/>
        <w:jc w:val="both"/>
      </w:pPr>
      <w:r>
        <w:t>In</w:t>
      </w:r>
      <w:r w:rsidR="004C2CE4">
        <w:t xml:space="preserve"> 2012 a revised GHL</w:t>
      </w:r>
      <w:r w:rsidR="00927DAA">
        <w:t xml:space="preserve"> </w:t>
      </w:r>
      <w:r w:rsidR="004E4CA3">
        <w:t xml:space="preserve">for </w:t>
      </w:r>
      <w:r w:rsidR="00A92D87">
        <w:t xml:space="preserve">the </w:t>
      </w:r>
      <w:r w:rsidR="004E4CA3">
        <w:t xml:space="preserve">summer commercial fishery </w:t>
      </w:r>
      <w:r w:rsidR="00A92D87">
        <w:t>was implemented</w:t>
      </w:r>
      <w:r w:rsidR="004C2CE4">
        <w:t xml:space="preserve">: (1) 0% harvest rate of legal crab when estimated legal biomass &lt; 1.25 million </w:t>
      </w:r>
      <w:proofErr w:type="spellStart"/>
      <w:r w:rsidR="005C0E62">
        <w:t>lb</w:t>
      </w:r>
      <w:proofErr w:type="spellEnd"/>
      <w:r w:rsidR="004C2CE4">
        <w:t>; (2) ≤ 7% of legal male abundance when the estimated legal biomass falls within the rang</w:t>
      </w:r>
      <w:r w:rsidR="0012009F">
        <w:t xml:space="preserve">e 1.25-2.0 million </w:t>
      </w:r>
      <w:proofErr w:type="spellStart"/>
      <w:r w:rsidR="005C0E62">
        <w:t>lb</w:t>
      </w:r>
      <w:proofErr w:type="spellEnd"/>
      <w:r w:rsidR="0012009F">
        <w:t>; (3) ≤ 13</w:t>
      </w:r>
      <w:r w:rsidR="004C2CE4">
        <w:t xml:space="preserve">% of legal male abundance when the estimated legal biomass falls within the range 2.0-3.0 million </w:t>
      </w:r>
      <w:proofErr w:type="spellStart"/>
      <w:r w:rsidR="005C0E62">
        <w:t>lb</w:t>
      </w:r>
      <w:proofErr w:type="spellEnd"/>
      <w:r w:rsidR="004C2CE4">
        <w:t xml:space="preserve">; and (3) ≤ 15% of legal male </w:t>
      </w:r>
      <w:r w:rsidR="0010393D">
        <w:t xml:space="preserve">biomass </w:t>
      </w:r>
      <w:r w:rsidR="004C2CE4">
        <w:t xml:space="preserve">when estimated legal biomass &gt;3.0 million </w:t>
      </w:r>
      <w:r w:rsidR="005C0E62">
        <w:t>lb</w:t>
      </w:r>
      <w:r w:rsidR="002A06C1">
        <w:t xml:space="preserve">. </w:t>
      </w:r>
    </w:p>
    <w:p w:rsidR="006A5267" w:rsidRDefault="00802B04" w:rsidP="006A5267">
      <w:pPr>
        <w:spacing w:after="120"/>
        <w:ind w:left="360"/>
        <w:jc w:val="both"/>
      </w:pPr>
      <w:r>
        <w:t xml:space="preserve">In 2015 </w:t>
      </w:r>
      <w:r w:rsidR="00A92D87">
        <w:t xml:space="preserve">the </w:t>
      </w:r>
      <w:r>
        <w:t xml:space="preserve">Alaska Board of Fisheries passed </w:t>
      </w:r>
      <w:r w:rsidR="00A92D87">
        <w:t xml:space="preserve">the </w:t>
      </w:r>
      <w:r>
        <w:t xml:space="preserve">following regulations regarding winter commercial fisheries: </w:t>
      </w:r>
    </w:p>
    <w:p w:rsidR="00B16D69" w:rsidRDefault="004E4CA3" w:rsidP="004F27CE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1080"/>
      </w:pPr>
      <w:r>
        <w:t>Revised</w:t>
      </w:r>
      <w:r w:rsidR="00B16D69">
        <w:t xml:space="preserve"> </w:t>
      </w:r>
      <w:r w:rsidR="009F40A6">
        <w:t>GHL to include</w:t>
      </w:r>
      <w:r w:rsidR="00B70323">
        <w:t xml:space="preserve"> summer and winter commercial</w:t>
      </w:r>
      <w:r w:rsidR="00B16D69">
        <w:t xml:space="preserve"> fisheries. </w:t>
      </w:r>
    </w:p>
    <w:p w:rsidR="00040C89" w:rsidRDefault="00802B04" w:rsidP="004F27CE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1080"/>
      </w:pPr>
      <w:r>
        <w:t>S</w:t>
      </w:r>
      <w:r w:rsidR="00B16D69">
        <w:t>et guideline harvest level for winter commercial fishery (</w:t>
      </w:r>
      <w:proofErr w:type="spellStart"/>
      <w:r w:rsidR="00B16D69">
        <w:t>GHL</w:t>
      </w:r>
      <w:r w:rsidR="00B16D69" w:rsidRPr="00B16D69">
        <w:rPr>
          <w:vertAlign w:val="subscript"/>
        </w:rPr>
        <w:t>w</w:t>
      </w:r>
      <w:proofErr w:type="spellEnd"/>
      <w:r w:rsidR="009F40A6">
        <w:t>) at</w:t>
      </w:r>
      <w:r>
        <w:t xml:space="preserve"> </w:t>
      </w:r>
      <w:r w:rsidR="00B16D69">
        <w:t xml:space="preserve">8% of the total GHL </w:t>
      </w:r>
    </w:p>
    <w:p w:rsidR="0010393D" w:rsidRDefault="00802B04" w:rsidP="004F27CE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1080"/>
      </w:pPr>
      <w:r>
        <w:t>Date</w:t>
      </w:r>
      <w:r w:rsidR="006274F4">
        <w:t>s</w:t>
      </w:r>
      <w:r>
        <w:t xml:space="preserve"> of the winter red king crab commercial fishing season </w:t>
      </w:r>
      <w:r w:rsidR="006274F4">
        <w:t>are</w:t>
      </w:r>
      <w:r w:rsidR="00530A2F">
        <w:t xml:space="preserve"> </w:t>
      </w:r>
      <w:r>
        <w:t>from January 15 to April 30.</w:t>
      </w:r>
    </w:p>
    <w:p w:rsidR="00802B04" w:rsidRPr="00106323" w:rsidRDefault="00802B04" w:rsidP="007610BA">
      <w:pPr>
        <w:pStyle w:val="ListParagraph"/>
        <w:autoSpaceDE w:val="0"/>
        <w:autoSpaceDN w:val="0"/>
        <w:adjustRightInd w:val="0"/>
        <w:ind w:left="1080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8642"/>
      </w:tblGrid>
      <w:tr w:rsidR="00FB4AA4" w:rsidRPr="00A22B40" w:rsidTr="007610BA">
        <w:tc>
          <w:tcPr>
            <w:tcW w:w="826" w:type="dxa"/>
          </w:tcPr>
          <w:p w:rsidR="00FB4AA4" w:rsidRPr="00A22B40" w:rsidRDefault="00FB4AA4" w:rsidP="00810C78">
            <w:pPr>
              <w:rPr>
                <w:sz w:val="22"/>
                <w:szCs w:val="22"/>
              </w:rPr>
            </w:pPr>
            <w:r w:rsidRPr="00A22B40">
              <w:rPr>
                <w:sz w:val="22"/>
                <w:szCs w:val="22"/>
              </w:rPr>
              <w:t xml:space="preserve">Year </w:t>
            </w:r>
          </w:p>
        </w:tc>
        <w:tc>
          <w:tcPr>
            <w:tcW w:w="8642" w:type="dxa"/>
          </w:tcPr>
          <w:p w:rsidR="00FB4AA4" w:rsidRPr="00A22B40" w:rsidRDefault="00FB4AA4" w:rsidP="00810C78">
            <w:pPr>
              <w:rPr>
                <w:sz w:val="22"/>
                <w:szCs w:val="22"/>
              </w:rPr>
            </w:pPr>
            <w:r w:rsidRPr="00A22B40">
              <w:rPr>
                <w:sz w:val="22"/>
                <w:szCs w:val="22"/>
              </w:rPr>
              <w:t>Notable historical management changes</w:t>
            </w:r>
          </w:p>
        </w:tc>
      </w:tr>
      <w:tr w:rsidR="00FB4AA4" w:rsidRPr="00A22B40" w:rsidTr="007610BA">
        <w:tc>
          <w:tcPr>
            <w:tcW w:w="826" w:type="dxa"/>
          </w:tcPr>
          <w:p w:rsidR="00FB4AA4" w:rsidRPr="00A22B40" w:rsidRDefault="00FB4AA4" w:rsidP="00810C78">
            <w:pPr>
              <w:rPr>
                <w:sz w:val="22"/>
                <w:szCs w:val="22"/>
              </w:rPr>
            </w:pPr>
            <w:r w:rsidRPr="00A22B40">
              <w:rPr>
                <w:sz w:val="22"/>
                <w:szCs w:val="22"/>
              </w:rPr>
              <w:t>1976</w:t>
            </w:r>
          </w:p>
        </w:tc>
        <w:tc>
          <w:tcPr>
            <w:tcW w:w="8642" w:type="dxa"/>
          </w:tcPr>
          <w:p w:rsidR="00FB4AA4" w:rsidRPr="00A22B40" w:rsidRDefault="00FB4AA4" w:rsidP="00810C78">
            <w:pPr>
              <w:rPr>
                <w:sz w:val="22"/>
                <w:szCs w:val="22"/>
              </w:rPr>
            </w:pPr>
            <w:r w:rsidRPr="00A22B40">
              <w:rPr>
                <w:sz w:val="22"/>
                <w:szCs w:val="22"/>
              </w:rPr>
              <w:t>The abundance survey started</w:t>
            </w:r>
          </w:p>
        </w:tc>
      </w:tr>
      <w:tr w:rsidR="00FB4AA4" w:rsidRPr="00A22B40" w:rsidTr="007610BA">
        <w:tc>
          <w:tcPr>
            <w:tcW w:w="826" w:type="dxa"/>
          </w:tcPr>
          <w:p w:rsidR="00FB4AA4" w:rsidRPr="00A22B40" w:rsidRDefault="00FB4AA4" w:rsidP="00810C78">
            <w:pPr>
              <w:rPr>
                <w:sz w:val="22"/>
                <w:szCs w:val="22"/>
              </w:rPr>
            </w:pPr>
            <w:r w:rsidRPr="00A22B40">
              <w:rPr>
                <w:sz w:val="22"/>
                <w:szCs w:val="22"/>
              </w:rPr>
              <w:t>1977</w:t>
            </w:r>
          </w:p>
        </w:tc>
        <w:tc>
          <w:tcPr>
            <w:tcW w:w="8642" w:type="dxa"/>
          </w:tcPr>
          <w:p w:rsidR="00FB4AA4" w:rsidRPr="007D643D" w:rsidRDefault="00FB4AA4" w:rsidP="00810C78">
            <w:pPr>
              <w:rPr>
                <w:b/>
                <w:sz w:val="22"/>
                <w:szCs w:val="22"/>
              </w:rPr>
            </w:pPr>
            <w:r w:rsidRPr="007D643D">
              <w:rPr>
                <w:b/>
                <w:sz w:val="22"/>
                <w:szCs w:val="22"/>
              </w:rPr>
              <w:t>Large vessel commercial fisheries began</w:t>
            </w:r>
            <w:r w:rsidR="007D643D" w:rsidRPr="007D643D">
              <w:rPr>
                <w:b/>
                <w:sz w:val="22"/>
                <w:szCs w:val="22"/>
              </w:rPr>
              <w:t xml:space="preserve"> (Legal size ≥ </w:t>
            </w:r>
            <w:proofErr w:type="gramStart"/>
            <w:r w:rsidR="007D643D" w:rsidRPr="007D643D">
              <w:rPr>
                <w:b/>
                <w:sz w:val="22"/>
                <w:szCs w:val="22"/>
              </w:rPr>
              <w:t>5 inch</w:t>
            </w:r>
            <w:proofErr w:type="gramEnd"/>
            <w:r w:rsidR="007D643D" w:rsidRPr="007D643D">
              <w:rPr>
                <w:b/>
                <w:sz w:val="22"/>
                <w:szCs w:val="22"/>
              </w:rPr>
              <w:t xml:space="preserve"> CW)</w:t>
            </w:r>
          </w:p>
        </w:tc>
      </w:tr>
      <w:tr w:rsidR="00051F6A" w:rsidRPr="00A22B40" w:rsidTr="007610BA">
        <w:tc>
          <w:tcPr>
            <w:tcW w:w="826" w:type="dxa"/>
          </w:tcPr>
          <w:p w:rsidR="00051F6A" w:rsidRPr="00A22B40" w:rsidRDefault="007D643D" w:rsidP="00810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1978</w:t>
            </w:r>
          </w:p>
        </w:tc>
        <w:tc>
          <w:tcPr>
            <w:tcW w:w="8642" w:type="dxa"/>
          </w:tcPr>
          <w:p w:rsidR="00051F6A" w:rsidRPr="007D643D" w:rsidRDefault="007D643D" w:rsidP="00810C78">
            <w:pPr>
              <w:rPr>
                <w:b/>
                <w:sz w:val="22"/>
                <w:szCs w:val="22"/>
              </w:rPr>
            </w:pPr>
            <w:r w:rsidRPr="007D643D">
              <w:rPr>
                <w:b/>
                <w:sz w:val="22"/>
                <w:szCs w:val="22"/>
              </w:rPr>
              <w:t xml:space="preserve">Legal size changes </w:t>
            </w:r>
            <w:proofErr w:type="gramStart"/>
            <w:r w:rsidRPr="007D643D">
              <w:rPr>
                <w:b/>
                <w:sz w:val="22"/>
                <w:szCs w:val="22"/>
              </w:rPr>
              <w:t>to  ≥</w:t>
            </w:r>
            <w:proofErr w:type="gramEnd"/>
            <w:r w:rsidRPr="007D643D">
              <w:rPr>
                <w:b/>
                <w:sz w:val="22"/>
                <w:szCs w:val="22"/>
              </w:rPr>
              <w:t xml:space="preserve"> 4</w:t>
            </w:r>
            <w:r>
              <w:rPr>
                <w:b/>
                <w:sz w:val="22"/>
                <w:szCs w:val="22"/>
              </w:rPr>
              <w:t>.75</w:t>
            </w:r>
            <w:r w:rsidRPr="007D643D">
              <w:rPr>
                <w:b/>
                <w:sz w:val="22"/>
                <w:szCs w:val="22"/>
              </w:rPr>
              <w:t xml:space="preserve"> inch CW</w:t>
            </w:r>
          </w:p>
        </w:tc>
      </w:tr>
      <w:tr w:rsidR="00FB4AA4" w:rsidRPr="00A22B40" w:rsidTr="007610BA">
        <w:tc>
          <w:tcPr>
            <w:tcW w:w="826" w:type="dxa"/>
          </w:tcPr>
          <w:p w:rsidR="00FB4AA4" w:rsidRPr="00A22B40" w:rsidRDefault="00FB4AA4" w:rsidP="00810C78">
            <w:pPr>
              <w:rPr>
                <w:sz w:val="22"/>
                <w:szCs w:val="22"/>
              </w:rPr>
            </w:pPr>
            <w:r w:rsidRPr="00A22B40">
              <w:rPr>
                <w:sz w:val="22"/>
                <w:szCs w:val="22"/>
              </w:rPr>
              <w:t>1991</w:t>
            </w:r>
          </w:p>
        </w:tc>
        <w:tc>
          <w:tcPr>
            <w:tcW w:w="8642" w:type="dxa"/>
          </w:tcPr>
          <w:p w:rsidR="00FB4AA4" w:rsidRPr="00A22B40" w:rsidRDefault="00FB4AA4" w:rsidP="00810C78">
            <w:pPr>
              <w:rPr>
                <w:sz w:val="22"/>
                <w:szCs w:val="22"/>
              </w:rPr>
            </w:pPr>
            <w:r w:rsidRPr="00A22B40">
              <w:rPr>
                <w:sz w:val="22"/>
                <w:szCs w:val="22"/>
              </w:rPr>
              <w:t>Fishery closed due to staff constraints</w:t>
            </w:r>
          </w:p>
        </w:tc>
      </w:tr>
      <w:tr w:rsidR="00FB4AA4" w:rsidRPr="00A22B40" w:rsidTr="007610BA">
        <w:tc>
          <w:tcPr>
            <w:tcW w:w="826" w:type="dxa"/>
          </w:tcPr>
          <w:p w:rsidR="00FB4AA4" w:rsidRPr="00A22B40" w:rsidRDefault="00FB4AA4" w:rsidP="00810C78">
            <w:pPr>
              <w:rPr>
                <w:sz w:val="22"/>
                <w:szCs w:val="22"/>
              </w:rPr>
            </w:pPr>
            <w:r w:rsidRPr="00A22B40">
              <w:rPr>
                <w:sz w:val="22"/>
                <w:szCs w:val="22"/>
              </w:rPr>
              <w:t>1994</w:t>
            </w:r>
          </w:p>
        </w:tc>
        <w:tc>
          <w:tcPr>
            <w:tcW w:w="8642" w:type="dxa"/>
          </w:tcPr>
          <w:p w:rsidR="00FB4AA4" w:rsidRPr="00A22B40" w:rsidRDefault="00FB4AA4" w:rsidP="009F40A6">
            <w:pPr>
              <w:rPr>
                <w:sz w:val="22"/>
                <w:szCs w:val="22"/>
              </w:rPr>
            </w:pPr>
            <w:r w:rsidRPr="00A22B40">
              <w:rPr>
                <w:sz w:val="22"/>
                <w:szCs w:val="22"/>
              </w:rPr>
              <w:t xml:space="preserve">Super exclusive designation </w:t>
            </w:r>
            <w:r w:rsidR="008D52CF">
              <w:rPr>
                <w:sz w:val="22"/>
                <w:szCs w:val="22"/>
              </w:rPr>
              <w:t xml:space="preserve">went </w:t>
            </w:r>
            <w:r w:rsidRPr="00A22B40">
              <w:rPr>
                <w:sz w:val="22"/>
                <w:szCs w:val="22"/>
              </w:rPr>
              <w:t>into effect</w:t>
            </w:r>
            <w:r w:rsidR="002A06C1">
              <w:rPr>
                <w:sz w:val="22"/>
                <w:szCs w:val="22"/>
              </w:rPr>
              <w:t xml:space="preserve">. </w:t>
            </w:r>
            <w:r w:rsidR="00835FAE" w:rsidRPr="00A22B40">
              <w:rPr>
                <w:sz w:val="22"/>
                <w:szCs w:val="22"/>
              </w:rPr>
              <w:t>The end of large vessel commercial fishery operation</w:t>
            </w:r>
            <w:r w:rsidR="002A06C1">
              <w:rPr>
                <w:sz w:val="22"/>
                <w:szCs w:val="22"/>
              </w:rPr>
              <w:t xml:space="preserve">. </w:t>
            </w:r>
          </w:p>
        </w:tc>
      </w:tr>
      <w:tr w:rsidR="00FB4AA4" w:rsidRPr="00A22B40" w:rsidTr="007610BA">
        <w:tc>
          <w:tcPr>
            <w:tcW w:w="826" w:type="dxa"/>
          </w:tcPr>
          <w:p w:rsidR="00FB4AA4" w:rsidRPr="00A22B40" w:rsidRDefault="00FB4AA4" w:rsidP="00810C78">
            <w:pPr>
              <w:rPr>
                <w:sz w:val="22"/>
                <w:szCs w:val="22"/>
              </w:rPr>
            </w:pPr>
            <w:r w:rsidRPr="00A22B40">
              <w:rPr>
                <w:sz w:val="22"/>
                <w:szCs w:val="22"/>
              </w:rPr>
              <w:t>1998</w:t>
            </w:r>
          </w:p>
        </w:tc>
        <w:tc>
          <w:tcPr>
            <w:tcW w:w="8642" w:type="dxa"/>
          </w:tcPr>
          <w:p w:rsidR="00FB4AA4" w:rsidRPr="00A22B40" w:rsidRDefault="00FB4AA4" w:rsidP="00810C78">
            <w:pPr>
              <w:rPr>
                <w:sz w:val="22"/>
                <w:szCs w:val="22"/>
              </w:rPr>
            </w:pPr>
            <w:r w:rsidRPr="00A22B40">
              <w:rPr>
                <w:sz w:val="22"/>
                <w:szCs w:val="22"/>
              </w:rPr>
              <w:t xml:space="preserve">Community Development Quota (CDQ) allocation </w:t>
            </w:r>
            <w:r w:rsidR="008D52CF">
              <w:rPr>
                <w:sz w:val="22"/>
                <w:szCs w:val="22"/>
              </w:rPr>
              <w:t xml:space="preserve">went </w:t>
            </w:r>
            <w:r w:rsidRPr="00A22B40">
              <w:rPr>
                <w:sz w:val="22"/>
                <w:szCs w:val="22"/>
              </w:rPr>
              <w:t xml:space="preserve">into effect </w:t>
            </w:r>
          </w:p>
        </w:tc>
      </w:tr>
      <w:tr w:rsidR="00FB4AA4" w:rsidRPr="00A22B40" w:rsidTr="007610BA">
        <w:tc>
          <w:tcPr>
            <w:tcW w:w="826" w:type="dxa"/>
          </w:tcPr>
          <w:p w:rsidR="00FB4AA4" w:rsidRPr="00A22B40" w:rsidRDefault="00FB4AA4" w:rsidP="00810C78">
            <w:pPr>
              <w:rPr>
                <w:sz w:val="22"/>
                <w:szCs w:val="22"/>
              </w:rPr>
            </w:pPr>
            <w:r w:rsidRPr="00A22B40">
              <w:rPr>
                <w:sz w:val="22"/>
                <w:szCs w:val="22"/>
              </w:rPr>
              <w:t>1999</w:t>
            </w:r>
          </w:p>
        </w:tc>
        <w:tc>
          <w:tcPr>
            <w:tcW w:w="8642" w:type="dxa"/>
          </w:tcPr>
          <w:p w:rsidR="00FB4AA4" w:rsidRPr="00A22B40" w:rsidRDefault="009F40A6" w:rsidP="00810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Guideline Harvest Level</w:t>
            </w:r>
            <w:r w:rsidR="00FB4AA4" w:rsidRPr="00A22B40">
              <w:rPr>
                <w:sz w:val="22"/>
                <w:szCs w:val="22"/>
              </w:rPr>
              <w:t xml:space="preserve"> (GHL) </w:t>
            </w:r>
            <w:r w:rsidR="008D52CF">
              <w:rPr>
                <w:sz w:val="22"/>
                <w:szCs w:val="22"/>
              </w:rPr>
              <w:t xml:space="preserve">went </w:t>
            </w:r>
            <w:r w:rsidR="00FB4AA4" w:rsidRPr="00A22B40">
              <w:rPr>
                <w:sz w:val="22"/>
                <w:szCs w:val="22"/>
              </w:rPr>
              <w:t xml:space="preserve">into effect </w:t>
            </w:r>
          </w:p>
        </w:tc>
      </w:tr>
      <w:tr w:rsidR="00FB4AA4" w:rsidRPr="00A22B40" w:rsidTr="007610BA">
        <w:tc>
          <w:tcPr>
            <w:tcW w:w="826" w:type="dxa"/>
          </w:tcPr>
          <w:p w:rsidR="00FB4AA4" w:rsidRPr="00A22B40" w:rsidRDefault="00FB4AA4" w:rsidP="00810C78">
            <w:pPr>
              <w:rPr>
                <w:sz w:val="22"/>
                <w:szCs w:val="22"/>
              </w:rPr>
            </w:pPr>
            <w:r w:rsidRPr="00A22B40">
              <w:rPr>
                <w:sz w:val="22"/>
                <w:szCs w:val="22"/>
              </w:rPr>
              <w:t>2000</w:t>
            </w:r>
          </w:p>
        </w:tc>
        <w:tc>
          <w:tcPr>
            <w:tcW w:w="8642" w:type="dxa"/>
          </w:tcPr>
          <w:p w:rsidR="00FB4AA4" w:rsidRPr="00A22B40" w:rsidRDefault="00FB4AA4" w:rsidP="00810C78">
            <w:pPr>
              <w:rPr>
                <w:sz w:val="22"/>
                <w:szCs w:val="22"/>
              </w:rPr>
            </w:pPr>
            <w:r w:rsidRPr="00A22B40">
              <w:rPr>
                <w:sz w:val="22"/>
                <w:szCs w:val="22"/>
              </w:rPr>
              <w:t xml:space="preserve">North Pacific License Limitation Program (LLP) </w:t>
            </w:r>
            <w:r w:rsidR="008D52CF">
              <w:rPr>
                <w:sz w:val="22"/>
                <w:szCs w:val="22"/>
              </w:rPr>
              <w:t xml:space="preserve">went </w:t>
            </w:r>
            <w:r w:rsidRPr="00A22B40">
              <w:rPr>
                <w:sz w:val="22"/>
                <w:szCs w:val="22"/>
              </w:rPr>
              <w:t>into effect</w:t>
            </w:r>
            <w:r w:rsidR="002A06C1">
              <w:rPr>
                <w:sz w:val="22"/>
                <w:szCs w:val="22"/>
              </w:rPr>
              <w:t xml:space="preserve">. </w:t>
            </w:r>
          </w:p>
        </w:tc>
      </w:tr>
      <w:tr w:rsidR="00FB4AA4" w:rsidRPr="00A22B40" w:rsidTr="007610BA">
        <w:tc>
          <w:tcPr>
            <w:tcW w:w="826" w:type="dxa"/>
          </w:tcPr>
          <w:p w:rsidR="00FB4AA4" w:rsidRPr="00A22B40" w:rsidRDefault="00FB4AA4" w:rsidP="00810C78">
            <w:pPr>
              <w:rPr>
                <w:sz w:val="22"/>
                <w:szCs w:val="22"/>
              </w:rPr>
            </w:pPr>
            <w:r w:rsidRPr="00A22B40">
              <w:rPr>
                <w:sz w:val="22"/>
                <w:szCs w:val="22"/>
              </w:rPr>
              <w:t>2002</w:t>
            </w:r>
          </w:p>
        </w:tc>
        <w:tc>
          <w:tcPr>
            <w:tcW w:w="8642" w:type="dxa"/>
          </w:tcPr>
          <w:p w:rsidR="00FB4AA4" w:rsidRPr="00A22B40" w:rsidRDefault="00FB4AA4" w:rsidP="00810C78">
            <w:pPr>
              <w:rPr>
                <w:sz w:val="22"/>
                <w:szCs w:val="22"/>
              </w:rPr>
            </w:pPr>
            <w:r w:rsidRPr="00A22B40">
              <w:rPr>
                <w:sz w:val="22"/>
                <w:szCs w:val="22"/>
              </w:rPr>
              <w:t xml:space="preserve">Change in closed water boundaries (Figure 2) </w:t>
            </w:r>
          </w:p>
        </w:tc>
      </w:tr>
      <w:tr w:rsidR="00231757" w:rsidRPr="00A22B40" w:rsidTr="007610BA">
        <w:tc>
          <w:tcPr>
            <w:tcW w:w="826" w:type="dxa"/>
          </w:tcPr>
          <w:p w:rsidR="00231757" w:rsidRPr="00F13935" w:rsidRDefault="00231757" w:rsidP="00810C78">
            <w:pPr>
              <w:rPr>
                <w:color w:val="000000" w:themeColor="text1"/>
                <w:sz w:val="22"/>
                <w:szCs w:val="22"/>
              </w:rPr>
            </w:pPr>
            <w:r w:rsidRPr="00F13935">
              <w:rPr>
                <w:color w:val="000000" w:themeColor="text1"/>
                <w:sz w:val="22"/>
                <w:szCs w:val="22"/>
              </w:rPr>
              <w:t>2005</w:t>
            </w:r>
          </w:p>
        </w:tc>
        <w:tc>
          <w:tcPr>
            <w:tcW w:w="8642" w:type="dxa"/>
          </w:tcPr>
          <w:p w:rsidR="00231757" w:rsidRPr="007D643D" w:rsidRDefault="00231757" w:rsidP="00810C78">
            <w:pPr>
              <w:rPr>
                <w:b/>
                <w:color w:val="000000" w:themeColor="text1"/>
                <w:sz w:val="22"/>
                <w:szCs w:val="22"/>
              </w:rPr>
            </w:pPr>
            <w:r w:rsidRPr="007D643D">
              <w:rPr>
                <w:b/>
                <w:color w:val="000000" w:themeColor="text1"/>
                <w:sz w:val="22"/>
                <w:szCs w:val="22"/>
              </w:rPr>
              <w:t xml:space="preserve">Commercially accepted legal crab size changed from ≥ </w:t>
            </w:r>
            <w:proofErr w:type="gramStart"/>
            <w:r w:rsidRPr="007D643D">
              <w:rPr>
                <w:b/>
                <w:color w:val="000000" w:themeColor="text1"/>
                <w:sz w:val="22"/>
                <w:szCs w:val="22"/>
              </w:rPr>
              <w:t>5 inch</w:t>
            </w:r>
            <w:proofErr w:type="gramEnd"/>
            <w:r w:rsidRPr="007D643D">
              <w:rPr>
                <w:b/>
                <w:color w:val="000000" w:themeColor="text1"/>
                <w:sz w:val="22"/>
                <w:szCs w:val="22"/>
              </w:rPr>
              <w:t xml:space="preserve"> CW </w:t>
            </w:r>
          </w:p>
        </w:tc>
      </w:tr>
      <w:tr w:rsidR="00FB4AA4" w:rsidRPr="00A22B40" w:rsidTr="007610BA">
        <w:tc>
          <w:tcPr>
            <w:tcW w:w="826" w:type="dxa"/>
          </w:tcPr>
          <w:p w:rsidR="00FB4AA4" w:rsidRPr="00A22B40" w:rsidRDefault="00FB4AA4" w:rsidP="00810C78">
            <w:pPr>
              <w:rPr>
                <w:sz w:val="22"/>
                <w:szCs w:val="22"/>
              </w:rPr>
            </w:pPr>
            <w:r w:rsidRPr="00A22B40">
              <w:rPr>
                <w:sz w:val="22"/>
                <w:szCs w:val="22"/>
              </w:rPr>
              <w:t>2006</w:t>
            </w:r>
          </w:p>
        </w:tc>
        <w:tc>
          <w:tcPr>
            <w:tcW w:w="8642" w:type="dxa"/>
          </w:tcPr>
          <w:p w:rsidR="00FB4AA4" w:rsidRPr="00A22B40" w:rsidRDefault="00835FAE" w:rsidP="00810C78">
            <w:pPr>
              <w:rPr>
                <w:sz w:val="22"/>
                <w:szCs w:val="22"/>
              </w:rPr>
            </w:pPr>
            <w:r w:rsidRPr="00A22B40">
              <w:rPr>
                <w:sz w:val="22"/>
                <w:szCs w:val="22"/>
              </w:rPr>
              <w:t>T</w:t>
            </w:r>
            <w:r w:rsidR="00FB4AA4" w:rsidRPr="00A22B40">
              <w:rPr>
                <w:sz w:val="22"/>
                <w:szCs w:val="22"/>
              </w:rPr>
              <w:t>he</w:t>
            </w:r>
            <w:r w:rsidRPr="00A22B40">
              <w:rPr>
                <w:sz w:val="22"/>
                <w:szCs w:val="22"/>
              </w:rPr>
              <w:t xml:space="preserve"> Statistical area</w:t>
            </w:r>
            <w:r w:rsidR="00FB4AA4" w:rsidRPr="00A22B40">
              <w:rPr>
                <w:sz w:val="22"/>
                <w:szCs w:val="22"/>
              </w:rPr>
              <w:t xml:space="preserve"> Q3 section </w:t>
            </w:r>
            <w:r w:rsidRPr="00A22B40">
              <w:rPr>
                <w:sz w:val="22"/>
                <w:szCs w:val="22"/>
              </w:rPr>
              <w:t>expanded (Figure 1)</w:t>
            </w:r>
          </w:p>
        </w:tc>
      </w:tr>
      <w:tr w:rsidR="00FB4AA4" w:rsidRPr="00A22B40" w:rsidTr="007610BA">
        <w:tc>
          <w:tcPr>
            <w:tcW w:w="826" w:type="dxa"/>
          </w:tcPr>
          <w:p w:rsidR="00FB4AA4" w:rsidRPr="00A22B40" w:rsidRDefault="00FB4AA4" w:rsidP="00810C78">
            <w:pPr>
              <w:rPr>
                <w:sz w:val="22"/>
                <w:szCs w:val="22"/>
              </w:rPr>
            </w:pPr>
            <w:r w:rsidRPr="00A22B40">
              <w:rPr>
                <w:sz w:val="22"/>
                <w:szCs w:val="22"/>
              </w:rPr>
              <w:t>2008</w:t>
            </w:r>
          </w:p>
        </w:tc>
        <w:tc>
          <w:tcPr>
            <w:tcW w:w="8642" w:type="dxa"/>
          </w:tcPr>
          <w:p w:rsidR="00FB4AA4" w:rsidRPr="00A22B40" w:rsidRDefault="006F4E55" w:rsidP="00810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 date of</w:t>
            </w:r>
            <w:r w:rsidR="00152809" w:rsidRPr="00A22B40">
              <w:rPr>
                <w:sz w:val="22"/>
                <w:szCs w:val="22"/>
              </w:rPr>
              <w:t xml:space="preserve"> the o</w:t>
            </w:r>
            <w:r w:rsidR="00FB4AA4" w:rsidRPr="00A22B40">
              <w:rPr>
                <w:sz w:val="22"/>
                <w:szCs w:val="22"/>
              </w:rPr>
              <w:t xml:space="preserve">pen access fishery </w:t>
            </w:r>
            <w:r w:rsidR="00152809" w:rsidRPr="00A22B40">
              <w:rPr>
                <w:sz w:val="22"/>
                <w:szCs w:val="22"/>
              </w:rPr>
              <w:t xml:space="preserve">changed </w:t>
            </w:r>
            <w:r w:rsidR="00FB4AA4" w:rsidRPr="00A22B40">
              <w:rPr>
                <w:sz w:val="22"/>
                <w:szCs w:val="22"/>
              </w:rPr>
              <w:t>from July</w:t>
            </w:r>
            <w:r w:rsidR="00530A2F">
              <w:rPr>
                <w:sz w:val="22"/>
                <w:szCs w:val="22"/>
              </w:rPr>
              <w:t xml:space="preserve"> </w:t>
            </w:r>
            <w:r w:rsidR="00FB4AA4" w:rsidRPr="00A22B40">
              <w:rPr>
                <w:sz w:val="22"/>
                <w:szCs w:val="22"/>
              </w:rPr>
              <w:t>1 to after June 15 by emergency order.</w:t>
            </w:r>
          </w:p>
          <w:p w:rsidR="00FB4AA4" w:rsidRPr="007D643D" w:rsidRDefault="00FB4AA4" w:rsidP="00152809">
            <w:pPr>
              <w:rPr>
                <w:b/>
                <w:sz w:val="22"/>
                <w:szCs w:val="22"/>
              </w:rPr>
            </w:pPr>
            <w:r w:rsidRPr="007D643D">
              <w:rPr>
                <w:b/>
                <w:sz w:val="22"/>
                <w:szCs w:val="22"/>
              </w:rPr>
              <w:t xml:space="preserve">Pot configuration requirement: </w:t>
            </w:r>
            <w:r w:rsidR="00152809" w:rsidRPr="007D643D">
              <w:rPr>
                <w:b/>
                <w:sz w:val="22"/>
                <w:szCs w:val="22"/>
              </w:rPr>
              <w:t>at least</w:t>
            </w:r>
            <w:r w:rsidRPr="007D643D">
              <w:rPr>
                <w:b/>
                <w:spacing w:val="-3"/>
                <w:sz w:val="22"/>
                <w:szCs w:val="22"/>
              </w:rPr>
              <w:t xml:space="preserve"> 4 escape rings (&gt;</w:t>
            </w:r>
            <w:proofErr w:type="gramStart"/>
            <w:r w:rsidRPr="007D643D">
              <w:rPr>
                <w:b/>
                <w:spacing w:val="-3"/>
                <w:sz w:val="22"/>
                <w:szCs w:val="22"/>
              </w:rPr>
              <w:t>4</w:t>
            </w:r>
            <w:r w:rsidR="007D643D" w:rsidRPr="007D643D">
              <w:rPr>
                <w:b/>
                <w:spacing w:val="-3"/>
                <w:sz w:val="22"/>
                <w:szCs w:val="22"/>
              </w:rPr>
              <w:t>.5</w:t>
            </w:r>
            <w:r w:rsidRPr="007D643D">
              <w:rPr>
                <w:b/>
                <w:spacing w:val="-3"/>
                <w:sz w:val="22"/>
                <w:szCs w:val="22"/>
              </w:rPr>
              <w:t xml:space="preserve"> </w:t>
            </w:r>
            <w:r w:rsidR="00152809" w:rsidRPr="007D643D">
              <w:rPr>
                <w:b/>
                <w:spacing w:val="-3"/>
                <w:sz w:val="22"/>
                <w:szCs w:val="22"/>
              </w:rPr>
              <w:t>inch</w:t>
            </w:r>
            <w:proofErr w:type="gramEnd"/>
            <w:r w:rsidR="00152809" w:rsidRPr="007D643D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7D643D">
              <w:rPr>
                <w:b/>
                <w:spacing w:val="-3"/>
                <w:sz w:val="22"/>
                <w:szCs w:val="22"/>
              </w:rPr>
              <w:t>diameter) per pot l</w:t>
            </w:r>
            <w:r w:rsidR="00152809" w:rsidRPr="007D643D">
              <w:rPr>
                <w:b/>
                <w:spacing w:val="-3"/>
                <w:sz w:val="22"/>
                <w:szCs w:val="22"/>
              </w:rPr>
              <w:t>ocated within one mesh of</w:t>
            </w:r>
            <w:r w:rsidRPr="007D643D">
              <w:rPr>
                <w:b/>
                <w:spacing w:val="-3"/>
                <w:sz w:val="22"/>
                <w:szCs w:val="22"/>
              </w:rPr>
              <w:t xml:space="preserve"> the bottom of the pot, or at least ½ of the vertical surface of a square pot </w:t>
            </w:r>
            <w:r w:rsidRPr="007D643D">
              <w:rPr>
                <w:b/>
                <w:spacing w:val="-3"/>
                <w:sz w:val="22"/>
                <w:szCs w:val="22"/>
              </w:rPr>
              <w:lastRenderedPageBreak/>
              <w:t>or sloping side-wall surface of a conical or pyramid pot with mesh size &gt; 6</w:t>
            </w:r>
            <w:r w:rsidR="007D643D" w:rsidRPr="007D643D">
              <w:rPr>
                <w:b/>
                <w:spacing w:val="-3"/>
                <w:sz w:val="22"/>
                <w:szCs w:val="22"/>
              </w:rPr>
              <w:t xml:space="preserve">.5 </w:t>
            </w:r>
            <w:r w:rsidRPr="007D643D">
              <w:rPr>
                <w:b/>
                <w:spacing w:val="-3"/>
                <w:sz w:val="22"/>
                <w:szCs w:val="22"/>
              </w:rPr>
              <w:t>inch</w:t>
            </w:r>
            <w:r w:rsidR="00152809" w:rsidRPr="007D643D">
              <w:rPr>
                <w:b/>
                <w:spacing w:val="-3"/>
                <w:sz w:val="22"/>
                <w:szCs w:val="22"/>
              </w:rPr>
              <w:t>es</w:t>
            </w:r>
            <w:r w:rsidRPr="007D643D">
              <w:rPr>
                <w:b/>
                <w:spacing w:val="-3"/>
                <w:sz w:val="22"/>
                <w:szCs w:val="22"/>
              </w:rPr>
              <w:t>.</w:t>
            </w:r>
          </w:p>
        </w:tc>
      </w:tr>
      <w:tr w:rsidR="00A95E50" w:rsidRPr="00A22B40" w:rsidTr="009F40A6">
        <w:trPr>
          <w:trHeight w:val="296"/>
        </w:trPr>
        <w:tc>
          <w:tcPr>
            <w:tcW w:w="826" w:type="dxa"/>
          </w:tcPr>
          <w:p w:rsidR="00A95E50" w:rsidRPr="00A22B40" w:rsidRDefault="00A95E50" w:rsidP="00810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2012</w:t>
            </w:r>
          </w:p>
        </w:tc>
        <w:tc>
          <w:tcPr>
            <w:tcW w:w="8642" w:type="dxa"/>
          </w:tcPr>
          <w:p w:rsidR="00A95E50" w:rsidRPr="00A22B40" w:rsidRDefault="008D52CF" w:rsidP="003C73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A95E50">
              <w:rPr>
                <w:sz w:val="22"/>
                <w:szCs w:val="22"/>
              </w:rPr>
              <w:t xml:space="preserve">Board of </w:t>
            </w:r>
            <w:r>
              <w:rPr>
                <w:sz w:val="22"/>
                <w:szCs w:val="22"/>
              </w:rPr>
              <w:t>F</w:t>
            </w:r>
            <w:r w:rsidR="004C2CE4">
              <w:rPr>
                <w:sz w:val="22"/>
                <w:szCs w:val="22"/>
              </w:rPr>
              <w:t>isheries adopted a revise</w:t>
            </w:r>
            <w:r w:rsidR="00ED595F">
              <w:rPr>
                <w:sz w:val="22"/>
                <w:szCs w:val="22"/>
              </w:rPr>
              <w:t>d</w:t>
            </w:r>
            <w:r w:rsidR="004C2CE4">
              <w:rPr>
                <w:sz w:val="22"/>
                <w:szCs w:val="22"/>
              </w:rPr>
              <w:t xml:space="preserve"> </w:t>
            </w:r>
            <w:r w:rsidR="003C7332">
              <w:rPr>
                <w:sz w:val="22"/>
                <w:szCs w:val="22"/>
              </w:rPr>
              <w:t>GHL for summer fishery</w:t>
            </w:r>
            <w:r>
              <w:rPr>
                <w:sz w:val="22"/>
                <w:szCs w:val="22"/>
              </w:rPr>
              <w:t>.</w:t>
            </w:r>
          </w:p>
        </w:tc>
      </w:tr>
      <w:tr w:rsidR="00C37FBF" w:rsidRPr="00A22B40" w:rsidTr="007610BA">
        <w:tc>
          <w:tcPr>
            <w:tcW w:w="826" w:type="dxa"/>
          </w:tcPr>
          <w:p w:rsidR="00C37FBF" w:rsidRDefault="00C37FBF" w:rsidP="00810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150FF0">
              <w:rPr>
                <w:sz w:val="22"/>
                <w:szCs w:val="22"/>
              </w:rPr>
              <w:t>6</w:t>
            </w:r>
          </w:p>
        </w:tc>
        <w:tc>
          <w:tcPr>
            <w:tcW w:w="8642" w:type="dxa"/>
          </w:tcPr>
          <w:p w:rsidR="00C37FBF" w:rsidRDefault="00150FF0" w:rsidP="008D5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802B04">
              <w:rPr>
                <w:sz w:val="22"/>
                <w:szCs w:val="22"/>
              </w:rPr>
              <w:t xml:space="preserve">inter </w:t>
            </w:r>
            <w:r>
              <w:rPr>
                <w:sz w:val="22"/>
                <w:szCs w:val="22"/>
              </w:rPr>
              <w:t xml:space="preserve">GHL for </w:t>
            </w:r>
            <w:r w:rsidR="00802B04">
              <w:rPr>
                <w:sz w:val="22"/>
                <w:szCs w:val="22"/>
              </w:rPr>
              <w:t>commercial fisheries</w:t>
            </w:r>
            <w:r w:rsidR="009F40A6">
              <w:rPr>
                <w:sz w:val="22"/>
                <w:szCs w:val="22"/>
              </w:rPr>
              <w:t xml:space="preserve"> was established and modified winter fishing season dates were implemented.</w:t>
            </w:r>
          </w:p>
        </w:tc>
      </w:tr>
    </w:tbl>
    <w:p w:rsidR="003E4414" w:rsidRDefault="003E4414" w:rsidP="009F6908">
      <w:pPr>
        <w:spacing w:after="120"/>
        <w:jc w:val="both"/>
      </w:pPr>
    </w:p>
    <w:p w:rsidR="003A6128" w:rsidRDefault="00316421" w:rsidP="004F27CE">
      <w:pPr>
        <w:numPr>
          <w:ilvl w:val="3"/>
          <w:numId w:val="8"/>
        </w:numPr>
        <w:spacing w:after="120"/>
        <w:ind w:left="360"/>
        <w:jc w:val="both"/>
      </w:pPr>
      <w:r>
        <w:t xml:space="preserve">Summary of the history of the </w:t>
      </w:r>
      <w:r w:rsidRPr="00316421">
        <w:rPr>
          <w:i/>
        </w:rPr>
        <w:t>B</w:t>
      </w:r>
      <w:r w:rsidRPr="00316421">
        <w:rPr>
          <w:vertAlign w:val="subscript"/>
        </w:rPr>
        <w:t>MSY</w:t>
      </w:r>
      <w:r>
        <w:rPr>
          <w:vertAlign w:val="subscript"/>
        </w:rPr>
        <w:t>.</w:t>
      </w:r>
    </w:p>
    <w:p w:rsidR="00897030" w:rsidRDefault="00897030" w:rsidP="003A6128">
      <w:pPr>
        <w:spacing w:after="120"/>
        <w:ind w:left="360"/>
        <w:jc w:val="both"/>
      </w:pPr>
      <w:r>
        <w:t>NSRK</w:t>
      </w:r>
      <w:r w:rsidR="00E46A0A">
        <w:t>C is a T</w:t>
      </w:r>
      <w:r w:rsidR="00716E4B">
        <w:t>ier</w:t>
      </w:r>
      <w:r w:rsidR="00530A2F">
        <w:t xml:space="preserve"> </w:t>
      </w:r>
      <w:r w:rsidR="00716E4B">
        <w:t>4 crab stock</w:t>
      </w:r>
      <w:r w:rsidR="00E46A0A">
        <w:t>. D</w:t>
      </w:r>
      <w:r w:rsidR="003A6128">
        <w:t xml:space="preserve">irect estimation of the </w:t>
      </w:r>
      <w:r w:rsidR="003A6128" w:rsidRPr="00316421">
        <w:rPr>
          <w:i/>
        </w:rPr>
        <w:t>B</w:t>
      </w:r>
      <w:r w:rsidR="003A6128" w:rsidRPr="00316421">
        <w:rPr>
          <w:vertAlign w:val="subscript"/>
        </w:rPr>
        <w:t>MSY</w:t>
      </w:r>
      <w:r w:rsidR="003A6128">
        <w:t xml:space="preserve"> is not possible</w:t>
      </w:r>
      <w:r w:rsidR="002A06C1">
        <w:t xml:space="preserve">. </w:t>
      </w:r>
      <w:r w:rsidR="008D52CF">
        <w:t xml:space="preserve">The </w:t>
      </w:r>
      <w:r w:rsidR="00833ACE" w:rsidRPr="00316421">
        <w:rPr>
          <w:i/>
        </w:rPr>
        <w:t>B</w:t>
      </w:r>
      <w:r w:rsidR="00833ACE" w:rsidRPr="00316421">
        <w:rPr>
          <w:vertAlign w:val="subscript"/>
        </w:rPr>
        <w:t>MSY</w:t>
      </w:r>
      <w:r w:rsidR="00833ACE">
        <w:t xml:space="preserve"> </w:t>
      </w:r>
      <w:r w:rsidR="008D52CF">
        <w:t xml:space="preserve">proxy </w:t>
      </w:r>
      <w:r w:rsidR="007E665B">
        <w:t>i</w:t>
      </w:r>
      <w:r>
        <w:t>s calculated as mean model estimated mat</w:t>
      </w:r>
      <w:r w:rsidR="003A6128">
        <w:t>ure male biomass (MMB) from 1980</w:t>
      </w:r>
      <w:r>
        <w:t xml:space="preserve"> to present</w:t>
      </w:r>
      <w:r w:rsidR="002A06C1">
        <w:t xml:space="preserve">. </w:t>
      </w:r>
      <w:r>
        <w:t xml:space="preserve">Choice of this period was based on </w:t>
      </w:r>
      <w:r w:rsidR="00833ACE">
        <w:t xml:space="preserve">a hypothesized shift in stock productivity </w:t>
      </w:r>
      <w:r>
        <w:t xml:space="preserve">a </w:t>
      </w:r>
      <w:r w:rsidR="00833ACE">
        <w:t>due to a climatic</w:t>
      </w:r>
      <w:r w:rsidR="005C0E62">
        <w:t xml:space="preserve"> </w:t>
      </w:r>
      <w:r w:rsidR="00833ACE">
        <w:t>regime</w:t>
      </w:r>
      <w:r w:rsidR="005C0E62">
        <w:t xml:space="preserve"> </w:t>
      </w:r>
      <w:r>
        <w:t xml:space="preserve">shift </w:t>
      </w:r>
      <w:r w:rsidR="00833ACE">
        <w:t>indexed by the Pacific Decadal Oscillation (PDO) in 1976-77.</w:t>
      </w:r>
      <w:r w:rsidR="002A06C1">
        <w:t xml:space="preserve"> </w:t>
      </w:r>
      <w:r w:rsidR="00C10A20">
        <w:t xml:space="preserve">Stock status of the NSRKC </w:t>
      </w:r>
      <w:r w:rsidR="00833ACE">
        <w:t xml:space="preserve">was </w:t>
      </w:r>
      <w:r w:rsidR="00C10A20">
        <w:t>Tier 4a</w:t>
      </w:r>
      <w:r w:rsidR="009F40A6">
        <w:t xml:space="preserve"> until 2013</w:t>
      </w:r>
      <w:r w:rsidR="006C4C54">
        <w:t xml:space="preserve">. </w:t>
      </w:r>
      <w:r w:rsidR="00CF1EB1">
        <w:t xml:space="preserve">In </w:t>
      </w:r>
      <w:r w:rsidR="00C10A20">
        <w:t xml:space="preserve">2014 </w:t>
      </w:r>
      <w:r w:rsidR="00CF1EB1">
        <w:t xml:space="preserve">the stock fell to </w:t>
      </w:r>
      <w:r w:rsidR="00C37FBF">
        <w:t>Tier</w:t>
      </w:r>
      <w:r w:rsidR="000A3EF2">
        <w:t xml:space="preserve"> </w:t>
      </w:r>
      <w:proofErr w:type="gramStart"/>
      <w:r w:rsidR="000A3EF2">
        <w:t>4b, but</w:t>
      </w:r>
      <w:proofErr w:type="gramEnd"/>
      <w:r w:rsidR="000A3EF2">
        <w:t xml:space="preserve"> came back to Ti</w:t>
      </w:r>
      <w:r w:rsidR="00530A2F">
        <w:t>er</w:t>
      </w:r>
      <w:r w:rsidR="000A3EF2">
        <w:t xml:space="preserve"> 4a for</w:t>
      </w:r>
      <w:r w:rsidR="00C37FBF">
        <w:t xml:space="preserve"> </w:t>
      </w:r>
      <w:r w:rsidR="006274F4">
        <w:t xml:space="preserve">the </w:t>
      </w:r>
      <w:r w:rsidR="00C37FBF">
        <w:t>2015</w:t>
      </w:r>
      <w:r w:rsidR="00DB0EBC">
        <w:t>-2017</w:t>
      </w:r>
      <w:r w:rsidR="000A3EF2">
        <w:t xml:space="preserve"> season</w:t>
      </w:r>
      <w:r w:rsidR="006274F4">
        <w:t>s</w:t>
      </w:r>
      <w:r w:rsidR="00DB0EBC">
        <w:t xml:space="preserve">.  In 2018 the stock again fell to Tier 4b.  </w:t>
      </w:r>
    </w:p>
    <w:p w:rsidR="00897030" w:rsidRDefault="00897030" w:rsidP="00897030">
      <w:pPr>
        <w:spacing w:after="120"/>
        <w:ind w:left="360"/>
        <w:jc w:val="both"/>
      </w:pPr>
      <w:r>
        <w:t xml:space="preserve">    </w:t>
      </w:r>
    </w:p>
    <w:p w:rsidR="003A6128" w:rsidRPr="007610BA" w:rsidRDefault="00444865" w:rsidP="004F27CE">
      <w:pPr>
        <w:pStyle w:val="ListParagraph"/>
        <w:numPr>
          <w:ilvl w:val="0"/>
          <w:numId w:val="3"/>
        </w:numPr>
        <w:spacing w:line="360" w:lineRule="auto"/>
        <w:ind w:left="360"/>
        <w:rPr>
          <w:b/>
          <w:i/>
          <w:sz w:val="28"/>
          <w:szCs w:val="28"/>
        </w:rPr>
      </w:pPr>
      <w:r w:rsidRPr="007A481A">
        <w:rPr>
          <w:b/>
          <w:i/>
          <w:sz w:val="28"/>
          <w:szCs w:val="28"/>
        </w:rPr>
        <w:t>Data</w:t>
      </w:r>
    </w:p>
    <w:p w:rsidR="0010393D" w:rsidRDefault="007A27F8" w:rsidP="004F27CE">
      <w:pPr>
        <w:pStyle w:val="ListParagraph"/>
        <w:numPr>
          <w:ilvl w:val="0"/>
          <w:numId w:val="2"/>
        </w:numPr>
        <w:spacing w:after="120"/>
        <w:ind w:left="360"/>
        <w:jc w:val="both"/>
      </w:pPr>
      <w:r>
        <w:t>Summary of new information:</w:t>
      </w:r>
    </w:p>
    <w:p w:rsidR="0070384B" w:rsidRDefault="0070384B" w:rsidP="007610BA"/>
    <w:p w:rsidR="00331805" w:rsidRDefault="00331805" w:rsidP="00331805">
      <w:pPr>
        <w:ind w:firstLine="360"/>
      </w:pPr>
      <w:r>
        <w:t>Winter commercial and subsistence fishery</w:t>
      </w:r>
      <w:r w:rsidR="0010393D">
        <w:t>:</w:t>
      </w:r>
    </w:p>
    <w:p w:rsidR="00331805" w:rsidRDefault="00331805" w:rsidP="00331805">
      <w:pPr>
        <w:ind w:firstLine="360"/>
      </w:pPr>
    </w:p>
    <w:p w:rsidR="00331805" w:rsidRPr="00331805" w:rsidRDefault="00331805" w:rsidP="00556C01">
      <w:pPr>
        <w:ind w:left="360"/>
      </w:pPr>
      <w:r w:rsidRPr="00331805">
        <w:t xml:space="preserve">Winter commercial fishery </w:t>
      </w:r>
      <w:r>
        <w:t>catch</w:t>
      </w:r>
      <w:r w:rsidR="00DB0EBC">
        <w:t xml:space="preserve"> in 2018</w:t>
      </w:r>
      <w:r>
        <w:t xml:space="preserve"> was</w:t>
      </w:r>
      <w:r w:rsidRPr="00331805">
        <w:t xml:space="preserve"> </w:t>
      </w:r>
      <w:r w:rsidR="00FA52EB">
        <w:t>9,189</w:t>
      </w:r>
      <w:r w:rsidRPr="0015000E">
        <w:rPr>
          <w:color w:val="FF0000"/>
        </w:rPr>
        <w:t xml:space="preserve"> </w:t>
      </w:r>
      <w:r w:rsidRPr="00331805">
        <w:t xml:space="preserve">crab </w:t>
      </w:r>
      <w:r w:rsidRPr="00E9172F">
        <w:rPr>
          <w:color w:val="000000" w:themeColor="text1"/>
        </w:rPr>
        <w:t>(</w:t>
      </w:r>
      <w:r w:rsidR="00FA52EB">
        <w:t>20,118</w:t>
      </w:r>
      <w:r w:rsidRPr="00E9172F">
        <w:rPr>
          <w:color w:val="000000" w:themeColor="text1"/>
        </w:rPr>
        <w:t xml:space="preserve"> lb.</w:t>
      </w:r>
      <w:r>
        <w:t>)</w:t>
      </w:r>
      <w:r w:rsidR="00DB0EBC">
        <w:t xml:space="preserve">. </w:t>
      </w:r>
      <w:r w:rsidR="00512021">
        <w:t>S</w:t>
      </w:r>
      <w:r w:rsidR="00E9172F">
        <w:t>ubsi</w:t>
      </w:r>
      <w:r w:rsidR="006C37D2">
        <w:t xml:space="preserve">stence retained crab catch was </w:t>
      </w:r>
      <w:r w:rsidR="00FA52EB">
        <w:t>4,424</w:t>
      </w:r>
      <w:r w:rsidR="006C37D2">
        <w:t xml:space="preserve"> and unretained was </w:t>
      </w:r>
      <w:r w:rsidR="00FA52EB">
        <w:t>1,343</w:t>
      </w:r>
      <w:r w:rsidR="00370084">
        <w:t xml:space="preserve"> or </w:t>
      </w:r>
      <w:r w:rsidR="00FA52EB">
        <w:t>23</w:t>
      </w:r>
      <w:r w:rsidR="00EB386C">
        <w:t xml:space="preserve"> </w:t>
      </w:r>
      <w:r w:rsidR="00370084">
        <w:t>% of total catch</w:t>
      </w:r>
      <w:r w:rsidR="00E9172F">
        <w:t xml:space="preserve"> (</w:t>
      </w:r>
      <w:r w:rsidRPr="00331805">
        <w:t>Table 2)</w:t>
      </w:r>
      <w:r w:rsidR="00512021">
        <w:t>.</w:t>
      </w:r>
    </w:p>
    <w:p w:rsidR="00331805" w:rsidRDefault="00331805" w:rsidP="0070384B">
      <w:pPr>
        <w:ind w:firstLine="360"/>
      </w:pPr>
    </w:p>
    <w:p w:rsidR="0070384B" w:rsidRDefault="0070384B" w:rsidP="0070384B">
      <w:pPr>
        <w:ind w:firstLine="360"/>
      </w:pPr>
      <w:r>
        <w:t>Summer commercial fishery:</w:t>
      </w:r>
    </w:p>
    <w:p w:rsidR="0070384B" w:rsidRDefault="0070384B" w:rsidP="0070384B">
      <w:pPr>
        <w:ind w:left="360"/>
      </w:pPr>
    </w:p>
    <w:p w:rsidR="00C37FBF" w:rsidRDefault="0010393D" w:rsidP="00150FF0">
      <w:pPr>
        <w:ind w:left="360"/>
      </w:pPr>
      <w:r>
        <w:t>The s</w:t>
      </w:r>
      <w:r w:rsidR="00C37FBF">
        <w:t xml:space="preserve">ummer commercial fishery opened </w:t>
      </w:r>
      <w:r w:rsidR="00331805">
        <w:t>on</w:t>
      </w:r>
      <w:r w:rsidR="00C37FBF">
        <w:t xml:space="preserve"> </w:t>
      </w:r>
      <w:r w:rsidR="000A5CEE">
        <w:t xml:space="preserve">6/25/2018 </w:t>
      </w:r>
      <w:r w:rsidR="00C37FBF">
        <w:t xml:space="preserve">d </w:t>
      </w:r>
      <w:r w:rsidR="00331805">
        <w:t xml:space="preserve">closed </w:t>
      </w:r>
      <w:r w:rsidR="00370084">
        <w:t xml:space="preserve">on </w:t>
      </w:r>
      <w:r w:rsidR="0001718E">
        <w:t>7/28</w:t>
      </w:r>
      <w:r w:rsidR="000A5CEE">
        <w:t>/2018</w:t>
      </w:r>
      <w:r w:rsidR="006C4C54">
        <w:t xml:space="preserve">. </w:t>
      </w:r>
      <w:r w:rsidR="00C37FBF">
        <w:t>T</w:t>
      </w:r>
      <w:r w:rsidR="00370084">
        <w:t xml:space="preserve">otal of </w:t>
      </w:r>
      <w:r w:rsidR="00FA52EB">
        <w:t>89,613</w:t>
      </w:r>
      <w:r w:rsidR="00EB386C">
        <w:t xml:space="preserve"> crab (</w:t>
      </w:r>
      <w:r w:rsidR="00FA52EB">
        <w:t>298,396</w:t>
      </w:r>
      <w:r w:rsidR="00C37FBF">
        <w:t xml:space="preserve"> lb.) were harvested (Table 1)</w:t>
      </w:r>
      <w:r w:rsidR="006C4C54">
        <w:t xml:space="preserve">. </w:t>
      </w:r>
    </w:p>
    <w:p w:rsidR="00331805" w:rsidRDefault="00331805" w:rsidP="00C37FBF">
      <w:pPr>
        <w:ind w:left="360"/>
      </w:pPr>
    </w:p>
    <w:p w:rsidR="00C90639" w:rsidRDefault="00EB386C" w:rsidP="00C90639">
      <w:pPr>
        <w:ind w:left="360"/>
      </w:pPr>
      <w:r>
        <w:t>Total retained harvest for 2018</w:t>
      </w:r>
      <w:r w:rsidR="00C37FBF">
        <w:t xml:space="preserve"> season was </w:t>
      </w:r>
      <w:r w:rsidR="00FA52EB">
        <w:t>103</w:t>
      </w:r>
      <w:r w:rsidR="00C6458C">
        <w:t>,</w:t>
      </w:r>
      <w:r w:rsidR="00FA52EB">
        <w:t>217</w:t>
      </w:r>
      <w:r w:rsidRPr="00E9172F">
        <w:rPr>
          <w:color w:val="000000" w:themeColor="text1"/>
        </w:rPr>
        <w:t xml:space="preserve"> </w:t>
      </w:r>
      <w:r w:rsidR="00C37FBF" w:rsidRPr="00E9172F">
        <w:rPr>
          <w:color w:val="000000" w:themeColor="text1"/>
        </w:rPr>
        <w:t>crab (</w:t>
      </w:r>
      <w:r w:rsidR="00FA52EB">
        <w:rPr>
          <w:color w:val="000000" w:themeColor="text1"/>
        </w:rPr>
        <w:t xml:space="preserve">338,574 </w:t>
      </w:r>
      <w:r w:rsidR="00C37FBF" w:rsidRPr="00E9172F">
        <w:rPr>
          <w:color w:val="000000" w:themeColor="text1"/>
        </w:rPr>
        <w:t xml:space="preserve">lb.) </w:t>
      </w:r>
      <w:r w:rsidR="007E5849">
        <w:t xml:space="preserve">and </w:t>
      </w:r>
      <w:r w:rsidR="00C37FBF">
        <w:t xml:space="preserve">did not exceed </w:t>
      </w:r>
      <w:r w:rsidR="007E5849">
        <w:t xml:space="preserve">the </w:t>
      </w:r>
      <w:r w:rsidR="00370084">
        <w:t>201</w:t>
      </w:r>
      <w:r w:rsidR="00FA52EB">
        <w:t>8</w:t>
      </w:r>
      <w:r w:rsidR="00370084">
        <w:t xml:space="preserve"> ABC of 0.</w:t>
      </w:r>
      <w:r w:rsidR="00FA52EB">
        <w:t>35</w:t>
      </w:r>
      <w:r w:rsidR="00C37FBF">
        <w:t xml:space="preserve"> million lb. </w:t>
      </w:r>
    </w:p>
    <w:p w:rsidR="00C90639" w:rsidRDefault="00C90639" w:rsidP="00C90639">
      <w:pPr>
        <w:ind w:left="360"/>
      </w:pPr>
    </w:p>
    <w:p w:rsidR="00C90639" w:rsidRDefault="00C90639" w:rsidP="00C90639">
      <w:pPr>
        <w:ind w:left="360"/>
      </w:pPr>
      <w:r>
        <w:t>Summer Trawl abundance survey ADFG (7/2</w:t>
      </w:r>
      <w:r w:rsidR="0001718E">
        <w:t>2</w:t>
      </w:r>
      <w:r>
        <w:t>-</w:t>
      </w:r>
      <w:r w:rsidR="0001718E">
        <w:t>7</w:t>
      </w:r>
      <w:r>
        <w:t>/</w:t>
      </w:r>
      <w:r w:rsidR="0001718E">
        <w:t>29</w:t>
      </w:r>
      <w:r>
        <w:t>).</w:t>
      </w:r>
    </w:p>
    <w:p w:rsidR="00C90639" w:rsidRDefault="00C90639" w:rsidP="00C90639">
      <w:pPr>
        <w:ind w:left="360"/>
      </w:pPr>
      <w:r>
        <w:t>Abundance estimated by ADFG survey was</w:t>
      </w:r>
      <w:r w:rsidR="00FA52EB">
        <w:t xml:space="preserve"> 1108.9</w:t>
      </w:r>
      <w:r>
        <w:t xml:space="preserve"> (x 1000) crab with CV </w:t>
      </w:r>
      <w:r w:rsidR="00B0045B">
        <w:t xml:space="preserve"> </w:t>
      </w:r>
      <w:r w:rsidR="009F44AC">
        <w:rPr>
          <w:color w:val="000000" w:themeColor="text1"/>
        </w:rPr>
        <w:t>25%</w:t>
      </w:r>
      <w:r w:rsidR="0001718E">
        <w:t xml:space="preserve"> </w:t>
      </w:r>
      <w:r w:rsidR="00B0045B">
        <w:t>(Table 3)</w:t>
      </w:r>
      <w:r>
        <w:t xml:space="preserve">. </w:t>
      </w:r>
      <w:r w:rsidR="00040DD8">
        <w:t xml:space="preserve"> </w:t>
      </w:r>
      <w:r w:rsidR="002D470C">
        <w:t xml:space="preserve"> </w:t>
      </w:r>
      <w:r w:rsidR="00040DD8">
        <w:t xml:space="preserve"> </w:t>
      </w:r>
    </w:p>
    <w:p w:rsidR="00B0045B" w:rsidRDefault="00B0045B" w:rsidP="0085429A">
      <w:pPr>
        <w:spacing w:after="120"/>
      </w:pPr>
    </w:p>
    <w:p w:rsidR="00B0045B" w:rsidRDefault="00B0045B" w:rsidP="00DF7DC4">
      <w:pPr>
        <w:spacing w:after="120"/>
      </w:pPr>
    </w:p>
    <w:p w:rsidR="00BA3EE5" w:rsidRDefault="001A2C82" w:rsidP="004F27CE">
      <w:pPr>
        <w:pStyle w:val="ListParagraph"/>
        <w:numPr>
          <w:ilvl w:val="0"/>
          <w:numId w:val="2"/>
        </w:numPr>
        <w:spacing w:after="120"/>
        <w:ind w:left="360"/>
        <w:jc w:val="both"/>
      </w:pPr>
      <w:r w:rsidRPr="001A2C82">
        <w:t xml:space="preserve">Available </w:t>
      </w:r>
      <w:r w:rsidR="006873A7">
        <w:t xml:space="preserve">survey, catch, and tagging </w:t>
      </w:r>
      <w:r w:rsidR="00924BA8">
        <w:t>data</w:t>
      </w:r>
      <w:r w:rsidRPr="001A2C82">
        <w:t xml:space="preserve"> </w:t>
      </w:r>
      <w:r w:rsidR="00AE54C1">
        <w:t xml:space="preserve"> </w:t>
      </w:r>
    </w:p>
    <w:p w:rsidR="00124CFF" w:rsidRDefault="00124CFF" w:rsidP="00124CFF">
      <w:pPr>
        <w:spacing w:after="120"/>
        <w:jc w:val="both"/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70"/>
        <w:gridCol w:w="2760"/>
        <w:gridCol w:w="2249"/>
        <w:gridCol w:w="1741"/>
      </w:tblGrid>
      <w:tr w:rsidR="00702417" w:rsidTr="00DF7DC4">
        <w:trPr>
          <w:trHeight w:val="346"/>
        </w:trPr>
        <w:tc>
          <w:tcPr>
            <w:tcW w:w="1417" w:type="pct"/>
            <w:tcBorders>
              <w:top w:val="single" w:sz="4" w:space="0" w:color="auto"/>
              <w:bottom w:val="single" w:sz="4" w:space="0" w:color="auto"/>
            </w:tcBorders>
          </w:tcPr>
          <w:p w:rsidR="00702417" w:rsidRDefault="00702417" w:rsidP="00702417">
            <w:pPr>
              <w:rPr>
                <w:color w:val="000000"/>
                <w:sz w:val="22"/>
              </w:rPr>
            </w:pPr>
          </w:p>
        </w:tc>
        <w:tc>
          <w:tcPr>
            <w:tcW w:w="1465" w:type="pct"/>
            <w:tcBorders>
              <w:top w:val="single" w:sz="4" w:space="0" w:color="auto"/>
              <w:bottom w:val="single" w:sz="4" w:space="0" w:color="auto"/>
            </w:tcBorders>
          </w:tcPr>
          <w:p w:rsidR="00702417" w:rsidRDefault="00702417" w:rsidP="007024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Years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</w:tcPr>
          <w:p w:rsidR="00702417" w:rsidRDefault="00702417" w:rsidP="007024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Data Types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</w:tcPr>
          <w:p w:rsidR="00702417" w:rsidRDefault="00702417" w:rsidP="007024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Tables</w:t>
            </w:r>
          </w:p>
        </w:tc>
      </w:tr>
      <w:tr w:rsidR="00370815" w:rsidTr="00DF7DC4">
        <w:tblPrEx>
          <w:tblCellMar>
            <w:left w:w="29" w:type="dxa"/>
            <w:right w:w="29" w:type="dxa"/>
          </w:tblCellMar>
        </w:tblPrEx>
        <w:trPr>
          <w:trHeight w:val="213"/>
        </w:trPr>
        <w:tc>
          <w:tcPr>
            <w:tcW w:w="1417" w:type="pct"/>
            <w:vMerge w:val="restart"/>
            <w:tcBorders>
              <w:top w:val="single" w:sz="4" w:space="0" w:color="auto"/>
            </w:tcBorders>
          </w:tcPr>
          <w:p w:rsidR="00370815" w:rsidRDefault="00370815" w:rsidP="007024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Summer trawl survey</w:t>
            </w:r>
          </w:p>
        </w:tc>
        <w:tc>
          <w:tcPr>
            <w:tcW w:w="1465" w:type="pct"/>
            <w:vMerge w:val="restart"/>
            <w:tcBorders>
              <w:top w:val="single" w:sz="4" w:space="0" w:color="auto"/>
            </w:tcBorders>
          </w:tcPr>
          <w:p w:rsidR="00370815" w:rsidRDefault="00370815" w:rsidP="007024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76,79,82,85,88,91,96, 99, 02,06,08,10,11</w:t>
            </w:r>
            <w:r w:rsidR="0085429A">
              <w:rPr>
                <w:color w:val="000000"/>
                <w:sz w:val="22"/>
              </w:rPr>
              <w:t>,</w:t>
            </w:r>
            <w:r w:rsidR="0070384B">
              <w:rPr>
                <w:color w:val="000000"/>
                <w:sz w:val="22"/>
              </w:rPr>
              <w:t>14</w:t>
            </w:r>
            <w:r w:rsidR="0085429A">
              <w:rPr>
                <w:color w:val="000000"/>
                <w:sz w:val="22"/>
              </w:rPr>
              <w:t>,</w:t>
            </w:r>
            <w:r w:rsidR="00370084">
              <w:rPr>
                <w:color w:val="000000"/>
                <w:sz w:val="22"/>
              </w:rPr>
              <w:t>17</w:t>
            </w:r>
            <w:r w:rsidR="0001718E">
              <w:rPr>
                <w:color w:val="000000"/>
                <w:sz w:val="22"/>
              </w:rPr>
              <w:t>, 18</w:t>
            </w:r>
          </w:p>
        </w:tc>
        <w:tc>
          <w:tcPr>
            <w:tcW w:w="1194" w:type="pct"/>
            <w:tcBorders>
              <w:top w:val="single" w:sz="4" w:space="0" w:color="auto"/>
            </w:tcBorders>
          </w:tcPr>
          <w:p w:rsidR="00370815" w:rsidRDefault="00370815" w:rsidP="0037081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Abundance </w:t>
            </w:r>
          </w:p>
        </w:tc>
        <w:tc>
          <w:tcPr>
            <w:tcW w:w="924" w:type="pct"/>
            <w:tcBorders>
              <w:top w:val="single" w:sz="4" w:space="0" w:color="auto"/>
            </w:tcBorders>
          </w:tcPr>
          <w:p w:rsidR="00370815" w:rsidRDefault="00370815" w:rsidP="003E441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</w:tr>
      <w:tr w:rsidR="00370815" w:rsidTr="00DF7DC4">
        <w:tblPrEx>
          <w:tblCellMar>
            <w:left w:w="29" w:type="dxa"/>
            <w:right w:w="29" w:type="dxa"/>
          </w:tblCellMar>
        </w:tblPrEx>
        <w:trPr>
          <w:trHeight w:val="213"/>
        </w:trPr>
        <w:tc>
          <w:tcPr>
            <w:tcW w:w="1417" w:type="pct"/>
            <w:vMerge/>
          </w:tcPr>
          <w:p w:rsidR="00370815" w:rsidRDefault="00370815" w:rsidP="00702417">
            <w:pPr>
              <w:rPr>
                <w:color w:val="000000"/>
                <w:sz w:val="22"/>
              </w:rPr>
            </w:pPr>
          </w:p>
        </w:tc>
        <w:tc>
          <w:tcPr>
            <w:tcW w:w="1465" w:type="pct"/>
            <w:vMerge/>
          </w:tcPr>
          <w:p w:rsidR="00370815" w:rsidRDefault="00370815" w:rsidP="00702417">
            <w:pPr>
              <w:rPr>
                <w:color w:val="000000"/>
                <w:sz w:val="22"/>
              </w:rPr>
            </w:pPr>
          </w:p>
        </w:tc>
        <w:tc>
          <w:tcPr>
            <w:tcW w:w="1194" w:type="pct"/>
          </w:tcPr>
          <w:p w:rsidR="00370815" w:rsidRDefault="00370815" w:rsidP="007024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Length</w:t>
            </w:r>
            <w:r w:rsidR="00BC24A9">
              <w:rPr>
                <w:color w:val="000000"/>
                <w:sz w:val="22"/>
              </w:rPr>
              <w:t>-shell comp</w:t>
            </w:r>
          </w:p>
        </w:tc>
        <w:tc>
          <w:tcPr>
            <w:tcW w:w="924" w:type="pct"/>
          </w:tcPr>
          <w:p w:rsidR="00370815" w:rsidRDefault="00BC24A9" w:rsidP="00B0045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</w:tr>
      <w:tr w:rsidR="00505BC4" w:rsidTr="00DF7DC4">
        <w:tblPrEx>
          <w:tblCellMar>
            <w:left w:w="29" w:type="dxa"/>
            <w:right w:w="29" w:type="dxa"/>
          </w:tblCellMar>
        </w:tblPrEx>
        <w:trPr>
          <w:trHeight w:val="324"/>
        </w:trPr>
        <w:tc>
          <w:tcPr>
            <w:tcW w:w="1417" w:type="pct"/>
          </w:tcPr>
          <w:p w:rsidR="00505BC4" w:rsidRDefault="00505BC4" w:rsidP="007024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Winter pot survey</w:t>
            </w:r>
          </w:p>
        </w:tc>
        <w:tc>
          <w:tcPr>
            <w:tcW w:w="1465" w:type="pct"/>
          </w:tcPr>
          <w:p w:rsidR="00505BC4" w:rsidRDefault="00505BC4" w:rsidP="007024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81-87, 89-91,93,95-00,02-12</w:t>
            </w:r>
          </w:p>
        </w:tc>
        <w:tc>
          <w:tcPr>
            <w:tcW w:w="1194" w:type="pct"/>
          </w:tcPr>
          <w:p w:rsidR="00505BC4" w:rsidRDefault="00BC24A9" w:rsidP="007024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Length-shell comp</w:t>
            </w:r>
          </w:p>
        </w:tc>
        <w:tc>
          <w:tcPr>
            <w:tcW w:w="924" w:type="pct"/>
          </w:tcPr>
          <w:p w:rsidR="00505BC4" w:rsidRDefault="00BC24A9" w:rsidP="007024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</w:tr>
      <w:tr w:rsidR="002819CD" w:rsidTr="00DF7DC4">
        <w:tblPrEx>
          <w:tblCellMar>
            <w:left w:w="29" w:type="dxa"/>
            <w:right w:w="29" w:type="dxa"/>
          </w:tblCellMar>
        </w:tblPrEx>
        <w:trPr>
          <w:trHeight w:val="132"/>
        </w:trPr>
        <w:tc>
          <w:tcPr>
            <w:tcW w:w="1417" w:type="pct"/>
            <w:vMerge w:val="restart"/>
          </w:tcPr>
          <w:p w:rsidR="002819CD" w:rsidRDefault="002819CD" w:rsidP="007024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Summer commercial fishery</w:t>
            </w:r>
          </w:p>
        </w:tc>
        <w:tc>
          <w:tcPr>
            <w:tcW w:w="1465" w:type="pct"/>
            <w:vMerge w:val="restart"/>
          </w:tcPr>
          <w:p w:rsidR="002819CD" w:rsidRDefault="00505BC4" w:rsidP="0070241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  <w:r w:rsidR="00043179">
              <w:rPr>
                <w:color w:val="000000"/>
                <w:sz w:val="22"/>
              </w:rPr>
              <w:t>7</w:t>
            </w:r>
            <w:r>
              <w:rPr>
                <w:color w:val="000000"/>
                <w:sz w:val="22"/>
              </w:rPr>
              <w:t>-90,92-1</w:t>
            </w:r>
            <w:r w:rsidR="0085429A">
              <w:rPr>
                <w:color w:val="000000"/>
                <w:sz w:val="22"/>
              </w:rPr>
              <w:t>8</w:t>
            </w:r>
          </w:p>
        </w:tc>
        <w:tc>
          <w:tcPr>
            <w:tcW w:w="1194" w:type="pct"/>
          </w:tcPr>
          <w:p w:rsidR="002819CD" w:rsidRDefault="002819CD" w:rsidP="0037081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Retained catch</w:t>
            </w:r>
          </w:p>
        </w:tc>
        <w:tc>
          <w:tcPr>
            <w:tcW w:w="924" w:type="pct"/>
          </w:tcPr>
          <w:p w:rsidR="002819CD" w:rsidRDefault="002819CD" w:rsidP="0037081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</w:tr>
      <w:tr w:rsidR="002819CD" w:rsidTr="00DF7DC4">
        <w:tblPrEx>
          <w:tblCellMar>
            <w:left w:w="29" w:type="dxa"/>
            <w:right w:w="29" w:type="dxa"/>
          </w:tblCellMar>
        </w:tblPrEx>
        <w:trPr>
          <w:trHeight w:val="131"/>
        </w:trPr>
        <w:tc>
          <w:tcPr>
            <w:tcW w:w="1417" w:type="pct"/>
            <w:vMerge/>
          </w:tcPr>
          <w:p w:rsidR="002819CD" w:rsidRDefault="002819CD" w:rsidP="00702417">
            <w:pPr>
              <w:rPr>
                <w:color w:val="000000"/>
                <w:sz w:val="22"/>
              </w:rPr>
            </w:pPr>
          </w:p>
        </w:tc>
        <w:tc>
          <w:tcPr>
            <w:tcW w:w="1465" w:type="pct"/>
            <w:vMerge/>
          </w:tcPr>
          <w:p w:rsidR="002819CD" w:rsidRDefault="002819CD" w:rsidP="00702417">
            <w:pPr>
              <w:rPr>
                <w:color w:val="000000"/>
                <w:sz w:val="22"/>
              </w:rPr>
            </w:pPr>
          </w:p>
        </w:tc>
        <w:tc>
          <w:tcPr>
            <w:tcW w:w="1194" w:type="pct"/>
          </w:tcPr>
          <w:p w:rsidR="002819CD" w:rsidRDefault="002819CD" w:rsidP="0037081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Standardized CPUE,</w:t>
            </w:r>
          </w:p>
        </w:tc>
        <w:tc>
          <w:tcPr>
            <w:tcW w:w="924" w:type="pct"/>
          </w:tcPr>
          <w:p w:rsidR="002819CD" w:rsidRDefault="002819CD" w:rsidP="0037081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</w:tr>
      <w:tr w:rsidR="002819CD" w:rsidTr="00DF7DC4">
        <w:tblPrEx>
          <w:tblCellMar>
            <w:left w:w="29" w:type="dxa"/>
            <w:right w:w="29" w:type="dxa"/>
          </w:tblCellMar>
        </w:tblPrEx>
        <w:trPr>
          <w:trHeight w:val="319"/>
        </w:trPr>
        <w:tc>
          <w:tcPr>
            <w:tcW w:w="1417" w:type="pct"/>
            <w:vMerge/>
          </w:tcPr>
          <w:p w:rsidR="002819CD" w:rsidRDefault="002819CD" w:rsidP="00702417">
            <w:pPr>
              <w:rPr>
                <w:color w:val="000000"/>
                <w:sz w:val="22"/>
              </w:rPr>
            </w:pPr>
          </w:p>
        </w:tc>
        <w:tc>
          <w:tcPr>
            <w:tcW w:w="1465" w:type="pct"/>
            <w:vMerge/>
          </w:tcPr>
          <w:p w:rsidR="002819CD" w:rsidRDefault="002819CD" w:rsidP="00702417">
            <w:pPr>
              <w:rPr>
                <w:color w:val="000000"/>
                <w:sz w:val="22"/>
              </w:rPr>
            </w:pPr>
          </w:p>
        </w:tc>
        <w:tc>
          <w:tcPr>
            <w:tcW w:w="1194" w:type="pct"/>
          </w:tcPr>
          <w:p w:rsidR="002819CD" w:rsidRDefault="00BC24A9" w:rsidP="009D298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Length-shell comp</w:t>
            </w:r>
          </w:p>
        </w:tc>
        <w:tc>
          <w:tcPr>
            <w:tcW w:w="924" w:type="pct"/>
          </w:tcPr>
          <w:p w:rsidR="002819CD" w:rsidRDefault="002819CD" w:rsidP="00B0045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</w:tr>
      <w:tr w:rsidR="00BC24A9" w:rsidTr="00DF7DC4">
        <w:tblPrEx>
          <w:tblCellMar>
            <w:left w:w="29" w:type="dxa"/>
            <w:right w:w="29" w:type="dxa"/>
          </w:tblCellMar>
        </w:tblPrEx>
        <w:trPr>
          <w:trHeight w:val="288"/>
        </w:trPr>
        <w:tc>
          <w:tcPr>
            <w:tcW w:w="1417" w:type="pct"/>
          </w:tcPr>
          <w:p w:rsidR="00BC24A9" w:rsidRDefault="00BC24A9" w:rsidP="00BC24A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 xml:space="preserve">Summer </w:t>
            </w:r>
            <w:r w:rsidR="00DF7DC4">
              <w:rPr>
                <w:color w:val="000000"/>
                <w:sz w:val="22"/>
              </w:rPr>
              <w:t>Co</w:t>
            </w:r>
            <w:r>
              <w:rPr>
                <w:color w:val="000000"/>
                <w:sz w:val="22"/>
              </w:rPr>
              <w:t>m total catch</w:t>
            </w:r>
          </w:p>
        </w:tc>
        <w:tc>
          <w:tcPr>
            <w:tcW w:w="1465" w:type="pct"/>
          </w:tcPr>
          <w:p w:rsidR="00BC24A9" w:rsidRDefault="00BC24A9" w:rsidP="00BC24A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12-18</w:t>
            </w:r>
          </w:p>
        </w:tc>
        <w:tc>
          <w:tcPr>
            <w:tcW w:w="1194" w:type="pct"/>
          </w:tcPr>
          <w:p w:rsidR="00BC24A9" w:rsidRDefault="00BC24A9" w:rsidP="00BC24A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Length-shell comp</w:t>
            </w:r>
          </w:p>
        </w:tc>
        <w:tc>
          <w:tcPr>
            <w:tcW w:w="924" w:type="pct"/>
          </w:tcPr>
          <w:p w:rsidR="00BC24A9" w:rsidRDefault="00B01E6C" w:rsidP="00BC24A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</w:tr>
      <w:tr w:rsidR="00BC24A9" w:rsidTr="00DF7DC4">
        <w:tblPrEx>
          <w:tblCellMar>
            <w:left w:w="29" w:type="dxa"/>
            <w:right w:w="29" w:type="dxa"/>
          </w:tblCellMar>
        </w:tblPrEx>
        <w:trPr>
          <w:trHeight w:val="288"/>
        </w:trPr>
        <w:tc>
          <w:tcPr>
            <w:tcW w:w="1417" w:type="pct"/>
          </w:tcPr>
          <w:p w:rsidR="00BC24A9" w:rsidRDefault="00BC24A9" w:rsidP="00BC24A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Summer </w:t>
            </w:r>
            <w:r w:rsidR="00DF7DC4">
              <w:rPr>
                <w:color w:val="000000"/>
                <w:sz w:val="22"/>
              </w:rPr>
              <w:t>Com</w:t>
            </w:r>
            <w:r>
              <w:rPr>
                <w:color w:val="000000"/>
                <w:sz w:val="22"/>
              </w:rPr>
              <w:t xml:space="preserve"> Discards</w:t>
            </w:r>
          </w:p>
        </w:tc>
        <w:tc>
          <w:tcPr>
            <w:tcW w:w="1465" w:type="pct"/>
          </w:tcPr>
          <w:p w:rsidR="00BC24A9" w:rsidRDefault="00BC24A9" w:rsidP="00BC24A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87-90,92,94, 2012-2018</w:t>
            </w:r>
          </w:p>
        </w:tc>
        <w:tc>
          <w:tcPr>
            <w:tcW w:w="1194" w:type="pct"/>
          </w:tcPr>
          <w:p w:rsidR="00BC24A9" w:rsidRDefault="00BC24A9" w:rsidP="00BC24A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Length-shell comp </w:t>
            </w:r>
          </w:p>
        </w:tc>
        <w:tc>
          <w:tcPr>
            <w:tcW w:w="924" w:type="pct"/>
          </w:tcPr>
          <w:p w:rsidR="00BC24A9" w:rsidRDefault="00BC24A9" w:rsidP="00BC24A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</w:tr>
      <w:tr w:rsidR="00DF7DC4" w:rsidTr="00DF7DC4">
        <w:tblPrEx>
          <w:tblCellMar>
            <w:left w:w="29" w:type="dxa"/>
            <w:right w:w="29" w:type="dxa"/>
          </w:tblCellMar>
        </w:tblPrEx>
        <w:trPr>
          <w:trHeight w:val="306"/>
        </w:trPr>
        <w:tc>
          <w:tcPr>
            <w:tcW w:w="1417" w:type="pct"/>
          </w:tcPr>
          <w:p w:rsidR="00DF7DC4" w:rsidRDefault="00DF7DC4" w:rsidP="00BC24A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Winter subsistence fishery</w:t>
            </w:r>
          </w:p>
        </w:tc>
        <w:tc>
          <w:tcPr>
            <w:tcW w:w="1465" w:type="pct"/>
          </w:tcPr>
          <w:p w:rsidR="00DF7DC4" w:rsidRDefault="00DF7DC4" w:rsidP="00BC24A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76-18</w:t>
            </w:r>
          </w:p>
        </w:tc>
        <w:tc>
          <w:tcPr>
            <w:tcW w:w="1194" w:type="pct"/>
          </w:tcPr>
          <w:p w:rsidR="00DF7DC4" w:rsidRDefault="00DF7DC4" w:rsidP="00BC24A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Total &amp; Retained catch </w:t>
            </w:r>
          </w:p>
        </w:tc>
        <w:tc>
          <w:tcPr>
            <w:tcW w:w="924" w:type="pct"/>
          </w:tcPr>
          <w:p w:rsidR="00DF7DC4" w:rsidRDefault="00DF7DC4" w:rsidP="00BC24A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</w:tr>
      <w:tr w:rsidR="00BC24A9" w:rsidTr="00DF7DC4">
        <w:tblPrEx>
          <w:tblCellMar>
            <w:left w:w="29" w:type="dxa"/>
            <w:right w:w="29" w:type="dxa"/>
          </w:tblCellMar>
        </w:tblPrEx>
        <w:trPr>
          <w:trHeight w:val="288"/>
        </w:trPr>
        <w:tc>
          <w:tcPr>
            <w:tcW w:w="1417" w:type="pct"/>
          </w:tcPr>
          <w:p w:rsidR="00BC24A9" w:rsidRDefault="00BC24A9" w:rsidP="00BC24A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Winter commercial fishery</w:t>
            </w:r>
          </w:p>
        </w:tc>
        <w:tc>
          <w:tcPr>
            <w:tcW w:w="1465" w:type="pct"/>
          </w:tcPr>
          <w:p w:rsidR="00BC24A9" w:rsidRDefault="00BC24A9" w:rsidP="00BC24A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78-18</w:t>
            </w:r>
          </w:p>
        </w:tc>
        <w:tc>
          <w:tcPr>
            <w:tcW w:w="1194" w:type="pct"/>
          </w:tcPr>
          <w:p w:rsidR="00BC24A9" w:rsidRDefault="00BC24A9" w:rsidP="00BC24A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Retained catch </w:t>
            </w:r>
          </w:p>
        </w:tc>
        <w:tc>
          <w:tcPr>
            <w:tcW w:w="924" w:type="pct"/>
          </w:tcPr>
          <w:p w:rsidR="00BC24A9" w:rsidRDefault="00BC24A9" w:rsidP="00BC24A9">
            <w:pPr>
              <w:tabs>
                <w:tab w:val="right" w:pos="1903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</w:tr>
      <w:tr w:rsidR="00BC24A9" w:rsidTr="00DF7DC4">
        <w:tblPrEx>
          <w:tblCellMar>
            <w:left w:w="29" w:type="dxa"/>
            <w:right w:w="29" w:type="dxa"/>
          </w:tblCellMar>
        </w:tblPrEx>
        <w:trPr>
          <w:trHeight w:val="288"/>
        </w:trPr>
        <w:tc>
          <w:tcPr>
            <w:tcW w:w="1417" w:type="pct"/>
          </w:tcPr>
          <w:p w:rsidR="00BC24A9" w:rsidRDefault="00BC24A9" w:rsidP="00BC24A9">
            <w:pPr>
              <w:rPr>
                <w:color w:val="000000"/>
                <w:sz w:val="22"/>
              </w:rPr>
            </w:pPr>
          </w:p>
        </w:tc>
        <w:tc>
          <w:tcPr>
            <w:tcW w:w="1465" w:type="pct"/>
          </w:tcPr>
          <w:p w:rsidR="00BC24A9" w:rsidRDefault="00BC24A9" w:rsidP="00BC24A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  <w:r w:rsidR="00043179">
              <w:rPr>
                <w:color w:val="000000"/>
                <w:sz w:val="22"/>
              </w:rPr>
              <w:t>5</w:t>
            </w:r>
            <w:r>
              <w:rPr>
                <w:color w:val="000000"/>
                <w:sz w:val="22"/>
              </w:rPr>
              <w:t>-18</w:t>
            </w:r>
          </w:p>
        </w:tc>
        <w:tc>
          <w:tcPr>
            <w:tcW w:w="1194" w:type="pct"/>
          </w:tcPr>
          <w:p w:rsidR="00BC24A9" w:rsidRDefault="00BC24A9" w:rsidP="00BC24A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Retained Length-Shell</w:t>
            </w:r>
          </w:p>
        </w:tc>
        <w:tc>
          <w:tcPr>
            <w:tcW w:w="924" w:type="pct"/>
          </w:tcPr>
          <w:p w:rsidR="00BC24A9" w:rsidRDefault="00BC24A9" w:rsidP="00BC24A9">
            <w:pPr>
              <w:tabs>
                <w:tab w:val="right" w:pos="1903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</w:tr>
      <w:tr w:rsidR="00BC24A9" w:rsidTr="00DF7DC4">
        <w:tblPrEx>
          <w:tblCellMar>
            <w:left w:w="29" w:type="dxa"/>
            <w:right w:w="29" w:type="dxa"/>
          </w:tblCellMar>
        </w:tblPrEx>
        <w:trPr>
          <w:trHeight w:val="288"/>
        </w:trPr>
        <w:tc>
          <w:tcPr>
            <w:tcW w:w="1417" w:type="pct"/>
            <w:tcBorders>
              <w:bottom w:val="single" w:sz="4" w:space="0" w:color="auto"/>
            </w:tcBorders>
          </w:tcPr>
          <w:p w:rsidR="00BC24A9" w:rsidRDefault="00BC24A9" w:rsidP="00BC24A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Tag recovery </w:t>
            </w:r>
          </w:p>
        </w:tc>
        <w:tc>
          <w:tcPr>
            <w:tcW w:w="1465" w:type="pct"/>
            <w:tcBorders>
              <w:bottom w:val="single" w:sz="4" w:space="0" w:color="auto"/>
            </w:tcBorders>
          </w:tcPr>
          <w:p w:rsidR="00BC24A9" w:rsidRDefault="00BC24A9" w:rsidP="00BC24A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80-18</w:t>
            </w:r>
          </w:p>
        </w:tc>
        <w:tc>
          <w:tcPr>
            <w:tcW w:w="1194" w:type="pct"/>
            <w:tcBorders>
              <w:bottom w:val="single" w:sz="4" w:space="0" w:color="auto"/>
            </w:tcBorders>
          </w:tcPr>
          <w:p w:rsidR="00BC24A9" w:rsidRDefault="00BC24A9" w:rsidP="00BC24A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Recovered tagged crab</w:t>
            </w:r>
          </w:p>
        </w:tc>
        <w:tc>
          <w:tcPr>
            <w:tcW w:w="924" w:type="pct"/>
            <w:tcBorders>
              <w:bottom w:val="single" w:sz="4" w:space="0" w:color="auto"/>
            </w:tcBorders>
          </w:tcPr>
          <w:p w:rsidR="00BC24A9" w:rsidRDefault="0002610B" w:rsidP="00BC24A9">
            <w:pPr>
              <w:tabs>
                <w:tab w:val="right" w:pos="1903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  <w:r w:rsidR="00BC24A9">
              <w:rPr>
                <w:color w:val="000000"/>
                <w:sz w:val="22"/>
              </w:rPr>
              <w:tab/>
            </w:r>
          </w:p>
        </w:tc>
      </w:tr>
    </w:tbl>
    <w:p w:rsidR="00BA3EE5" w:rsidRDefault="00BA3EE5" w:rsidP="00BA3EE5">
      <w:pPr>
        <w:pStyle w:val="ListParagraph"/>
        <w:spacing w:after="120"/>
        <w:ind w:left="0"/>
        <w:jc w:val="both"/>
      </w:pPr>
    </w:p>
    <w:p w:rsidR="009B309C" w:rsidRDefault="009B309C" w:rsidP="00BA3EE5">
      <w:pPr>
        <w:pStyle w:val="ListParagraph"/>
        <w:spacing w:after="120"/>
        <w:ind w:left="0"/>
        <w:jc w:val="both"/>
      </w:pPr>
    </w:p>
    <w:p w:rsidR="0063629D" w:rsidRDefault="0063629D" w:rsidP="0063629D">
      <w:pPr>
        <w:pStyle w:val="ListParagraph"/>
        <w:spacing w:after="120"/>
        <w:ind w:left="0"/>
        <w:jc w:val="both"/>
      </w:pPr>
      <w:r>
        <w:t xml:space="preserve">Data </w:t>
      </w:r>
      <w:r w:rsidR="00E46A0A">
        <w:t xml:space="preserve">available but </w:t>
      </w:r>
      <w:r>
        <w:t>not used for assessment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91"/>
        <w:gridCol w:w="1952"/>
        <w:gridCol w:w="2142"/>
        <w:gridCol w:w="2835"/>
      </w:tblGrid>
      <w:tr w:rsidR="0063629D" w:rsidTr="00124CFF">
        <w:trPr>
          <w:trHeight w:val="346"/>
        </w:trPr>
        <w:tc>
          <w:tcPr>
            <w:tcW w:w="1322" w:type="pct"/>
            <w:tcBorders>
              <w:top w:val="single" w:sz="4" w:space="0" w:color="auto"/>
              <w:bottom w:val="single" w:sz="4" w:space="0" w:color="auto"/>
            </w:tcBorders>
          </w:tcPr>
          <w:p w:rsidR="0063629D" w:rsidRDefault="0063629D" w:rsidP="003944A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Data</w:t>
            </w:r>
          </w:p>
        </w:tc>
        <w:tc>
          <w:tcPr>
            <w:tcW w:w="1036" w:type="pct"/>
            <w:tcBorders>
              <w:top w:val="single" w:sz="4" w:space="0" w:color="auto"/>
              <w:bottom w:val="single" w:sz="4" w:space="0" w:color="auto"/>
            </w:tcBorders>
          </w:tcPr>
          <w:p w:rsidR="0063629D" w:rsidRDefault="0063629D" w:rsidP="003944A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Years</w:t>
            </w:r>
          </w:p>
        </w:tc>
        <w:tc>
          <w:tcPr>
            <w:tcW w:w="1137" w:type="pct"/>
            <w:tcBorders>
              <w:top w:val="single" w:sz="4" w:space="0" w:color="auto"/>
              <w:bottom w:val="single" w:sz="4" w:space="0" w:color="auto"/>
            </w:tcBorders>
          </w:tcPr>
          <w:p w:rsidR="0063629D" w:rsidRDefault="0063629D" w:rsidP="003944A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Data Types</w:t>
            </w:r>
          </w:p>
        </w:tc>
        <w:tc>
          <w:tcPr>
            <w:tcW w:w="1505" w:type="pct"/>
            <w:tcBorders>
              <w:top w:val="single" w:sz="4" w:space="0" w:color="auto"/>
              <w:bottom w:val="single" w:sz="4" w:space="0" w:color="auto"/>
            </w:tcBorders>
          </w:tcPr>
          <w:p w:rsidR="0063629D" w:rsidRDefault="0063629D" w:rsidP="003944A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Reason for not used</w:t>
            </w:r>
          </w:p>
        </w:tc>
      </w:tr>
      <w:tr w:rsidR="002819CD" w:rsidTr="00124CFF">
        <w:tblPrEx>
          <w:tblCellMar>
            <w:left w:w="29" w:type="dxa"/>
            <w:right w:w="29" w:type="dxa"/>
          </w:tblCellMar>
        </w:tblPrEx>
        <w:trPr>
          <w:trHeight w:val="213"/>
        </w:trPr>
        <w:tc>
          <w:tcPr>
            <w:tcW w:w="1322" w:type="pct"/>
            <w:vMerge w:val="restart"/>
          </w:tcPr>
          <w:p w:rsidR="002819CD" w:rsidRDefault="002819CD" w:rsidP="003944A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Summer pot survey</w:t>
            </w:r>
          </w:p>
        </w:tc>
        <w:tc>
          <w:tcPr>
            <w:tcW w:w="1036" w:type="pct"/>
            <w:vMerge w:val="restart"/>
          </w:tcPr>
          <w:p w:rsidR="002819CD" w:rsidRDefault="002819CD" w:rsidP="003944A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80-82,85</w:t>
            </w:r>
          </w:p>
        </w:tc>
        <w:tc>
          <w:tcPr>
            <w:tcW w:w="1137" w:type="pct"/>
          </w:tcPr>
          <w:p w:rsidR="002819CD" w:rsidRDefault="002819CD" w:rsidP="002819C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Abundance </w:t>
            </w:r>
          </w:p>
        </w:tc>
        <w:tc>
          <w:tcPr>
            <w:tcW w:w="1505" w:type="pct"/>
            <w:vMerge w:val="restart"/>
          </w:tcPr>
          <w:p w:rsidR="002819CD" w:rsidRDefault="002819CD" w:rsidP="003944A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Uncertainties on how estimates were made.</w:t>
            </w:r>
          </w:p>
        </w:tc>
      </w:tr>
      <w:tr w:rsidR="002819CD" w:rsidTr="00124CFF">
        <w:tblPrEx>
          <w:tblCellMar>
            <w:left w:w="29" w:type="dxa"/>
            <w:right w:w="29" w:type="dxa"/>
          </w:tblCellMar>
        </w:tblPrEx>
        <w:trPr>
          <w:trHeight w:val="213"/>
        </w:trPr>
        <w:tc>
          <w:tcPr>
            <w:tcW w:w="1322" w:type="pct"/>
            <w:vMerge/>
          </w:tcPr>
          <w:p w:rsidR="002819CD" w:rsidRDefault="002819CD" w:rsidP="003944AD">
            <w:pPr>
              <w:rPr>
                <w:color w:val="000000"/>
                <w:sz w:val="22"/>
              </w:rPr>
            </w:pPr>
          </w:p>
        </w:tc>
        <w:tc>
          <w:tcPr>
            <w:tcW w:w="1036" w:type="pct"/>
            <w:vMerge/>
          </w:tcPr>
          <w:p w:rsidR="002819CD" w:rsidRDefault="002819CD" w:rsidP="003944AD">
            <w:pPr>
              <w:rPr>
                <w:color w:val="000000"/>
                <w:sz w:val="22"/>
              </w:rPr>
            </w:pPr>
          </w:p>
        </w:tc>
        <w:tc>
          <w:tcPr>
            <w:tcW w:w="1137" w:type="pct"/>
          </w:tcPr>
          <w:p w:rsidR="002819CD" w:rsidRDefault="002819CD" w:rsidP="003944A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Length proportion</w:t>
            </w:r>
          </w:p>
        </w:tc>
        <w:tc>
          <w:tcPr>
            <w:tcW w:w="1505" w:type="pct"/>
            <w:vMerge/>
          </w:tcPr>
          <w:p w:rsidR="002819CD" w:rsidRDefault="002819CD" w:rsidP="003944AD">
            <w:pPr>
              <w:rPr>
                <w:color w:val="000000"/>
                <w:sz w:val="22"/>
              </w:rPr>
            </w:pPr>
          </w:p>
        </w:tc>
      </w:tr>
      <w:tr w:rsidR="0063629D" w:rsidTr="00124CFF">
        <w:tblPrEx>
          <w:tblCellMar>
            <w:left w:w="29" w:type="dxa"/>
            <w:right w:w="29" w:type="dxa"/>
          </w:tblCellMar>
        </w:tblPrEx>
        <w:trPr>
          <w:trHeight w:val="288"/>
        </w:trPr>
        <w:tc>
          <w:tcPr>
            <w:tcW w:w="1322" w:type="pct"/>
          </w:tcPr>
          <w:p w:rsidR="0063629D" w:rsidRDefault="0063629D" w:rsidP="003944A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Summer preseason survey</w:t>
            </w:r>
          </w:p>
        </w:tc>
        <w:tc>
          <w:tcPr>
            <w:tcW w:w="1036" w:type="pct"/>
          </w:tcPr>
          <w:p w:rsidR="0063629D" w:rsidRDefault="0063629D" w:rsidP="003944A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95</w:t>
            </w:r>
          </w:p>
        </w:tc>
        <w:tc>
          <w:tcPr>
            <w:tcW w:w="1137" w:type="pct"/>
          </w:tcPr>
          <w:p w:rsidR="0063629D" w:rsidRDefault="002819CD" w:rsidP="003944A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Length proportion</w:t>
            </w:r>
          </w:p>
        </w:tc>
        <w:tc>
          <w:tcPr>
            <w:tcW w:w="1505" w:type="pct"/>
          </w:tcPr>
          <w:p w:rsidR="0063629D" w:rsidRDefault="0063629D" w:rsidP="003944A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Just one year of data</w:t>
            </w:r>
          </w:p>
        </w:tc>
      </w:tr>
      <w:tr w:rsidR="002819CD" w:rsidTr="00124CFF">
        <w:tblPrEx>
          <w:tblCellMar>
            <w:left w:w="29" w:type="dxa"/>
            <w:right w:w="29" w:type="dxa"/>
          </w:tblCellMar>
        </w:tblPrEx>
        <w:trPr>
          <w:trHeight w:val="288"/>
        </w:trPr>
        <w:tc>
          <w:tcPr>
            <w:tcW w:w="1322" w:type="pct"/>
          </w:tcPr>
          <w:p w:rsidR="002819CD" w:rsidRDefault="002819CD" w:rsidP="003944A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Summer subsistence fishery</w:t>
            </w:r>
          </w:p>
        </w:tc>
        <w:tc>
          <w:tcPr>
            <w:tcW w:w="1036" w:type="pct"/>
          </w:tcPr>
          <w:p w:rsidR="002819CD" w:rsidRDefault="002819CD" w:rsidP="003944A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2005-2013</w:t>
            </w:r>
          </w:p>
        </w:tc>
        <w:tc>
          <w:tcPr>
            <w:tcW w:w="1137" w:type="pct"/>
          </w:tcPr>
          <w:p w:rsidR="002819CD" w:rsidRDefault="002819CD" w:rsidP="003944A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retained catch </w:t>
            </w:r>
          </w:p>
        </w:tc>
        <w:tc>
          <w:tcPr>
            <w:tcW w:w="1505" w:type="pct"/>
          </w:tcPr>
          <w:p w:rsidR="002819CD" w:rsidRDefault="006A2E61" w:rsidP="003944A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Too few</w:t>
            </w:r>
            <w:r w:rsidR="002854B8">
              <w:rPr>
                <w:color w:val="000000"/>
                <w:sz w:val="22"/>
              </w:rPr>
              <w:t xml:space="preserve"> catch</w:t>
            </w:r>
            <w:r>
              <w:rPr>
                <w:color w:val="000000"/>
                <w:sz w:val="22"/>
              </w:rPr>
              <w:t>es</w:t>
            </w:r>
            <w:r w:rsidR="002854B8">
              <w:rPr>
                <w:color w:val="000000"/>
                <w:sz w:val="22"/>
              </w:rPr>
              <w:t xml:space="preserve"> compared to commercial </w:t>
            </w:r>
          </w:p>
        </w:tc>
      </w:tr>
      <w:tr w:rsidR="00505BC4" w:rsidTr="00124CFF">
        <w:tblPrEx>
          <w:tblCellMar>
            <w:left w:w="29" w:type="dxa"/>
            <w:right w:w="29" w:type="dxa"/>
          </w:tblCellMar>
        </w:tblPrEx>
        <w:trPr>
          <w:trHeight w:val="288"/>
        </w:trPr>
        <w:tc>
          <w:tcPr>
            <w:tcW w:w="1322" w:type="pct"/>
          </w:tcPr>
          <w:p w:rsidR="00505BC4" w:rsidRDefault="00505BC4" w:rsidP="00505BC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Winter Pot survey</w:t>
            </w:r>
          </w:p>
        </w:tc>
        <w:tc>
          <w:tcPr>
            <w:tcW w:w="1036" w:type="pct"/>
          </w:tcPr>
          <w:p w:rsidR="00505BC4" w:rsidRDefault="00505BC4" w:rsidP="003944A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87, 89-91,93,95-00,02-12</w:t>
            </w:r>
          </w:p>
        </w:tc>
        <w:tc>
          <w:tcPr>
            <w:tcW w:w="1137" w:type="pct"/>
          </w:tcPr>
          <w:p w:rsidR="004E4CA3" w:rsidRDefault="00505BC4" w:rsidP="003944A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CPUE</w:t>
            </w:r>
          </w:p>
        </w:tc>
        <w:tc>
          <w:tcPr>
            <w:tcW w:w="1505" w:type="pct"/>
          </w:tcPr>
          <w:p w:rsidR="00505BC4" w:rsidRDefault="00B0045B" w:rsidP="003944A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CPUE data </w:t>
            </w:r>
            <w:r w:rsidR="00C5230D">
              <w:rPr>
                <w:color w:val="000000"/>
                <w:sz w:val="22"/>
              </w:rPr>
              <w:t>Not reliable due to ice conditions</w:t>
            </w:r>
          </w:p>
        </w:tc>
      </w:tr>
      <w:tr w:rsidR="00F928A3" w:rsidTr="00124CFF">
        <w:tblPrEx>
          <w:tblCellMar>
            <w:left w:w="29" w:type="dxa"/>
            <w:right w:w="29" w:type="dxa"/>
          </w:tblCellMar>
        </w:tblPrEx>
        <w:trPr>
          <w:trHeight w:val="288"/>
        </w:trPr>
        <w:tc>
          <w:tcPr>
            <w:tcW w:w="1322" w:type="pct"/>
          </w:tcPr>
          <w:p w:rsidR="00F928A3" w:rsidRDefault="00F928A3" w:rsidP="00505BC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Preseason Spring pot survey </w:t>
            </w:r>
          </w:p>
        </w:tc>
        <w:tc>
          <w:tcPr>
            <w:tcW w:w="1036" w:type="pct"/>
          </w:tcPr>
          <w:p w:rsidR="00F928A3" w:rsidRDefault="00F928A3" w:rsidP="003944A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2011-1</w:t>
            </w:r>
            <w:r w:rsidR="007F55D7">
              <w:rPr>
                <w:color w:val="000000"/>
                <w:sz w:val="22"/>
              </w:rPr>
              <w:t>5</w:t>
            </w:r>
          </w:p>
        </w:tc>
        <w:tc>
          <w:tcPr>
            <w:tcW w:w="1137" w:type="pct"/>
          </w:tcPr>
          <w:p w:rsidR="00F928A3" w:rsidRDefault="00F928A3" w:rsidP="003944A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CPUE, </w:t>
            </w:r>
          </w:p>
          <w:p w:rsidR="00F928A3" w:rsidRDefault="00F928A3" w:rsidP="003944A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Length proportion</w:t>
            </w:r>
          </w:p>
        </w:tc>
        <w:tc>
          <w:tcPr>
            <w:tcW w:w="1505" w:type="pct"/>
          </w:tcPr>
          <w:p w:rsidR="00F928A3" w:rsidRDefault="00C10A20" w:rsidP="003944A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Years of data too short</w:t>
            </w:r>
            <w:r w:rsidR="00B0045B">
              <w:rPr>
                <w:color w:val="000000"/>
                <w:sz w:val="22"/>
              </w:rPr>
              <w:t xml:space="preserve"> </w:t>
            </w:r>
          </w:p>
        </w:tc>
      </w:tr>
      <w:tr w:rsidR="00F928A3" w:rsidTr="00124CFF">
        <w:tblPrEx>
          <w:tblCellMar>
            <w:left w:w="29" w:type="dxa"/>
            <w:right w:w="29" w:type="dxa"/>
          </w:tblCellMar>
        </w:tblPrEx>
        <w:trPr>
          <w:trHeight w:val="288"/>
        </w:trPr>
        <w:tc>
          <w:tcPr>
            <w:tcW w:w="1322" w:type="pct"/>
            <w:tcBorders>
              <w:bottom w:val="single" w:sz="4" w:space="0" w:color="auto"/>
            </w:tcBorders>
          </w:tcPr>
          <w:p w:rsidR="00F928A3" w:rsidRDefault="00F928A3" w:rsidP="00505BC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Postseason Fall pot survey</w:t>
            </w:r>
          </w:p>
        </w:tc>
        <w:tc>
          <w:tcPr>
            <w:tcW w:w="1036" w:type="pct"/>
            <w:tcBorders>
              <w:bottom w:val="single" w:sz="4" w:space="0" w:color="auto"/>
            </w:tcBorders>
          </w:tcPr>
          <w:p w:rsidR="00F928A3" w:rsidRDefault="00F928A3" w:rsidP="003944A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2013-1</w:t>
            </w:r>
            <w:r w:rsidR="004E4CA3">
              <w:rPr>
                <w:color w:val="000000"/>
                <w:sz w:val="22"/>
              </w:rPr>
              <w:t>5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:rsidR="00F928A3" w:rsidRDefault="00F928A3" w:rsidP="003944A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CPUE</w:t>
            </w:r>
            <w:r w:rsidR="004E4CA3">
              <w:rPr>
                <w:color w:val="000000"/>
                <w:sz w:val="22"/>
              </w:rPr>
              <w:t>,</w:t>
            </w:r>
          </w:p>
          <w:p w:rsidR="00F928A3" w:rsidRDefault="00F928A3" w:rsidP="003944A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Length proportion</w:t>
            </w:r>
          </w:p>
        </w:tc>
        <w:tc>
          <w:tcPr>
            <w:tcW w:w="1505" w:type="pct"/>
            <w:tcBorders>
              <w:bottom w:val="single" w:sz="4" w:space="0" w:color="auto"/>
            </w:tcBorders>
          </w:tcPr>
          <w:p w:rsidR="00F928A3" w:rsidRDefault="00C10A20" w:rsidP="003944A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Years of data too short</w:t>
            </w:r>
          </w:p>
        </w:tc>
      </w:tr>
    </w:tbl>
    <w:p w:rsidR="00AE1BE4" w:rsidRDefault="00AE1BE4" w:rsidP="006A2E61">
      <w:pPr>
        <w:spacing w:after="120"/>
        <w:jc w:val="both"/>
      </w:pPr>
    </w:p>
    <w:p w:rsidR="003C5D63" w:rsidRDefault="003C5D63" w:rsidP="006A2E61">
      <w:pPr>
        <w:spacing w:after="120"/>
        <w:jc w:val="both"/>
      </w:pPr>
    </w:p>
    <w:p w:rsidR="003C5D63" w:rsidRDefault="003C5D63" w:rsidP="006A2E61">
      <w:pPr>
        <w:spacing w:after="120"/>
        <w:jc w:val="both"/>
      </w:pPr>
    </w:p>
    <w:p w:rsidR="005263EB" w:rsidRDefault="005263EB" w:rsidP="006A2E61">
      <w:pPr>
        <w:spacing w:after="120"/>
        <w:jc w:val="both"/>
      </w:pPr>
      <w:r>
        <w:t>Time series of available data</w:t>
      </w:r>
      <w:r w:rsidR="00EB66F4">
        <w:t xml:space="preserve">. Different shades indicate that survey agency, survey methods, or type of data collected differ among years. </w:t>
      </w:r>
    </w:p>
    <w:tbl>
      <w:tblPr>
        <w:tblW w:w="4480" w:type="pct"/>
        <w:tblLayout w:type="fixed"/>
        <w:tblLook w:val="0000" w:firstRow="0" w:lastRow="0" w:firstColumn="0" w:lastColumn="0" w:noHBand="0" w:noVBand="0"/>
      </w:tblPr>
      <w:tblGrid>
        <w:gridCol w:w="828"/>
        <w:gridCol w:w="719"/>
        <w:gridCol w:w="630"/>
        <w:gridCol w:w="903"/>
        <w:gridCol w:w="903"/>
        <w:gridCol w:w="793"/>
        <w:gridCol w:w="915"/>
        <w:gridCol w:w="566"/>
        <w:gridCol w:w="541"/>
        <w:gridCol w:w="554"/>
        <w:gridCol w:w="571"/>
        <w:gridCol w:w="657"/>
      </w:tblGrid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02" w:rsidRPr="00124CFF" w:rsidRDefault="0038220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02" w:rsidRPr="00124CFF" w:rsidRDefault="00382202" w:rsidP="00382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Survey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02" w:rsidRPr="00124CFF" w:rsidRDefault="00382202" w:rsidP="00382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Harvests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02" w:rsidRPr="00124CFF" w:rsidRDefault="0038220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Tag </w:t>
            </w:r>
          </w:p>
        </w:tc>
        <w:tc>
          <w:tcPr>
            <w:tcW w:w="16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02" w:rsidRPr="00124CFF" w:rsidRDefault="0038220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Data Not Used</w:t>
            </w:r>
            <w:r w:rsidR="001B56E2" w:rsidRPr="001B56E2">
              <w:rPr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 w:rsidP="00382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382202" w:rsidP="00382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S. Trawl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 w:rsidP="00382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W</w:t>
            </w:r>
            <w:r w:rsidR="00382202">
              <w:rPr>
                <w:color w:val="000000"/>
                <w:sz w:val="18"/>
                <w:szCs w:val="18"/>
              </w:rPr>
              <w:t>.</w:t>
            </w:r>
            <w:r w:rsidRPr="00124CFF">
              <w:rPr>
                <w:color w:val="000000"/>
                <w:sz w:val="18"/>
                <w:szCs w:val="18"/>
              </w:rPr>
              <w:t xml:space="preserve"> Pot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Default="00124CFF" w:rsidP="00382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124CFF">
              <w:rPr>
                <w:color w:val="000000"/>
                <w:sz w:val="18"/>
                <w:szCs w:val="18"/>
              </w:rPr>
              <w:t>S</w:t>
            </w:r>
            <w:r w:rsidR="00382202">
              <w:rPr>
                <w:color w:val="000000"/>
                <w:sz w:val="18"/>
                <w:szCs w:val="18"/>
              </w:rPr>
              <w:t>.Com</w:t>
            </w:r>
            <w:proofErr w:type="gramEnd"/>
          </w:p>
          <w:p w:rsidR="00382202" w:rsidRPr="00124CFF" w:rsidRDefault="00382202" w:rsidP="00382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382202" w:rsidP="00382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S.Com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Dis</w:t>
            </w:r>
            <w:r w:rsidR="001B56E2">
              <w:rPr>
                <w:color w:val="000000"/>
                <w:sz w:val="18"/>
                <w:szCs w:val="18"/>
              </w:rPr>
              <w:t>cards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382202" w:rsidP="00382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W. Com, Sub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4D04DB" w:rsidP="00382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Tag recovery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 w:rsidP="00382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S</w:t>
            </w:r>
            <w:r w:rsidR="00382202">
              <w:rPr>
                <w:color w:val="000000"/>
                <w:sz w:val="18"/>
                <w:szCs w:val="18"/>
              </w:rPr>
              <w:t>.</w:t>
            </w:r>
            <w:r w:rsidRPr="00124CFF">
              <w:rPr>
                <w:color w:val="000000"/>
                <w:sz w:val="18"/>
                <w:szCs w:val="18"/>
              </w:rPr>
              <w:t xml:space="preserve"> Pot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02" w:rsidRDefault="00124CFF" w:rsidP="00382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Pre</w:t>
            </w:r>
          </w:p>
          <w:p w:rsidR="00124CFF" w:rsidRPr="00124CFF" w:rsidRDefault="00124CFF" w:rsidP="00382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fish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 w:rsidP="00382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Sp</w:t>
            </w:r>
            <w:r w:rsidR="00382202">
              <w:rPr>
                <w:color w:val="000000"/>
                <w:sz w:val="18"/>
                <w:szCs w:val="18"/>
              </w:rPr>
              <w:t xml:space="preserve">. </w:t>
            </w:r>
            <w:r w:rsidRPr="00124CFF">
              <w:rPr>
                <w:color w:val="000000"/>
                <w:sz w:val="18"/>
                <w:szCs w:val="18"/>
              </w:rPr>
              <w:t>Tag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 w:rsidP="00382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F</w:t>
            </w:r>
            <w:r w:rsidR="00382202">
              <w:rPr>
                <w:color w:val="000000"/>
                <w:sz w:val="18"/>
                <w:szCs w:val="18"/>
              </w:rPr>
              <w:t>. Tag,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 w:rsidP="00382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W</w:t>
            </w:r>
            <w:r w:rsidR="00382202">
              <w:rPr>
                <w:color w:val="000000"/>
                <w:sz w:val="18"/>
                <w:szCs w:val="18"/>
              </w:rPr>
              <w:t>. Com</w:t>
            </w: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02" w:rsidRPr="005263EB" w:rsidRDefault="00382202" w:rsidP="0038220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  <w:r w:rsidR="005263EB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02" w:rsidRPr="00124CFF" w:rsidRDefault="00382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02" w:rsidRPr="00124CFF" w:rsidRDefault="00382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02" w:rsidRPr="00124CFF" w:rsidRDefault="00382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H, CPUE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02" w:rsidRPr="00124CFF" w:rsidRDefault="00382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02" w:rsidRPr="00124CFF" w:rsidRDefault="00382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02" w:rsidRPr="00124CFF" w:rsidRDefault="00382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02" w:rsidRPr="00124CFF" w:rsidRDefault="00224E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02" w:rsidRPr="00124CFF" w:rsidRDefault="00382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02" w:rsidRPr="00124CFF" w:rsidRDefault="00382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02" w:rsidRPr="00124CFF" w:rsidRDefault="00382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02" w:rsidRPr="00124CFF" w:rsidRDefault="003822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 w:rsidP="0038220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Length</w:t>
            </w:r>
            <w:r w:rsidR="005263EB" w:rsidRPr="005263EB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124CFF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X</w:t>
            </w: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1976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1977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1978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1979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1980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333333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1981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333333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1982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333333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1983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1984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1985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333333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1986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1987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333333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1988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333333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1989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333333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1990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333333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1991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1992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333333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1993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lastRenderedPageBreak/>
              <w:t>1994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333333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1995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1996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1997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1998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1999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2001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2002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2003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2004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2005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2006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2011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333333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2013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333333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333333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333333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82202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124CFF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333333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124CFF" w:rsidRPr="00124CFF" w:rsidRDefault="00124CF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70084" w:rsidRPr="00124CFF" w:rsidTr="004D04DB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84" w:rsidRPr="00124CFF" w:rsidRDefault="0037008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70084" w:rsidRPr="00124CFF" w:rsidRDefault="0037008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84" w:rsidRPr="00124CFF" w:rsidRDefault="0037008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370084" w:rsidRPr="00124CFF" w:rsidRDefault="0037008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333333" w:fill="auto"/>
            <w:vAlign w:val="center"/>
          </w:tcPr>
          <w:p w:rsidR="00370084" w:rsidRPr="00124CFF" w:rsidRDefault="0037008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370084" w:rsidRPr="00124CFF" w:rsidRDefault="0037008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370084" w:rsidRPr="00124CFF" w:rsidRDefault="0037008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84" w:rsidRPr="00124CFF" w:rsidRDefault="0037008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84" w:rsidRPr="00124CFF" w:rsidRDefault="0037008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84" w:rsidRPr="00124CFF" w:rsidRDefault="0037008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84" w:rsidRPr="00124CFF" w:rsidRDefault="0037008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370084" w:rsidRPr="00124CFF" w:rsidRDefault="00370084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0F351B" w:rsidRPr="00124CFF" w:rsidTr="0001718E">
        <w:trPr>
          <w:trHeight w:val="2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1B" w:rsidRDefault="000F351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0F351B" w:rsidRPr="00124CFF" w:rsidRDefault="000F351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1B" w:rsidRPr="00124CFF" w:rsidRDefault="000F351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0F351B" w:rsidRPr="00124CFF" w:rsidRDefault="000F351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333333" w:fill="auto"/>
            <w:vAlign w:val="center"/>
          </w:tcPr>
          <w:p w:rsidR="000F351B" w:rsidRPr="00124CFF" w:rsidRDefault="000F351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0F351B" w:rsidRPr="00124CFF" w:rsidRDefault="000F351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000000" w:fill="auto"/>
            <w:vAlign w:val="center"/>
          </w:tcPr>
          <w:p w:rsidR="000F351B" w:rsidRPr="00124CFF" w:rsidRDefault="000F351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1B" w:rsidRPr="00124CFF" w:rsidRDefault="000F351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1B" w:rsidRPr="00124CFF" w:rsidRDefault="000F351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1B" w:rsidRPr="00124CFF" w:rsidRDefault="000F351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1B" w:rsidRPr="00124CFF" w:rsidRDefault="000F351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:rsidR="000F351B" w:rsidRPr="00124CFF" w:rsidRDefault="000F351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:rsidR="005263EB" w:rsidRPr="001B56E2" w:rsidRDefault="005263EB" w:rsidP="005263EB">
      <w:pPr>
        <w:jc w:val="both"/>
        <w:rPr>
          <w:sz w:val="20"/>
          <w:szCs w:val="20"/>
        </w:rPr>
      </w:pPr>
      <w:r w:rsidRPr="001B56E2">
        <w:rPr>
          <w:sz w:val="20"/>
          <w:szCs w:val="20"/>
        </w:rPr>
        <w:t xml:space="preserve">1: Index of abundance data: N: </w:t>
      </w:r>
      <w:r w:rsidR="001B56E2" w:rsidRPr="001B56E2">
        <w:rPr>
          <w:sz w:val="20"/>
          <w:szCs w:val="20"/>
        </w:rPr>
        <w:t>Abundance, H: H</w:t>
      </w:r>
      <w:r w:rsidRPr="001B56E2">
        <w:rPr>
          <w:sz w:val="20"/>
          <w:szCs w:val="20"/>
        </w:rPr>
        <w:t xml:space="preserve">arvest, CPUE: Catch </w:t>
      </w:r>
      <w:proofErr w:type="spellStart"/>
      <w:r w:rsidRPr="001B56E2">
        <w:rPr>
          <w:sz w:val="20"/>
          <w:szCs w:val="20"/>
        </w:rPr>
        <w:t>cpue</w:t>
      </w:r>
      <w:proofErr w:type="spellEnd"/>
      <w:r w:rsidR="00224E41">
        <w:rPr>
          <w:sz w:val="20"/>
          <w:szCs w:val="20"/>
        </w:rPr>
        <w:t xml:space="preserve">, </w:t>
      </w:r>
    </w:p>
    <w:p w:rsidR="005263EB" w:rsidRPr="001B56E2" w:rsidRDefault="00224E41" w:rsidP="005263E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2: Length/shell proportion </w:t>
      </w:r>
      <w:r w:rsidR="005263EB" w:rsidRPr="001B56E2">
        <w:rPr>
          <w:sz w:val="20"/>
          <w:szCs w:val="20"/>
        </w:rPr>
        <w:t xml:space="preserve">data available </w:t>
      </w:r>
    </w:p>
    <w:p w:rsidR="001B56E2" w:rsidRPr="001B56E2" w:rsidRDefault="001B56E2" w:rsidP="005263EB">
      <w:pPr>
        <w:jc w:val="both"/>
        <w:rPr>
          <w:sz w:val="20"/>
          <w:szCs w:val="20"/>
        </w:rPr>
      </w:pPr>
      <w:r w:rsidRPr="001B56E2">
        <w:rPr>
          <w:sz w:val="20"/>
          <w:szCs w:val="20"/>
        </w:rPr>
        <w:t>3: Data were not used for the assessment model because of short term data.</w:t>
      </w:r>
    </w:p>
    <w:p w:rsidR="001B56E2" w:rsidRPr="001B56E2" w:rsidRDefault="001B56E2" w:rsidP="005263EB">
      <w:pPr>
        <w:jc w:val="both"/>
        <w:rPr>
          <w:sz w:val="20"/>
          <w:szCs w:val="20"/>
        </w:rPr>
      </w:pPr>
      <w:r w:rsidRPr="001B56E2">
        <w:rPr>
          <w:sz w:val="20"/>
          <w:szCs w:val="20"/>
        </w:rPr>
        <w:t>4: Different colors indicate change</w:t>
      </w:r>
      <w:r w:rsidR="0085429A">
        <w:rPr>
          <w:sz w:val="20"/>
          <w:szCs w:val="20"/>
        </w:rPr>
        <w:t>s in fishery characteristics, survey methodologies, or different survey agencies.</w:t>
      </w:r>
    </w:p>
    <w:p w:rsidR="00AE1BE4" w:rsidRDefault="005263EB" w:rsidP="006A2E61">
      <w:pPr>
        <w:spacing w:after="120"/>
        <w:jc w:val="both"/>
      </w:pPr>
      <w:r>
        <w:t xml:space="preserve"> </w:t>
      </w:r>
    </w:p>
    <w:p w:rsidR="006A2E61" w:rsidRDefault="006A2E61" w:rsidP="006A2E61">
      <w:pPr>
        <w:spacing w:after="120"/>
        <w:jc w:val="both"/>
      </w:pPr>
      <w:r>
        <w:t xml:space="preserve">Catches in other fisheries </w:t>
      </w:r>
    </w:p>
    <w:p w:rsidR="004D04DB" w:rsidRDefault="004D04DB" w:rsidP="006A2E61">
      <w:pPr>
        <w:spacing w:after="120"/>
        <w:jc w:val="both"/>
      </w:pPr>
    </w:p>
    <w:p w:rsidR="00D941DC" w:rsidRDefault="00BA3EE5" w:rsidP="00E143C5">
      <w:pPr>
        <w:spacing w:after="120"/>
        <w:jc w:val="both"/>
      </w:pPr>
      <w:r>
        <w:t>In Nort</w:t>
      </w:r>
      <w:r w:rsidR="007641F6">
        <w:t>on Sound</w:t>
      </w:r>
      <w:r w:rsidR="002F76FC">
        <w:t xml:space="preserve">, </w:t>
      </w:r>
      <w:r w:rsidR="000C136E">
        <w:t xml:space="preserve">directed </w:t>
      </w:r>
      <w:r w:rsidR="002F76FC">
        <w:t xml:space="preserve">Pacific Cod </w:t>
      </w:r>
      <w:r w:rsidR="000C136E">
        <w:t xml:space="preserve">pot fishery </w:t>
      </w:r>
      <w:r w:rsidR="00E143C5">
        <w:t xml:space="preserve">was issued </w:t>
      </w:r>
      <w:r w:rsidR="000C136E">
        <w:t>in 2018</w:t>
      </w:r>
      <w:r w:rsidR="00E143C5">
        <w:t xml:space="preserve"> under the CDQ permit</w:t>
      </w:r>
      <w:r w:rsidR="000C136E">
        <w:t xml:space="preserve">. </w:t>
      </w:r>
      <w:r w:rsidR="00E143C5">
        <w:t xml:space="preserve"> However, the fishery did not occur.   This fishery may develop in the future. </w:t>
      </w:r>
      <w:r w:rsidR="000C136E">
        <w:t xml:space="preserve"> </w:t>
      </w:r>
    </w:p>
    <w:tbl>
      <w:tblPr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9"/>
        <w:gridCol w:w="3136"/>
        <w:gridCol w:w="3053"/>
      </w:tblGrid>
      <w:tr w:rsidR="00EE6879" w:rsidTr="009B309C">
        <w:trPr>
          <w:trHeight w:val="20"/>
        </w:trPr>
        <w:tc>
          <w:tcPr>
            <w:tcW w:w="1657" w:type="pct"/>
          </w:tcPr>
          <w:p w:rsidR="00EE6879" w:rsidRDefault="00EE6879" w:rsidP="006F5536">
            <w:pPr>
              <w:pStyle w:val="ListParagraph"/>
              <w:ind w:left="0"/>
              <w:jc w:val="center"/>
            </w:pPr>
          </w:p>
        </w:tc>
        <w:tc>
          <w:tcPr>
            <w:tcW w:w="1693" w:type="pct"/>
          </w:tcPr>
          <w:p w:rsidR="00EE6879" w:rsidRDefault="00EE6879" w:rsidP="006F5536">
            <w:pPr>
              <w:pStyle w:val="ListParagraph"/>
              <w:ind w:left="0"/>
              <w:jc w:val="center"/>
            </w:pPr>
            <w:r>
              <w:t>Fishery</w:t>
            </w:r>
          </w:p>
        </w:tc>
        <w:tc>
          <w:tcPr>
            <w:tcW w:w="1649" w:type="pct"/>
          </w:tcPr>
          <w:p w:rsidR="00EE6879" w:rsidRDefault="006F5536" w:rsidP="006A2E61">
            <w:pPr>
              <w:pStyle w:val="ListParagraph"/>
              <w:ind w:left="0"/>
              <w:jc w:val="center"/>
            </w:pPr>
            <w:r>
              <w:t>Data</w:t>
            </w:r>
            <w:r w:rsidR="006A2E61">
              <w:t xml:space="preserve"> </w:t>
            </w:r>
            <w:r w:rsidR="00EE6879">
              <w:t>availability</w:t>
            </w:r>
          </w:p>
        </w:tc>
      </w:tr>
      <w:tr w:rsidR="00EE6879" w:rsidTr="009B309C">
        <w:trPr>
          <w:trHeight w:val="20"/>
        </w:trPr>
        <w:tc>
          <w:tcPr>
            <w:tcW w:w="1657" w:type="pct"/>
          </w:tcPr>
          <w:p w:rsidR="00EE6879" w:rsidRDefault="00E143C5" w:rsidP="006A2E61">
            <w:pPr>
              <w:pStyle w:val="ListParagraph"/>
              <w:ind w:left="0"/>
            </w:pPr>
            <w:r>
              <w:t>O</w:t>
            </w:r>
            <w:r w:rsidR="00EE6879">
              <w:t>ther crab fisheries</w:t>
            </w:r>
          </w:p>
        </w:tc>
        <w:tc>
          <w:tcPr>
            <w:tcW w:w="1693" w:type="pct"/>
          </w:tcPr>
          <w:p w:rsidR="00EE6879" w:rsidRDefault="00EE6879" w:rsidP="006F5536">
            <w:pPr>
              <w:pStyle w:val="ListParagraph"/>
              <w:ind w:left="0"/>
              <w:jc w:val="center"/>
            </w:pPr>
            <w:r>
              <w:t>Does not exist</w:t>
            </w:r>
          </w:p>
        </w:tc>
        <w:tc>
          <w:tcPr>
            <w:tcW w:w="1649" w:type="pct"/>
          </w:tcPr>
          <w:p w:rsidR="00EE6879" w:rsidRDefault="00EE6879" w:rsidP="006F5536">
            <w:pPr>
              <w:pStyle w:val="ListParagraph"/>
              <w:ind w:left="0"/>
              <w:jc w:val="center"/>
            </w:pPr>
            <w:r>
              <w:t>NA</w:t>
            </w:r>
          </w:p>
        </w:tc>
      </w:tr>
      <w:tr w:rsidR="00EE6879" w:rsidTr="009B309C">
        <w:trPr>
          <w:trHeight w:val="20"/>
        </w:trPr>
        <w:tc>
          <w:tcPr>
            <w:tcW w:w="1657" w:type="pct"/>
          </w:tcPr>
          <w:p w:rsidR="00EE6879" w:rsidRDefault="00E143C5" w:rsidP="006A2E61">
            <w:pPr>
              <w:pStyle w:val="ListParagraph"/>
              <w:ind w:left="0"/>
            </w:pPr>
            <w:r>
              <w:t>G</w:t>
            </w:r>
            <w:r w:rsidR="00EE6879">
              <w:t>round</w:t>
            </w:r>
            <w:r w:rsidR="007E5849">
              <w:t>fish</w:t>
            </w:r>
            <w:r w:rsidR="00EE6879">
              <w:t xml:space="preserve"> pot</w:t>
            </w:r>
          </w:p>
        </w:tc>
        <w:tc>
          <w:tcPr>
            <w:tcW w:w="1693" w:type="pct"/>
          </w:tcPr>
          <w:p w:rsidR="00043179" w:rsidRDefault="000E72C2" w:rsidP="006F5536">
            <w:pPr>
              <w:pStyle w:val="ListParagraph"/>
              <w:ind w:left="0"/>
              <w:jc w:val="center"/>
            </w:pPr>
            <w:r>
              <w:t xml:space="preserve">Pacific Cod </w:t>
            </w:r>
          </w:p>
          <w:p w:rsidR="00043179" w:rsidRDefault="000E72C2" w:rsidP="00043179">
            <w:pPr>
              <w:pStyle w:val="ListParagraph"/>
              <w:ind w:left="0"/>
              <w:jc w:val="center"/>
            </w:pPr>
            <w:r>
              <w:t>(</w:t>
            </w:r>
            <w:r w:rsidR="00043179">
              <w:t>Planned, but not executed</w:t>
            </w:r>
            <w:r>
              <w:t>)</w:t>
            </w:r>
          </w:p>
        </w:tc>
        <w:tc>
          <w:tcPr>
            <w:tcW w:w="1649" w:type="pct"/>
          </w:tcPr>
          <w:p w:rsidR="00EE6879" w:rsidRDefault="00EE6879" w:rsidP="006F5536">
            <w:pPr>
              <w:pStyle w:val="ListParagraph"/>
              <w:ind w:left="0"/>
              <w:jc w:val="center"/>
            </w:pPr>
            <w:r>
              <w:t>NA</w:t>
            </w:r>
          </w:p>
        </w:tc>
      </w:tr>
      <w:tr w:rsidR="00EE6879" w:rsidTr="009B309C">
        <w:trPr>
          <w:trHeight w:val="20"/>
        </w:trPr>
        <w:tc>
          <w:tcPr>
            <w:tcW w:w="1657" w:type="pct"/>
          </w:tcPr>
          <w:p w:rsidR="00EE6879" w:rsidRDefault="00E143C5" w:rsidP="006A2E61">
            <w:pPr>
              <w:pStyle w:val="ListParagraph"/>
              <w:ind w:left="0"/>
            </w:pPr>
            <w:r>
              <w:t>G</w:t>
            </w:r>
            <w:r w:rsidR="00EE6879">
              <w:t>roundfish trawl</w:t>
            </w:r>
          </w:p>
        </w:tc>
        <w:tc>
          <w:tcPr>
            <w:tcW w:w="1693" w:type="pct"/>
          </w:tcPr>
          <w:p w:rsidR="00EE6879" w:rsidRDefault="00EE6879" w:rsidP="006F5536">
            <w:pPr>
              <w:pStyle w:val="ListParagraph"/>
              <w:ind w:left="0"/>
              <w:jc w:val="center"/>
            </w:pPr>
            <w:r>
              <w:t>Does not exist</w:t>
            </w:r>
          </w:p>
        </w:tc>
        <w:tc>
          <w:tcPr>
            <w:tcW w:w="1649" w:type="pct"/>
          </w:tcPr>
          <w:p w:rsidR="00EE6879" w:rsidRDefault="00EE6879" w:rsidP="006F5536">
            <w:pPr>
              <w:pStyle w:val="ListParagraph"/>
              <w:ind w:left="0"/>
              <w:jc w:val="center"/>
            </w:pPr>
            <w:r>
              <w:t>NA</w:t>
            </w:r>
          </w:p>
        </w:tc>
      </w:tr>
      <w:tr w:rsidR="00EE6879" w:rsidTr="009B309C">
        <w:trPr>
          <w:trHeight w:val="20"/>
        </w:trPr>
        <w:tc>
          <w:tcPr>
            <w:tcW w:w="1657" w:type="pct"/>
          </w:tcPr>
          <w:p w:rsidR="00EE6879" w:rsidRDefault="00E143C5" w:rsidP="006A2E61">
            <w:pPr>
              <w:pStyle w:val="ListParagraph"/>
              <w:ind w:left="0"/>
            </w:pPr>
            <w:r>
              <w:t>S</w:t>
            </w:r>
            <w:r w:rsidR="00EE6879">
              <w:t>callop fishery</w:t>
            </w:r>
          </w:p>
        </w:tc>
        <w:tc>
          <w:tcPr>
            <w:tcW w:w="1693" w:type="pct"/>
          </w:tcPr>
          <w:p w:rsidR="00EE6879" w:rsidRDefault="00EE6879" w:rsidP="006F5536">
            <w:pPr>
              <w:pStyle w:val="ListParagraph"/>
              <w:ind w:left="0"/>
              <w:jc w:val="center"/>
            </w:pPr>
            <w:r>
              <w:t>Does not exist</w:t>
            </w:r>
          </w:p>
        </w:tc>
        <w:tc>
          <w:tcPr>
            <w:tcW w:w="1649" w:type="pct"/>
          </w:tcPr>
          <w:p w:rsidR="00EE6879" w:rsidRDefault="00EE6879" w:rsidP="006F5536">
            <w:pPr>
              <w:pStyle w:val="ListParagraph"/>
              <w:ind w:left="0"/>
              <w:jc w:val="center"/>
            </w:pPr>
            <w:r>
              <w:t>NA</w:t>
            </w:r>
          </w:p>
        </w:tc>
      </w:tr>
    </w:tbl>
    <w:p w:rsidR="00EA17FE" w:rsidRDefault="00EA17FE" w:rsidP="007610BA">
      <w:pPr>
        <w:spacing w:after="120"/>
        <w:jc w:val="both"/>
      </w:pPr>
    </w:p>
    <w:p w:rsidR="00741D3E" w:rsidRDefault="00993EFB" w:rsidP="004F27CE">
      <w:pPr>
        <w:pStyle w:val="ListParagraph"/>
        <w:numPr>
          <w:ilvl w:val="0"/>
          <w:numId w:val="2"/>
        </w:numPr>
        <w:spacing w:after="120"/>
        <w:ind w:left="360"/>
        <w:jc w:val="both"/>
      </w:pPr>
      <w:r>
        <w:t>Other miscellaneous data:</w:t>
      </w:r>
    </w:p>
    <w:p w:rsidR="000A3EF2" w:rsidRDefault="000A3EF2" w:rsidP="007F55D7">
      <w:pPr>
        <w:spacing w:after="120"/>
        <w:ind w:firstLine="360"/>
        <w:jc w:val="both"/>
      </w:pPr>
      <w:r>
        <w:t>Satellite tag migration tracking (NOAA 2016)</w:t>
      </w:r>
    </w:p>
    <w:p w:rsidR="007F55D7" w:rsidRDefault="007F55D7" w:rsidP="007F55D7">
      <w:pPr>
        <w:spacing w:after="120"/>
        <w:ind w:firstLine="360"/>
        <w:jc w:val="both"/>
      </w:pPr>
      <w:r>
        <w:t>Spring offshore migration distance and direction</w:t>
      </w:r>
      <w:r w:rsidR="009F40A6">
        <w:t xml:space="preserve"> (201</w:t>
      </w:r>
      <w:r w:rsidR="00E143C5">
        <w:t>2</w:t>
      </w:r>
      <w:r w:rsidR="009F40A6">
        <w:t>-2015)</w:t>
      </w:r>
    </w:p>
    <w:p w:rsidR="009F44AC" w:rsidRDefault="007F55D7" w:rsidP="009F44AC">
      <w:pPr>
        <w:spacing w:after="120"/>
        <w:ind w:firstLine="360"/>
        <w:jc w:val="both"/>
      </w:pPr>
      <w:r>
        <w:t>Monthly blood hormone level</w:t>
      </w:r>
      <w:r w:rsidR="009F40A6">
        <w:t xml:space="preserve"> (indication of molting timing) (2014-2015)</w:t>
      </w:r>
    </w:p>
    <w:p w:rsidR="00505BC4" w:rsidRDefault="002854B8" w:rsidP="00505BC4">
      <w:pPr>
        <w:spacing w:after="120"/>
        <w:jc w:val="both"/>
      </w:pPr>
      <w:r>
        <w:t>Data aggregated</w:t>
      </w:r>
      <w:r w:rsidR="007E5849">
        <w:t>:</w:t>
      </w:r>
      <w:r>
        <w:t xml:space="preserve"> </w:t>
      </w:r>
    </w:p>
    <w:p w:rsidR="00993EFB" w:rsidRDefault="00585BCE" w:rsidP="007610BA">
      <w:pPr>
        <w:spacing w:line="360" w:lineRule="auto"/>
        <w:ind w:left="360"/>
      </w:pPr>
      <w:r>
        <w:t xml:space="preserve">Proportion of </w:t>
      </w:r>
      <w:proofErr w:type="gramStart"/>
      <w:r>
        <w:t>legal size</w:t>
      </w:r>
      <w:proofErr w:type="gramEnd"/>
      <w:r>
        <w:t xml:space="preserve"> crab, </w:t>
      </w:r>
      <w:r w:rsidR="002854B8">
        <w:t>estimated from trawl su</w:t>
      </w:r>
      <w:r w:rsidR="005C108D">
        <w:t>rvey and observer data. (Table 1</w:t>
      </w:r>
      <w:r w:rsidR="0002610B">
        <w:t>3</w:t>
      </w:r>
      <w:r w:rsidR="002854B8">
        <w:t>)</w:t>
      </w:r>
    </w:p>
    <w:p w:rsidR="00993EFB" w:rsidRDefault="00993EFB" w:rsidP="00993EFB">
      <w:pPr>
        <w:spacing w:line="360" w:lineRule="auto"/>
      </w:pPr>
      <w:r>
        <w:lastRenderedPageBreak/>
        <w:t>Data estimated outside the model</w:t>
      </w:r>
      <w:r w:rsidR="007E5849">
        <w:t>:</w:t>
      </w:r>
      <w:r>
        <w:t xml:space="preserve"> </w:t>
      </w:r>
    </w:p>
    <w:p w:rsidR="00D51E9E" w:rsidRDefault="00D51E9E" w:rsidP="002854B8">
      <w:pPr>
        <w:spacing w:line="360" w:lineRule="auto"/>
        <w:ind w:left="360"/>
      </w:pPr>
      <w:r>
        <w:t>Summer commercial catch standardized CPUE (Table 1</w:t>
      </w:r>
      <w:r w:rsidR="000A3EF2">
        <w:t xml:space="preserve">, Appendix </w:t>
      </w:r>
      <w:r w:rsidR="0002610B">
        <w:t>B</w:t>
      </w:r>
      <w:r>
        <w:t>)</w:t>
      </w:r>
    </w:p>
    <w:p w:rsidR="00537C25" w:rsidRDefault="00537C25" w:rsidP="00485E00">
      <w:pPr>
        <w:spacing w:line="360" w:lineRule="auto"/>
      </w:pPr>
    </w:p>
    <w:p w:rsidR="00FA2CB9" w:rsidRDefault="00F5323E" w:rsidP="004F27CE">
      <w:pPr>
        <w:pStyle w:val="ListParagraph"/>
        <w:numPr>
          <w:ilvl w:val="0"/>
          <w:numId w:val="3"/>
        </w:numPr>
        <w:spacing w:line="360" w:lineRule="auto"/>
        <w:ind w:left="360"/>
        <w:rPr>
          <w:b/>
          <w:i/>
          <w:sz w:val="28"/>
          <w:szCs w:val="28"/>
        </w:rPr>
      </w:pPr>
      <w:r w:rsidRPr="007A481A">
        <w:rPr>
          <w:b/>
          <w:i/>
          <w:sz w:val="28"/>
          <w:szCs w:val="28"/>
        </w:rPr>
        <w:t>Analytic Approach</w:t>
      </w:r>
    </w:p>
    <w:p w:rsidR="004F297E" w:rsidRPr="007A481A" w:rsidRDefault="004F297E" w:rsidP="004F297E">
      <w:pPr>
        <w:pStyle w:val="ListParagraph"/>
        <w:spacing w:line="360" w:lineRule="auto"/>
        <w:ind w:left="360"/>
        <w:rPr>
          <w:b/>
          <w:i/>
          <w:sz w:val="28"/>
          <w:szCs w:val="28"/>
        </w:rPr>
      </w:pPr>
    </w:p>
    <w:p w:rsidR="005865C8" w:rsidRPr="007440FE" w:rsidRDefault="008F2E90" w:rsidP="004F27CE">
      <w:pPr>
        <w:pStyle w:val="ListParagraph"/>
        <w:numPr>
          <w:ilvl w:val="0"/>
          <w:numId w:val="4"/>
        </w:numPr>
        <w:spacing w:line="360" w:lineRule="auto"/>
        <w:jc w:val="both"/>
        <w:rPr>
          <w:b/>
        </w:rPr>
      </w:pPr>
      <w:r w:rsidRPr="007440FE">
        <w:rPr>
          <w:b/>
        </w:rPr>
        <w:t>History of the modeling approach</w:t>
      </w:r>
      <w:r w:rsidR="005865C8" w:rsidRPr="007440FE">
        <w:rPr>
          <w:b/>
        </w:rPr>
        <w:t>.</w:t>
      </w:r>
    </w:p>
    <w:p w:rsidR="00B70E10" w:rsidRDefault="007440FE" w:rsidP="00B70E10">
      <w:pPr>
        <w:ind w:left="720"/>
        <w:jc w:val="both"/>
      </w:pPr>
      <w:r>
        <w:t xml:space="preserve">The Norton Sound red king crab </w:t>
      </w:r>
      <w:r w:rsidR="00EB0639">
        <w:t xml:space="preserve">stock </w:t>
      </w:r>
      <w:r>
        <w:t>was assessed using a</w:t>
      </w:r>
      <w:r w:rsidR="007D7BB6" w:rsidRPr="007D7BB6">
        <w:t xml:space="preserve"> length</w:t>
      </w:r>
      <w:r>
        <w:t xml:space="preserve">-based synthesis model (Zheng et al. </w:t>
      </w:r>
      <w:r w:rsidR="007D7BB6">
        <w:t>1998)</w:t>
      </w:r>
      <w:r w:rsidR="002A06C1">
        <w:t xml:space="preserve">. </w:t>
      </w:r>
      <w:r w:rsidR="00B25431">
        <w:t>Since adoption of</w:t>
      </w:r>
      <w:r w:rsidR="006F7A89">
        <w:t xml:space="preserve"> the model, the major challenge is a conflict between model</w:t>
      </w:r>
      <w:r w:rsidR="003B7D3E">
        <w:t xml:space="preserve"> projection and data, specifically</w:t>
      </w:r>
      <w:r w:rsidR="006F7A89">
        <w:t xml:space="preserve"> the model projects higher abundance-proportion of </w:t>
      </w:r>
      <w:r w:rsidR="00B70E10">
        <w:t>large</w:t>
      </w:r>
      <w:r w:rsidR="007E5849">
        <w:t xml:space="preserve"> size class </w:t>
      </w:r>
      <w:r w:rsidR="00B70E10">
        <w:t xml:space="preserve">(&gt; 123mm CL) </w:t>
      </w:r>
      <w:r w:rsidR="007E5849">
        <w:t>of</w:t>
      </w:r>
      <w:r w:rsidR="003B7D3E">
        <w:t xml:space="preserve"> crab</w:t>
      </w:r>
      <w:r w:rsidR="00930744">
        <w:t xml:space="preserve"> than observed</w:t>
      </w:r>
      <w:r w:rsidR="006C4C54">
        <w:t>.</w:t>
      </w:r>
      <w:r w:rsidR="00930744">
        <w:t xml:space="preserve"> </w:t>
      </w:r>
      <w:r w:rsidR="006F7A89">
        <w:t xml:space="preserve">This problem </w:t>
      </w:r>
      <w:r w:rsidR="00F3147D">
        <w:t xml:space="preserve">was further exasperated when natural mortality </w:t>
      </w:r>
      <w:r w:rsidR="00F3147D" w:rsidRPr="00AE1BE4">
        <w:rPr>
          <w:i/>
        </w:rPr>
        <w:t>M</w:t>
      </w:r>
      <w:r w:rsidR="00727EEE">
        <w:t xml:space="preserve"> was set to</w:t>
      </w:r>
      <w:r w:rsidR="00F3147D">
        <w:t xml:space="preserve"> 0.18 from previous </w:t>
      </w:r>
      <w:r w:rsidR="00F3147D" w:rsidRPr="00205F75">
        <w:rPr>
          <w:i/>
        </w:rPr>
        <w:t>M</w:t>
      </w:r>
      <w:r w:rsidR="00F3147D">
        <w:t xml:space="preserve"> = 0.3 in 2011 (</w:t>
      </w:r>
      <w:r w:rsidR="00191D1A">
        <w:t>NPFMC</w:t>
      </w:r>
      <w:r w:rsidR="00F3147D">
        <w:t xml:space="preserve"> 2011)</w:t>
      </w:r>
      <w:r w:rsidR="00727EEE">
        <w:t xml:space="preserve">. This issue has been </w:t>
      </w:r>
      <w:r w:rsidR="00F3147D">
        <w:t xml:space="preserve">resolved by </w:t>
      </w:r>
      <w:r w:rsidR="00727EEE">
        <w:t xml:space="preserve">assuming </w:t>
      </w:r>
      <w:r w:rsidR="00B70E10">
        <w:t xml:space="preserve">(3-4 times) </w:t>
      </w:r>
      <w:r w:rsidR="00727EEE">
        <w:t xml:space="preserve">higher </w:t>
      </w:r>
      <w:r w:rsidR="00F3147D" w:rsidRPr="00205F75">
        <w:rPr>
          <w:i/>
        </w:rPr>
        <w:t>M</w:t>
      </w:r>
      <w:r w:rsidR="00F3147D">
        <w:t xml:space="preserve"> </w:t>
      </w:r>
      <w:r w:rsidR="00727EEE">
        <w:t xml:space="preserve">for </w:t>
      </w:r>
      <w:r w:rsidR="00B70E10">
        <w:t>the</w:t>
      </w:r>
      <w:r w:rsidR="00F3147D">
        <w:t xml:space="preserve"> l</w:t>
      </w:r>
      <w:r w:rsidR="00727EEE">
        <w:t>ength crabs</w:t>
      </w:r>
      <w:r w:rsidR="00B70E10">
        <w:t xml:space="preserve"> (i.e., </w:t>
      </w:r>
      <w:r w:rsidR="00B70E10" w:rsidRPr="00B70E10">
        <w:rPr>
          <w:i/>
        </w:rPr>
        <w:t>M</w:t>
      </w:r>
      <w:r w:rsidR="00B70E10">
        <w:t xml:space="preserve"> = 1.8 for length classes ≤ 123mm, and higher M for &gt; 123mm) </w:t>
      </w:r>
      <w:r w:rsidR="00727EEE">
        <w:t>(</w:t>
      </w:r>
      <w:r w:rsidR="00191D1A">
        <w:t>NPFMC</w:t>
      </w:r>
      <w:r w:rsidR="00727EEE">
        <w:t xml:space="preserve"> 2012, 2013,</w:t>
      </w:r>
      <w:r w:rsidR="00B70E10">
        <w:t xml:space="preserve"> 2014, 2015,</w:t>
      </w:r>
      <w:r w:rsidR="00727EEE">
        <w:t xml:space="preserve"> 2016</w:t>
      </w:r>
      <w:r w:rsidR="00B70E10">
        <w:t>, 2017</w:t>
      </w:r>
      <w:r w:rsidR="000F351B">
        <w:t>, 2018</w:t>
      </w:r>
      <w:r w:rsidR="00727EEE">
        <w:t xml:space="preserve">). Alternative assumptions have been explored, </w:t>
      </w:r>
      <w:r w:rsidR="00900946">
        <w:t>such as changing</w:t>
      </w:r>
      <w:r w:rsidR="00727EEE">
        <w:t xml:space="preserve"> molting probability (i.e., crab matured quicker</w:t>
      </w:r>
      <w:r w:rsidR="00900946">
        <w:t xml:space="preserve"> or delayed maturation), higher natural mortality, and dorm shaped selectivity (i.e., large crab </w:t>
      </w:r>
      <w:proofErr w:type="gramStart"/>
      <w:r w:rsidR="00900946">
        <w:t>are</w:t>
      </w:r>
      <w:proofErr w:type="gramEnd"/>
      <w:r w:rsidR="00900946">
        <w:t xml:space="preserve"> not caught, or moved out of fishery/survey g</w:t>
      </w:r>
      <w:r w:rsidR="000F351B">
        <w:t>rounds).</w:t>
      </w:r>
      <w:r w:rsidR="00414DC3">
        <w:t xml:space="preserve">  </w:t>
      </w:r>
      <w:r w:rsidR="00900946">
        <w:t xml:space="preserve">However, those alternative assumptions did not produce better model fits.   Model estimated length specific molting probability was similar to inverse logistic </w:t>
      </w:r>
      <w:proofErr w:type="gramStart"/>
      <w:r w:rsidR="00900946">
        <w:t>curve, and</w:t>
      </w:r>
      <w:proofErr w:type="gramEnd"/>
      <w:r w:rsidR="00191D1A">
        <w:t xml:space="preserve"> did not improve model fit (NPFMC</w:t>
      </w:r>
      <w:r w:rsidR="00900946">
        <w:t xml:space="preserve"> 2016).  </w:t>
      </w:r>
      <w:r w:rsidR="00EB66F4">
        <w:t>C</w:t>
      </w:r>
      <w:r w:rsidR="00900946">
        <w:t>onstant</w:t>
      </w:r>
      <w:r w:rsidR="00EB66F4">
        <w:t xml:space="preserve"> </w:t>
      </w:r>
      <w:r w:rsidR="00EB66F4" w:rsidRPr="00EB66F4">
        <w:rPr>
          <w:i/>
        </w:rPr>
        <w:t>M</w:t>
      </w:r>
      <w:r w:rsidR="00900946">
        <w:t xml:space="preserve"> across all length classes resulted in higher </w:t>
      </w:r>
      <w:r w:rsidR="00900946" w:rsidRPr="00900946">
        <w:rPr>
          <w:i/>
        </w:rPr>
        <w:t>M</w:t>
      </w:r>
      <w:r w:rsidR="00900946">
        <w:t xml:space="preserve"> (0.3-0.45) (</w:t>
      </w:r>
      <w:r w:rsidR="00191D1A">
        <w:t>NPFMC</w:t>
      </w:r>
      <w:r w:rsidR="00900946">
        <w:t xml:space="preserve"> 2013, 2017).  </w:t>
      </w:r>
      <w:r w:rsidR="00EB66F4">
        <w:t>D</w:t>
      </w:r>
      <w:r w:rsidR="00B70E10">
        <w:t xml:space="preserve">ome shaped selectivity </w:t>
      </w:r>
      <w:r w:rsidR="00EB66F4">
        <w:t xml:space="preserve">(i.e., assume large crabs were not caught/not surveyed/moved out of survey and fishing area) increased MMB twicer higher than other models.  </w:t>
      </w:r>
      <w:r w:rsidR="001116CF">
        <w:t>A model with g</w:t>
      </w:r>
      <w:r w:rsidR="00B70E10">
        <w:t xml:space="preserve">radual increase of </w:t>
      </w:r>
      <w:r w:rsidR="00B70E10" w:rsidRPr="00B70E10">
        <w:rPr>
          <w:i/>
        </w:rPr>
        <w:t>M</w:t>
      </w:r>
      <w:r w:rsidR="00283A0A">
        <w:t xml:space="preserve"> across length classes </w:t>
      </w:r>
      <w:r w:rsidR="001116CF">
        <w:t xml:space="preserve">resulted in </w:t>
      </w:r>
      <w:r w:rsidR="001116CF" w:rsidRPr="001116CF">
        <w:rPr>
          <w:i/>
        </w:rPr>
        <w:t xml:space="preserve">M </w:t>
      </w:r>
      <w:r w:rsidR="0002610B">
        <w:t>increa</w:t>
      </w:r>
      <w:r w:rsidR="001116CF">
        <w:t>se</w:t>
      </w:r>
      <w:r w:rsidR="0002610B">
        <w:t xml:space="preserve"> staring </w:t>
      </w:r>
      <w:r w:rsidR="001116CF">
        <w:t xml:space="preserve">at </w:t>
      </w:r>
      <w:r w:rsidR="0002610B">
        <w:t xml:space="preserve">size 94mm.  However, this did not improve overall model fit and was rejected for </w:t>
      </w:r>
      <w:r w:rsidR="0008260E">
        <w:t>model consideration</w:t>
      </w:r>
      <w:r w:rsidR="001116CF">
        <w:t xml:space="preserve"> (NPFMC 2018)</w:t>
      </w:r>
      <w:r w:rsidR="0008260E">
        <w:t>.</w:t>
      </w:r>
      <w:r w:rsidR="001116CF">
        <w:t xml:space="preserve">   With addition of total catch length data in summer and retention length data in winter commercial fisheries, 2019 model specification examine</w:t>
      </w:r>
      <w:r w:rsidR="00D4580B">
        <w:t xml:space="preserve">d estimation of retention curve for both summer and winter fishery, and evaluation of OFL under Tier 3 formula. </w:t>
      </w:r>
      <w:r w:rsidR="001116CF">
        <w:t xml:space="preserve"> </w:t>
      </w:r>
    </w:p>
    <w:p w:rsidR="001116CF" w:rsidRDefault="001116CF" w:rsidP="00D4580B">
      <w:pPr>
        <w:jc w:val="both"/>
      </w:pPr>
    </w:p>
    <w:p w:rsidR="00283A0A" w:rsidRDefault="00283A0A" w:rsidP="00976A0D">
      <w:pPr>
        <w:ind w:left="720"/>
        <w:jc w:val="both"/>
      </w:pPr>
    </w:p>
    <w:p w:rsidR="00505BC4" w:rsidRDefault="00505BC4" w:rsidP="00976A0D">
      <w:pPr>
        <w:ind w:left="720"/>
        <w:jc w:val="both"/>
      </w:pPr>
      <w:r>
        <w:t>Historical Model configuration progression</w:t>
      </w:r>
      <w:r w:rsidR="00514C51">
        <w:t>:</w:t>
      </w:r>
      <w:r>
        <w:t xml:space="preserve"> </w:t>
      </w:r>
    </w:p>
    <w:p w:rsidR="001A3474" w:rsidRDefault="001A3474" w:rsidP="00413A5B">
      <w:pPr>
        <w:jc w:val="both"/>
      </w:pPr>
    </w:p>
    <w:p w:rsidR="002F4E56" w:rsidRDefault="00C021C3" w:rsidP="002F4E56">
      <w:pPr>
        <w:ind w:left="720"/>
        <w:jc w:val="both"/>
      </w:pPr>
      <w:r>
        <w:t>2011</w:t>
      </w:r>
      <w:r w:rsidR="00505BC4">
        <w:t xml:space="preserve"> </w:t>
      </w:r>
      <w:r>
        <w:t>(</w:t>
      </w:r>
      <w:r w:rsidR="00191D1A">
        <w:t>NPFMC</w:t>
      </w:r>
      <w:r>
        <w:t xml:space="preserve"> 2011)</w:t>
      </w:r>
    </w:p>
    <w:p w:rsidR="00505BC4" w:rsidRPr="000332FA" w:rsidRDefault="002F4E56" w:rsidP="002F4E56">
      <w:pPr>
        <w:ind w:firstLine="720"/>
        <w:jc w:val="both"/>
      </w:pPr>
      <w:r w:rsidRPr="000332FA">
        <w:t xml:space="preserve">1. </w:t>
      </w:r>
      <w:r w:rsidRPr="000332FA">
        <w:rPr>
          <w:i/>
        </w:rPr>
        <w:t>M</w:t>
      </w:r>
      <w:r w:rsidRPr="000332FA">
        <w:t xml:space="preserve"> =0.18</w:t>
      </w:r>
    </w:p>
    <w:p w:rsidR="002F4E56" w:rsidRPr="000332FA" w:rsidRDefault="002F4E56" w:rsidP="002F4E56">
      <w:pPr>
        <w:ind w:firstLine="720"/>
        <w:jc w:val="both"/>
      </w:pPr>
      <w:r w:rsidRPr="000332FA">
        <w:t xml:space="preserve">2. </w:t>
      </w:r>
      <w:r w:rsidRPr="000332FA">
        <w:rPr>
          <w:i/>
        </w:rPr>
        <w:t>M</w:t>
      </w:r>
      <w:r w:rsidRPr="000332FA">
        <w:t xml:space="preserve"> of the last length class = 0.288</w:t>
      </w:r>
    </w:p>
    <w:p w:rsidR="00505BC4" w:rsidRPr="000332FA" w:rsidRDefault="002F4E56" w:rsidP="002F4E56">
      <w:pPr>
        <w:ind w:firstLine="720"/>
        <w:jc w:val="both"/>
      </w:pPr>
      <w:r w:rsidRPr="000332FA">
        <w:t xml:space="preserve">3. </w:t>
      </w:r>
      <w:r w:rsidR="00505BC4" w:rsidRPr="000332FA">
        <w:t>I</w:t>
      </w:r>
      <w:r w:rsidR="006E52AD" w:rsidRPr="000332FA">
        <w:t>nclude summer</w:t>
      </w:r>
      <w:r w:rsidR="00505BC4" w:rsidRPr="000332FA">
        <w:t xml:space="preserve"> commercial discards mortality = 0.2</w:t>
      </w:r>
    </w:p>
    <w:p w:rsidR="002F4E56" w:rsidRPr="000332FA" w:rsidRDefault="002F4E56" w:rsidP="002F4E56">
      <w:pPr>
        <w:ind w:firstLine="720"/>
        <w:jc w:val="both"/>
      </w:pPr>
      <w:r w:rsidRPr="000332FA">
        <w:t>4. W</w:t>
      </w:r>
      <w:r w:rsidR="006E7796" w:rsidRPr="000332FA">
        <w:t>eight of fishin</w:t>
      </w:r>
      <w:r w:rsidR="006B7BB5" w:rsidRPr="000332FA">
        <w:t xml:space="preserve">g effort </w:t>
      </w:r>
      <w:r w:rsidR="006E52AD" w:rsidRPr="000332FA">
        <w:t xml:space="preserve">= </w:t>
      </w:r>
      <w:r w:rsidR="006B7BB5" w:rsidRPr="000332FA">
        <w:t>20</w:t>
      </w:r>
      <w:r w:rsidR="00AA6FEF" w:rsidRPr="000332FA">
        <w:t xml:space="preserve">, </w:t>
      </w:r>
    </w:p>
    <w:p w:rsidR="00AA6FEF" w:rsidRPr="000332FA" w:rsidRDefault="002F4E56" w:rsidP="002F142D">
      <w:pPr>
        <w:ind w:firstLine="720"/>
        <w:jc w:val="both"/>
      </w:pPr>
      <w:r w:rsidRPr="000332FA">
        <w:t>5. T</w:t>
      </w:r>
      <w:r w:rsidR="006E7796" w:rsidRPr="000332FA">
        <w:t xml:space="preserve">he maximum effective sample size for commercial catch and winter surveys </w:t>
      </w:r>
      <w:r w:rsidR="00AA6FEF" w:rsidRPr="000332FA">
        <w:t xml:space="preserve">= 100, </w:t>
      </w:r>
    </w:p>
    <w:p w:rsidR="00D13DBE" w:rsidRPr="000332FA" w:rsidRDefault="00D13DBE" w:rsidP="00AA6FEF">
      <w:pPr>
        <w:ind w:left="720"/>
        <w:jc w:val="both"/>
      </w:pPr>
    </w:p>
    <w:p w:rsidR="00505BC4" w:rsidRPr="000332FA" w:rsidRDefault="00505BC4" w:rsidP="00AA6FEF">
      <w:pPr>
        <w:ind w:left="720"/>
        <w:jc w:val="both"/>
      </w:pPr>
      <w:r w:rsidRPr="000332FA">
        <w:t>2012</w:t>
      </w:r>
      <w:r w:rsidR="00C021C3" w:rsidRPr="000332FA">
        <w:t xml:space="preserve"> (</w:t>
      </w:r>
      <w:r w:rsidR="00191D1A">
        <w:t>NPFMC</w:t>
      </w:r>
      <w:r w:rsidR="00C021C3" w:rsidRPr="000332FA">
        <w:t xml:space="preserve"> 2012)</w:t>
      </w:r>
      <w:r w:rsidRPr="000332FA">
        <w:t xml:space="preserve"> </w:t>
      </w:r>
    </w:p>
    <w:p w:rsidR="002F4E56" w:rsidRPr="000332FA" w:rsidRDefault="00AA6FEF" w:rsidP="004F27CE">
      <w:pPr>
        <w:pStyle w:val="ListParagraph"/>
        <w:numPr>
          <w:ilvl w:val="0"/>
          <w:numId w:val="14"/>
        </w:numPr>
        <w:jc w:val="both"/>
      </w:pPr>
      <w:r w:rsidRPr="000332FA">
        <w:rPr>
          <w:i/>
        </w:rPr>
        <w:t>M</w:t>
      </w:r>
      <w:r w:rsidRPr="000332FA">
        <w:t xml:space="preserve"> of the last length class = </w:t>
      </w:r>
      <w:r w:rsidR="002F4E56" w:rsidRPr="000332FA">
        <w:t>3.6×</w:t>
      </w:r>
      <w:r w:rsidR="00505BC4" w:rsidRPr="000332FA">
        <w:rPr>
          <w:i/>
        </w:rPr>
        <w:t>M</w:t>
      </w:r>
    </w:p>
    <w:p w:rsidR="002F4E56" w:rsidRPr="000332FA" w:rsidRDefault="002F4E56" w:rsidP="004F27CE">
      <w:pPr>
        <w:pStyle w:val="ListParagraph"/>
        <w:numPr>
          <w:ilvl w:val="0"/>
          <w:numId w:val="14"/>
        </w:numPr>
        <w:jc w:val="both"/>
      </w:pPr>
      <w:r w:rsidRPr="000332FA">
        <w:t>T</w:t>
      </w:r>
      <w:r w:rsidR="00AA6FEF" w:rsidRPr="000332FA">
        <w:t xml:space="preserve">he maximum effective sample size for commercial catch and winter surveys </w:t>
      </w:r>
      <w:r w:rsidRPr="000332FA">
        <w:t>= 50,</w:t>
      </w:r>
    </w:p>
    <w:p w:rsidR="00AA6FEF" w:rsidRPr="000332FA" w:rsidRDefault="002F4E56" w:rsidP="004F27CE">
      <w:pPr>
        <w:pStyle w:val="ListParagraph"/>
        <w:numPr>
          <w:ilvl w:val="0"/>
          <w:numId w:val="14"/>
        </w:numPr>
        <w:jc w:val="both"/>
      </w:pPr>
      <w:r w:rsidRPr="000332FA">
        <w:t>W</w:t>
      </w:r>
      <w:r w:rsidR="00B37056" w:rsidRPr="000332FA">
        <w:t>eight of fishing effort = 50.</w:t>
      </w:r>
    </w:p>
    <w:p w:rsidR="00B37056" w:rsidRPr="000332FA" w:rsidRDefault="00B37056" w:rsidP="00AA6FEF">
      <w:pPr>
        <w:ind w:left="720"/>
        <w:jc w:val="both"/>
      </w:pPr>
    </w:p>
    <w:p w:rsidR="002F4E56" w:rsidRPr="000332FA" w:rsidRDefault="00505BC4" w:rsidP="002F4E56">
      <w:pPr>
        <w:ind w:left="720"/>
        <w:jc w:val="both"/>
      </w:pPr>
      <w:r w:rsidRPr="000332FA">
        <w:t>2013</w:t>
      </w:r>
      <w:r w:rsidR="00C021C3" w:rsidRPr="000332FA">
        <w:t xml:space="preserve"> (</w:t>
      </w:r>
      <w:r w:rsidR="00191D1A">
        <w:t>NPFMC</w:t>
      </w:r>
      <w:r w:rsidR="00C021C3" w:rsidRPr="000332FA">
        <w:t xml:space="preserve"> 2013)</w:t>
      </w:r>
      <w:r w:rsidR="00B37056" w:rsidRPr="000332FA">
        <w:t xml:space="preserve"> </w:t>
      </w:r>
    </w:p>
    <w:p w:rsidR="002F4E56" w:rsidRPr="000332FA" w:rsidRDefault="00992A0A" w:rsidP="004F27CE">
      <w:pPr>
        <w:pStyle w:val="ListParagraph"/>
        <w:numPr>
          <w:ilvl w:val="1"/>
          <w:numId w:val="3"/>
        </w:numPr>
        <w:ind w:left="1080"/>
        <w:jc w:val="both"/>
      </w:pPr>
      <w:r w:rsidRPr="000332FA">
        <w:t xml:space="preserve">Standardize commercial catch </w:t>
      </w:r>
      <w:proofErr w:type="spellStart"/>
      <w:r w:rsidRPr="000332FA">
        <w:t>cpue</w:t>
      </w:r>
      <w:proofErr w:type="spellEnd"/>
      <w:r w:rsidRPr="000332FA">
        <w:t xml:space="preserve"> and r</w:t>
      </w:r>
      <w:r w:rsidR="00EA17FE" w:rsidRPr="000332FA">
        <w:t xml:space="preserve">eplace likelihood of </w:t>
      </w:r>
      <w:r w:rsidR="00B37056" w:rsidRPr="000332FA">
        <w:t xml:space="preserve">commercial catch efforts to standardized commercial catch </w:t>
      </w:r>
      <w:proofErr w:type="spellStart"/>
      <w:r w:rsidR="00B37056" w:rsidRPr="000332FA">
        <w:t>cpue</w:t>
      </w:r>
      <w:proofErr w:type="spellEnd"/>
      <w:r w:rsidR="00B37056" w:rsidRPr="000332FA">
        <w:t xml:space="preserve"> with w</w:t>
      </w:r>
      <w:r w:rsidR="00EA17FE" w:rsidRPr="000332FA">
        <w:t>eight =</w:t>
      </w:r>
      <w:r w:rsidR="002F4E56" w:rsidRPr="000332FA">
        <w:t xml:space="preserve"> 1.0</w:t>
      </w:r>
    </w:p>
    <w:p w:rsidR="002F4E56" w:rsidRPr="000332FA" w:rsidRDefault="002F4E56" w:rsidP="004F27CE">
      <w:pPr>
        <w:pStyle w:val="ListParagraph"/>
        <w:numPr>
          <w:ilvl w:val="1"/>
          <w:numId w:val="3"/>
        </w:numPr>
        <w:ind w:left="1080"/>
        <w:jc w:val="both"/>
      </w:pPr>
      <w:r w:rsidRPr="000332FA">
        <w:t>E</w:t>
      </w:r>
      <w:r w:rsidR="00EA17FE" w:rsidRPr="000332FA">
        <w:t xml:space="preserve">liminate </w:t>
      </w:r>
      <w:r w:rsidR="00B37056" w:rsidRPr="000332FA">
        <w:t xml:space="preserve">summer </w:t>
      </w:r>
      <w:r w:rsidRPr="000332FA">
        <w:t>pot survey data from likelihood</w:t>
      </w:r>
    </w:p>
    <w:p w:rsidR="002F4E56" w:rsidRPr="000332FA" w:rsidRDefault="002F4E56" w:rsidP="004F27CE">
      <w:pPr>
        <w:pStyle w:val="ListParagraph"/>
        <w:numPr>
          <w:ilvl w:val="1"/>
          <w:numId w:val="3"/>
        </w:numPr>
        <w:ind w:left="1080"/>
        <w:jc w:val="both"/>
      </w:pPr>
      <w:r w:rsidRPr="000332FA">
        <w:t>E</w:t>
      </w:r>
      <w:r w:rsidR="00B37056" w:rsidRPr="000332FA">
        <w:t xml:space="preserve">stimate survey </w:t>
      </w:r>
      <w:r w:rsidR="00B37056" w:rsidRPr="000332FA">
        <w:rPr>
          <w:i/>
        </w:rPr>
        <w:t>q</w:t>
      </w:r>
      <w:r w:rsidR="00B37056" w:rsidRPr="000332FA">
        <w:t xml:space="preserve"> of 1976-1991 N</w:t>
      </w:r>
      <w:r w:rsidRPr="000332FA">
        <w:t>MFS survey with maximum of 1.0</w:t>
      </w:r>
    </w:p>
    <w:p w:rsidR="00B37056" w:rsidRPr="000332FA" w:rsidRDefault="002F4E56" w:rsidP="004F27CE">
      <w:pPr>
        <w:pStyle w:val="ListParagraph"/>
        <w:numPr>
          <w:ilvl w:val="1"/>
          <w:numId w:val="3"/>
        </w:numPr>
        <w:ind w:left="1080"/>
        <w:jc w:val="both"/>
      </w:pPr>
      <w:r w:rsidRPr="000332FA">
        <w:t>T</w:t>
      </w:r>
      <w:r w:rsidR="00B37056" w:rsidRPr="000332FA">
        <w:t>he maximum effective sample size for commercial catch and winter surveys = 20.</w:t>
      </w:r>
    </w:p>
    <w:p w:rsidR="00C9565F" w:rsidRPr="000332FA" w:rsidRDefault="00C9565F" w:rsidP="00AA6FEF">
      <w:pPr>
        <w:ind w:left="720"/>
        <w:jc w:val="both"/>
      </w:pPr>
    </w:p>
    <w:p w:rsidR="007B512D" w:rsidRPr="000332FA" w:rsidRDefault="00505BC4" w:rsidP="002F4E56">
      <w:pPr>
        <w:ind w:left="720"/>
        <w:jc w:val="both"/>
      </w:pPr>
      <w:r w:rsidRPr="000332FA">
        <w:t>2014</w:t>
      </w:r>
      <w:r w:rsidR="00EA7E0F" w:rsidRPr="000332FA">
        <w:t xml:space="preserve"> </w:t>
      </w:r>
      <w:r w:rsidR="00C021C3" w:rsidRPr="000332FA">
        <w:t>(</w:t>
      </w:r>
      <w:r w:rsidR="00191D1A">
        <w:t>NPFMC</w:t>
      </w:r>
      <w:r w:rsidR="00C021C3" w:rsidRPr="000332FA">
        <w:t xml:space="preserve"> 2014)</w:t>
      </w:r>
    </w:p>
    <w:p w:rsidR="002F4E56" w:rsidRPr="000332FA" w:rsidRDefault="002F4E56" w:rsidP="004F27CE">
      <w:pPr>
        <w:pStyle w:val="ListParagraph"/>
        <w:numPr>
          <w:ilvl w:val="0"/>
          <w:numId w:val="15"/>
        </w:numPr>
        <w:jc w:val="both"/>
      </w:pPr>
      <w:r w:rsidRPr="000332FA">
        <w:t>M</w:t>
      </w:r>
      <w:r w:rsidR="005A40C2" w:rsidRPr="000332FA">
        <w:t>odify functional form of selectivity and</w:t>
      </w:r>
      <w:r w:rsidR="00076A1D" w:rsidRPr="000332FA">
        <w:t xml:space="preserve"> molting </w:t>
      </w:r>
      <w:r w:rsidR="005A40C2" w:rsidRPr="000332FA">
        <w:t>probability to</w:t>
      </w:r>
      <w:r w:rsidR="00076A1D" w:rsidRPr="000332FA">
        <w:t xml:space="preserve"> improve parameter estimates</w:t>
      </w:r>
      <w:r w:rsidRPr="000332FA">
        <w:t xml:space="preserve"> (2 parameter logistic to 1 parameter logistic)</w:t>
      </w:r>
    </w:p>
    <w:p w:rsidR="000332FA" w:rsidRPr="000332FA" w:rsidRDefault="000332FA" w:rsidP="004F27CE">
      <w:pPr>
        <w:pStyle w:val="ListParagraph"/>
        <w:numPr>
          <w:ilvl w:val="0"/>
          <w:numId w:val="15"/>
        </w:numPr>
        <w:jc w:val="both"/>
      </w:pPr>
      <w:r w:rsidRPr="000332FA">
        <w:t xml:space="preserve">Include additional variance for the standardized </w:t>
      </w:r>
      <w:proofErr w:type="spellStart"/>
      <w:r w:rsidRPr="000332FA">
        <w:t>cpue</w:t>
      </w:r>
      <w:proofErr w:type="spellEnd"/>
      <w:r w:rsidRPr="000332FA">
        <w:t>.</w:t>
      </w:r>
    </w:p>
    <w:p w:rsidR="002F4E56" w:rsidRPr="000332FA" w:rsidRDefault="002F4E56" w:rsidP="004F27CE">
      <w:pPr>
        <w:pStyle w:val="ListParagraph"/>
        <w:numPr>
          <w:ilvl w:val="0"/>
          <w:numId w:val="15"/>
        </w:numPr>
        <w:jc w:val="both"/>
      </w:pPr>
      <w:r w:rsidRPr="000332FA">
        <w:t xml:space="preserve">Include winter pot survey </w:t>
      </w:r>
      <w:proofErr w:type="spellStart"/>
      <w:r w:rsidRPr="000332FA">
        <w:t>cpue</w:t>
      </w:r>
      <w:proofErr w:type="spellEnd"/>
      <w:r w:rsidRPr="000332FA">
        <w:t xml:space="preserve"> (But was removed </w:t>
      </w:r>
      <w:r w:rsidR="000332FA">
        <w:t xml:space="preserve">from the final model </w:t>
      </w:r>
      <w:r w:rsidRPr="000332FA">
        <w:t>due to lack of fit)</w:t>
      </w:r>
      <w:r w:rsidR="00EA7E0F" w:rsidRPr="000332FA">
        <w:t xml:space="preserve"> </w:t>
      </w:r>
    </w:p>
    <w:p w:rsidR="005A40C2" w:rsidRPr="000332FA" w:rsidRDefault="002F4E56" w:rsidP="004F27CE">
      <w:pPr>
        <w:pStyle w:val="ListParagraph"/>
        <w:numPr>
          <w:ilvl w:val="0"/>
          <w:numId w:val="15"/>
        </w:numPr>
        <w:jc w:val="both"/>
      </w:pPr>
      <w:r w:rsidRPr="000332FA">
        <w:t>E</w:t>
      </w:r>
      <w:r w:rsidR="00076A1D" w:rsidRPr="000332FA">
        <w:t>stimate growt</w:t>
      </w:r>
      <w:r w:rsidRPr="000332FA">
        <w:t>h transition matrix from tag</w:t>
      </w:r>
      <w:r w:rsidR="00992A0A" w:rsidRPr="000332FA">
        <w:t>ged</w:t>
      </w:r>
      <w:r w:rsidRPr="000332FA">
        <w:t xml:space="preserve"> recovery</w:t>
      </w:r>
      <w:r w:rsidR="00076A1D" w:rsidRPr="000332FA">
        <w:t xml:space="preserve"> data</w:t>
      </w:r>
      <w:r w:rsidR="002A06C1" w:rsidRPr="000332FA">
        <w:t xml:space="preserve">. </w:t>
      </w:r>
    </w:p>
    <w:p w:rsidR="007D7BB6" w:rsidRPr="000332FA" w:rsidRDefault="007D7BB6" w:rsidP="007D7BB6">
      <w:pPr>
        <w:ind w:left="720"/>
      </w:pPr>
    </w:p>
    <w:p w:rsidR="00D63DF7" w:rsidRPr="000332FA" w:rsidRDefault="00D63DF7" w:rsidP="00D63DF7">
      <w:pPr>
        <w:ind w:left="720"/>
        <w:jc w:val="both"/>
      </w:pPr>
      <w:r>
        <w:t>2015</w:t>
      </w:r>
      <w:r w:rsidRPr="000332FA">
        <w:t xml:space="preserve"> </w:t>
      </w:r>
      <w:r>
        <w:t>(</w:t>
      </w:r>
      <w:r w:rsidR="00191D1A">
        <w:t>NPFMC</w:t>
      </w:r>
      <w:r>
        <w:t xml:space="preserve"> 2015</w:t>
      </w:r>
      <w:r w:rsidRPr="000332FA">
        <w:t>)</w:t>
      </w:r>
    </w:p>
    <w:p w:rsidR="00D63DF7" w:rsidRDefault="00D63DF7" w:rsidP="004F27CE">
      <w:pPr>
        <w:pStyle w:val="ListParagraph"/>
        <w:numPr>
          <w:ilvl w:val="0"/>
          <w:numId w:val="16"/>
        </w:numPr>
        <w:jc w:val="both"/>
      </w:pPr>
      <w:r w:rsidRPr="00D63DF7">
        <w:t xml:space="preserve">Winter pot survey selectivity is an inverse logistic, estimating selectivity of the smallest length group independently </w:t>
      </w:r>
    </w:p>
    <w:p w:rsidR="00B364AD" w:rsidRDefault="00B364AD" w:rsidP="004F27CE">
      <w:pPr>
        <w:pStyle w:val="ListParagraph"/>
        <w:numPr>
          <w:ilvl w:val="0"/>
          <w:numId w:val="16"/>
        </w:numPr>
        <w:jc w:val="both"/>
      </w:pPr>
      <w:r>
        <w:t>Reduce Weight of tag-recovery: W = 0.5</w:t>
      </w:r>
    </w:p>
    <w:p w:rsidR="00D63DF7" w:rsidRDefault="00D63DF7" w:rsidP="004F27CE">
      <w:pPr>
        <w:pStyle w:val="ListParagraph"/>
        <w:numPr>
          <w:ilvl w:val="0"/>
          <w:numId w:val="16"/>
        </w:numPr>
        <w:jc w:val="both"/>
      </w:pPr>
      <w:r>
        <w:t xml:space="preserve">Model parsimony: </w:t>
      </w:r>
      <w:proofErr w:type="gramStart"/>
      <w:r>
        <w:t>one  trawl</w:t>
      </w:r>
      <w:proofErr w:type="gramEnd"/>
      <w:r>
        <w:t xml:space="preserve"> survey selectivity and one commercial pot selectivity</w:t>
      </w:r>
      <w:r w:rsidRPr="000332FA">
        <w:t xml:space="preserve"> </w:t>
      </w:r>
    </w:p>
    <w:p w:rsidR="00076A1D" w:rsidRDefault="00076A1D" w:rsidP="007D7BB6">
      <w:pPr>
        <w:ind w:left="720"/>
      </w:pPr>
    </w:p>
    <w:p w:rsidR="00FC6F55" w:rsidRPr="000332FA" w:rsidRDefault="00FC6F55" w:rsidP="00FC6F55">
      <w:pPr>
        <w:ind w:firstLine="720"/>
        <w:jc w:val="both"/>
      </w:pPr>
      <w:r>
        <w:t>2016 (</w:t>
      </w:r>
      <w:r w:rsidR="00191D1A">
        <w:t>NPFMC</w:t>
      </w:r>
      <w:r>
        <w:t xml:space="preserve"> 2016</w:t>
      </w:r>
      <w:r w:rsidRPr="000332FA">
        <w:t>)</w:t>
      </w:r>
    </w:p>
    <w:p w:rsidR="00FC6F55" w:rsidRDefault="00FC6F55" w:rsidP="004F27CE">
      <w:pPr>
        <w:pStyle w:val="ListParagraph"/>
        <w:numPr>
          <w:ilvl w:val="0"/>
          <w:numId w:val="17"/>
        </w:numPr>
        <w:jc w:val="both"/>
      </w:pPr>
      <w:r>
        <w:t xml:space="preserve">Length range extended from 74mm – 124mm above to 64mm – 134mm above. </w:t>
      </w:r>
    </w:p>
    <w:p w:rsidR="00D359DE" w:rsidRDefault="00D359DE" w:rsidP="004F27CE">
      <w:pPr>
        <w:pStyle w:val="ListParagraph"/>
        <w:numPr>
          <w:ilvl w:val="0"/>
          <w:numId w:val="17"/>
        </w:numPr>
        <w:jc w:val="both"/>
      </w:pPr>
      <w:r>
        <w:t>Estimate multiplier for the largest (&gt; 123mm) length classes.</w:t>
      </w:r>
    </w:p>
    <w:p w:rsidR="00FC6F55" w:rsidRDefault="00FC6F55" w:rsidP="00D359DE"/>
    <w:p w:rsidR="00746B01" w:rsidRDefault="00746B01" w:rsidP="00746B01">
      <w:pPr>
        <w:tabs>
          <w:tab w:val="center" w:pos="5040"/>
        </w:tabs>
        <w:ind w:firstLine="720"/>
        <w:jc w:val="both"/>
      </w:pPr>
      <w:r>
        <w:t>2017 (</w:t>
      </w:r>
      <w:r w:rsidR="00191D1A">
        <w:t>NPFMC</w:t>
      </w:r>
      <w:r>
        <w:t xml:space="preserve"> 2017</w:t>
      </w:r>
      <w:r w:rsidRPr="000332FA">
        <w:t>)</w:t>
      </w:r>
      <w:r>
        <w:tab/>
      </w:r>
    </w:p>
    <w:p w:rsidR="00746B01" w:rsidRDefault="00746B01" w:rsidP="004F27CE">
      <w:pPr>
        <w:pStyle w:val="ListParagraph"/>
        <w:numPr>
          <w:ilvl w:val="0"/>
          <w:numId w:val="19"/>
        </w:numPr>
        <w:tabs>
          <w:tab w:val="center" w:pos="5040"/>
        </w:tabs>
        <w:jc w:val="both"/>
      </w:pPr>
      <w:r>
        <w:t>Change molting probability function fr</w:t>
      </w:r>
      <w:r w:rsidR="00987E40">
        <w:t>o</w:t>
      </w:r>
      <w:r>
        <w:t>m 1 t</w:t>
      </w:r>
      <w:r w:rsidR="003D2E41">
        <w:t>o 2 parameter logistic.  Assume</w:t>
      </w:r>
      <w:r>
        <w:t xml:space="preserve"> molting probability </w:t>
      </w:r>
      <w:r w:rsidR="003D2E41">
        <w:t xml:space="preserve">not reaching 1 </w:t>
      </w:r>
      <w:r>
        <w:t xml:space="preserve">for the smallest length class. </w:t>
      </w:r>
    </w:p>
    <w:p w:rsidR="00746B01" w:rsidRDefault="00746B01" w:rsidP="00746B01"/>
    <w:p w:rsidR="000F351B" w:rsidRDefault="000F351B" w:rsidP="000F351B">
      <w:pPr>
        <w:tabs>
          <w:tab w:val="center" w:pos="5040"/>
        </w:tabs>
        <w:ind w:firstLine="720"/>
        <w:jc w:val="both"/>
      </w:pPr>
      <w:r>
        <w:t>2018 (NPFMC 2018</w:t>
      </w:r>
      <w:r w:rsidRPr="000332FA">
        <w:t>)</w:t>
      </w:r>
      <w:r>
        <w:tab/>
      </w:r>
    </w:p>
    <w:p w:rsidR="000F351B" w:rsidRDefault="000F351B" w:rsidP="00E143C5">
      <w:pPr>
        <w:pStyle w:val="ListParagraph"/>
        <w:numPr>
          <w:ilvl w:val="1"/>
          <w:numId w:val="4"/>
        </w:numPr>
        <w:tabs>
          <w:tab w:val="center" w:pos="5040"/>
        </w:tabs>
        <w:ind w:left="1080"/>
        <w:jc w:val="both"/>
      </w:pPr>
      <w:r>
        <w:t>No model change</w:t>
      </w:r>
      <w:r w:rsidR="001116CF">
        <w:t>s</w:t>
      </w:r>
      <w:r>
        <w:t>.</w:t>
      </w:r>
      <w:r w:rsidR="00E143C5">
        <w:t xml:space="preserve"> Same as 2017 model configuration </w:t>
      </w:r>
    </w:p>
    <w:p w:rsidR="00E143C5" w:rsidRDefault="00E143C5" w:rsidP="00E143C5">
      <w:pPr>
        <w:tabs>
          <w:tab w:val="center" w:pos="5040"/>
        </w:tabs>
        <w:ind w:left="1080"/>
        <w:jc w:val="both"/>
      </w:pPr>
    </w:p>
    <w:p w:rsidR="00D63DF7" w:rsidRPr="007D7BB6" w:rsidRDefault="00D63DF7" w:rsidP="007D7BB6">
      <w:pPr>
        <w:ind w:left="720"/>
      </w:pPr>
    </w:p>
    <w:p w:rsidR="006E7796" w:rsidRPr="006F6CCF" w:rsidRDefault="00F5323E" w:rsidP="004F27CE">
      <w:pPr>
        <w:pStyle w:val="ListParagraph"/>
        <w:numPr>
          <w:ilvl w:val="0"/>
          <w:numId w:val="4"/>
        </w:numPr>
        <w:spacing w:line="360" w:lineRule="auto"/>
        <w:jc w:val="both"/>
        <w:rPr>
          <w:b/>
        </w:rPr>
      </w:pPr>
      <w:r w:rsidRPr="00444865">
        <w:rPr>
          <w:b/>
        </w:rPr>
        <w:t xml:space="preserve">Model </w:t>
      </w:r>
      <w:r w:rsidR="00391098">
        <w:rPr>
          <w:b/>
        </w:rPr>
        <w:t>Description</w:t>
      </w:r>
    </w:p>
    <w:p w:rsidR="00465F79" w:rsidRDefault="00DB30DD" w:rsidP="004F27CE">
      <w:pPr>
        <w:pStyle w:val="ListParagraph"/>
        <w:numPr>
          <w:ilvl w:val="0"/>
          <w:numId w:val="5"/>
        </w:numPr>
        <w:spacing w:after="120"/>
        <w:ind w:left="1080"/>
        <w:contextualSpacing w:val="0"/>
        <w:jc w:val="both"/>
      </w:pPr>
      <w:r>
        <w:t xml:space="preserve">Description of overall modeling approach: </w:t>
      </w:r>
    </w:p>
    <w:p w:rsidR="00144BAC" w:rsidRDefault="001968D1" w:rsidP="00465F79">
      <w:pPr>
        <w:pStyle w:val="ListParagraph"/>
        <w:spacing w:after="120"/>
        <w:ind w:left="1080"/>
        <w:contextualSpacing w:val="0"/>
        <w:jc w:val="both"/>
      </w:pPr>
      <w:r>
        <w:t xml:space="preserve">The model </w:t>
      </w:r>
      <w:r w:rsidR="00A873AA">
        <w:t xml:space="preserve">is a male-only </w:t>
      </w:r>
      <w:r w:rsidR="00DB30DD">
        <w:t xml:space="preserve">size structured model that </w:t>
      </w:r>
      <w:r w:rsidR="008F3270" w:rsidRPr="00BD3CF5">
        <w:t>combine</w:t>
      </w:r>
      <w:r w:rsidR="007E2957">
        <w:t>s</w:t>
      </w:r>
      <w:r w:rsidR="008F3270" w:rsidRPr="00BD3CF5">
        <w:t xml:space="preserve"> multiple sources of survey, catch, and mark-recovery data </w:t>
      </w:r>
      <w:r w:rsidR="008F3270">
        <w:t>using a</w:t>
      </w:r>
      <w:r w:rsidR="008F3270" w:rsidRPr="00BD3CF5">
        <w:t xml:space="preserve"> maximum likelihood approach to e</w:t>
      </w:r>
      <w:r w:rsidR="000370F0">
        <w:t>stimate abundance, recruitment, catchability</w:t>
      </w:r>
      <w:r w:rsidR="00A729C8" w:rsidRPr="00BD3CF5">
        <w:t xml:space="preserve"> of the commercial pot gear</w:t>
      </w:r>
      <w:r w:rsidR="007E2957">
        <w:t>,</w:t>
      </w:r>
      <w:r w:rsidR="00A729C8">
        <w:t xml:space="preserve"> and parameters for </w:t>
      </w:r>
      <w:r w:rsidR="005907DF">
        <w:t>selectivity</w:t>
      </w:r>
      <w:r w:rsidR="00A729C8">
        <w:t xml:space="preserve"> </w:t>
      </w:r>
      <w:r w:rsidR="007E2957">
        <w:t>and</w:t>
      </w:r>
      <w:r w:rsidR="00A729C8">
        <w:t xml:space="preserve"> molting probabilities</w:t>
      </w:r>
      <w:r w:rsidR="007440FE">
        <w:t xml:space="preserve"> (See </w:t>
      </w:r>
      <w:r w:rsidR="000865A5">
        <w:t>Appendix A</w:t>
      </w:r>
      <w:r w:rsidR="007440FE">
        <w:t xml:space="preserve"> for full model description)</w:t>
      </w:r>
      <w:r w:rsidR="000865A5">
        <w:t>.</w:t>
      </w:r>
      <w:r w:rsidR="00144BAC">
        <w:t xml:space="preserve">  </w:t>
      </w:r>
    </w:p>
    <w:p w:rsidR="002E09E9" w:rsidRDefault="00144BAC" w:rsidP="00465F79">
      <w:pPr>
        <w:pStyle w:val="ListParagraph"/>
        <w:spacing w:after="120"/>
        <w:ind w:left="1080"/>
        <w:contextualSpacing w:val="0"/>
        <w:jc w:val="both"/>
      </w:pPr>
      <w:r>
        <w:t>Unlike other crab assessment models, NSRK modeling year is starts from February 1</w:t>
      </w:r>
      <w:r w:rsidRPr="00144BAC">
        <w:rPr>
          <w:vertAlign w:val="superscript"/>
        </w:rPr>
        <w:t>st</w:t>
      </w:r>
      <w:r>
        <w:t xml:space="preserve"> to January 31</w:t>
      </w:r>
      <w:r w:rsidRPr="00144BAC">
        <w:rPr>
          <w:vertAlign w:val="superscript"/>
        </w:rPr>
        <w:t>st</w:t>
      </w:r>
      <w:r>
        <w:t xml:space="preserve"> of the following year.   This schedule was selected because Norton Sound winter crab fisheries can start when Norton Sound ice become thick enough to </w:t>
      </w:r>
      <w:r w:rsidR="0039004F">
        <w:t xml:space="preserve">operate fishery safely, which can be as earliest as mid-late January. </w:t>
      </w:r>
    </w:p>
    <w:p w:rsidR="00144BAC" w:rsidRDefault="00144BAC" w:rsidP="00465F79">
      <w:pPr>
        <w:pStyle w:val="ListParagraph"/>
        <w:spacing w:after="120"/>
        <w:ind w:left="1080"/>
        <w:contextualSpacing w:val="0"/>
        <w:jc w:val="both"/>
      </w:pPr>
    </w:p>
    <w:p w:rsidR="00631A30" w:rsidRDefault="007440FE" w:rsidP="00631A30">
      <w:pPr>
        <w:pStyle w:val="ListParagraph"/>
        <w:spacing w:after="120"/>
        <w:jc w:val="both"/>
      </w:pPr>
      <w:r>
        <w:t>b-f. See A</w:t>
      </w:r>
      <w:r w:rsidR="00631A30">
        <w:t>ppendix</w:t>
      </w:r>
      <w:r>
        <w:t xml:space="preserve"> A</w:t>
      </w:r>
      <w:r w:rsidR="00631A30">
        <w:t>.</w:t>
      </w:r>
    </w:p>
    <w:p w:rsidR="00631A30" w:rsidRDefault="00631A30" w:rsidP="00631A30">
      <w:pPr>
        <w:pStyle w:val="ListParagraph"/>
        <w:spacing w:after="120"/>
        <w:jc w:val="both"/>
      </w:pPr>
    </w:p>
    <w:p w:rsidR="00B55AF7" w:rsidRDefault="00B55AF7" w:rsidP="004F27CE">
      <w:pPr>
        <w:pStyle w:val="ListParagraph"/>
        <w:numPr>
          <w:ilvl w:val="0"/>
          <w:numId w:val="6"/>
        </w:numPr>
        <w:spacing w:after="120"/>
        <w:ind w:left="1080"/>
        <w:jc w:val="both"/>
      </w:pPr>
      <w:r>
        <w:t>Critical assumptions of the model:</w:t>
      </w:r>
    </w:p>
    <w:p w:rsidR="00707668" w:rsidRDefault="00707668" w:rsidP="00707668">
      <w:pPr>
        <w:pStyle w:val="ListParagraph"/>
        <w:spacing w:after="120"/>
        <w:ind w:left="1080"/>
        <w:jc w:val="both"/>
      </w:pPr>
    </w:p>
    <w:p w:rsidR="007A4AEE" w:rsidRDefault="00465F79" w:rsidP="004F27CE">
      <w:pPr>
        <w:numPr>
          <w:ilvl w:val="0"/>
          <w:numId w:val="9"/>
        </w:numPr>
        <w:tabs>
          <w:tab w:val="left" w:pos="720"/>
          <w:tab w:val="left" w:pos="1440"/>
        </w:tabs>
        <w:spacing w:after="120"/>
        <w:jc w:val="both"/>
      </w:pPr>
      <w:r>
        <w:t xml:space="preserve">Male crab </w:t>
      </w:r>
      <w:proofErr w:type="gramStart"/>
      <w:r>
        <w:t>mature</w:t>
      </w:r>
      <w:proofErr w:type="gramEnd"/>
      <w:r>
        <w:t xml:space="preserve"> at CL length 94mm.</w:t>
      </w:r>
    </w:p>
    <w:p w:rsidR="00144BAC" w:rsidRPr="003D2E41" w:rsidRDefault="007A4AEE" w:rsidP="00144BAC">
      <w:pPr>
        <w:tabs>
          <w:tab w:val="left" w:pos="720"/>
          <w:tab w:val="left" w:pos="1440"/>
        </w:tabs>
        <w:spacing w:after="120"/>
        <w:ind w:left="1440"/>
        <w:jc w:val="both"/>
        <w:rPr>
          <w:sz w:val="22"/>
          <w:szCs w:val="22"/>
        </w:rPr>
      </w:pPr>
      <w:r w:rsidRPr="007A4AEE">
        <w:rPr>
          <w:sz w:val="22"/>
          <w:szCs w:val="22"/>
        </w:rPr>
        <w:t>Size at maturity of NSRKC (CL 94 mm) was determined by adjusting that of BBRKC (CL 120mm) reflect</w:t>
      </w:r>
      <w:r w:rsidR="005F3907">
        <w:rPr>
          <w:sz w:val="22"/>
          <w:szCs w:val="22"/>
        </w:rPr>
        <w:t xml:space="preserve"> the</w:t>
      </w:r>
      <w:r w:rsidRPr="007A4AEE">
        <w:rPr>
          <w:sz w:val="22"/>
          <w:szCs w:val="22"/>
        </w:rPr>
        <w:t xml:space="preserve"> slower growth and smaller size</w:t>
      </w:r>
      <w:r w:rsidR="005F3907">
        <w:rPr>
          <w:sz w:val="22"/>
          <w:szCs w:val="22"/>
        </w:rPr>
        <w:t xml:space="preserve"> of NSRKC</w:t>
      </w:r>
      <w:r w:rsidR="006C4C54">
        <w:rPr>
          <w:sz w:val="22"/>
          <w:szCs w:val="22"/>
        </w:rPr>
        <w:t xml:space="preserve">. </w:t>
      </w:r>
      <w:r w:rsidRPr="007A4AEE">
        <w:rPr>
          <w:sz w:val="22"/>
          <w:szCs w:val="22"/>
        </w:rPr>
        <w:t xml:space="preserve"> </w:t>
      </w:r>
    </w:p>
    <w:p w:rsidR="00465F79" w:rsidRDefault="00F928A3" w:rsidP="004F27CE">
      <w:pPr>
        <w:pStyle w:val="ListParagraph"/>
        <w:numPr>
          <w:ilvl w:val="0"/>
          <w:numId w:val="9"/>
        </w:numPr>
        <w:tabs>
          <w:tab w:val="left" w:pos="720"/>
          <w:tab w:val="left" w:pos="1440"/>
        </w:tabs>
        <w:spacing w:after="120"/>
        <w:jc w:val="both"/>
      </w:pPr>
      <w:r>
        <w:t xml:space="preserve">Molting </w:t>
      </w:r>
      <w:r w:rsidR="005F3907">
        <w:t>occurs</w:t>
      </w:r>
      <w:r>
        <w:t xml:space="preserve"> in </w:t>
      </w:r>
      <w:r w:rsidR="005F3907">
        <w:t xml:space="preserve">the </w:t>
      </w:r>
      <w:r>
        <w:t xml:space="preserve">fall after the </w:t>
      </w:r>
      <w:r w:rsidR="003D2E41">
        <w:t xml:space="preserve">summer </w:t>
      </w:r>
      <w:r>
        <w:t>fishery</w:t>
      </w:r>
    </w:p>
    <w:p w:rsidR="004F297E" w:rsidRPr="00DB2066" w:rsidRDefault="00241A52" w:rsidP="004F27CE">
      <w:pPr>
        <w:numPr>
          <w:ilvl w:val="0"/>
          <w:numId w:val="9"/>
        </w:numPr>
        <w:tabs>
          <w:tab w:val="left" w:pos="720"/>
          <w:tab w:val="left" w:pos="1440"/>
        </w:tabs>
        <w:spacing w:after="120"/>
        <w:jc w:val="both"/>
      </w:pPr>
      <w:r>
        <w:t>Instantaneous n</w:t>
      </w:r>
      <w:r w:rsidR="00631A30" w:rsidRPr="003C7AC1">
        <w:t>atural m</w:t>
      </w:r>
      <w:r>
        <w:t xml:space="preserve">ortality </w:t>
      </w:r>
      <w:r w:rsidRPr="00241A52">
        <w:rPr>
          <w:i/>
        </w:rPr>
        <w:t>M</w:t>
      </w:r>
      <w:r>
        <w:t xml:space="preserve"> is </w:t>
      </w:r>
      <w:r w:rsidR="00AE4901">
        <w:t>0.18</w:t>
      </w:r>
      <w:r w:rsidR="007440FE">
        <w:t xml:space="preserve"> </w:t>
      </w:r>
      <w:r w:rsidR="00ED7CDA">
        <w:t xml:space="preserve">for all </w:t>
      </w:r>
      <w:r w:rsidR="007E35CD">
        <w:t>length class</w:t>
      </w:r>
      <w:r w:rsidR="00ED7CDA">
        <w:t>es</w:t>
      </w:r>
      <w:r w:rsidR="007E35CD">
        <w:t xml:space="preserve">, except for the </w:t>
      </w:r>
      <w:r w:rsidR="007E35CD" w:rsidRPr="007E35CD">
        <w:t xml:space="preserve">last length group </w:t>
      </w:r>
      <w:r w:rsidR="00ED7CDA">
        <w:t>(&gt; 123mm)</w:t>
      </w:r>
      <w:r w:rsidR="00D359DE">
        <w:t xml:space="preserve">. </w:t>
      </w:r>
    </w:p>
    <w:p w:rsidR="00964610" w:rsidRPr="00C73814" w:rsidRDefault="000370F0" w:rsidP="004F27CE">
      <w:pPr>
        <w:numPr>
          <w:ilvl w:val="0"/>
          <w:numId w:val="9"/>
        </w:numPr>
        <w:tabs>
          <w:tab w:val="left" w:pos="720"/>
          <w:tab w:val="left" w:pos="1440"/>
        </w:tabs>
        <w:spacing w:after="120"/>
        <w:jc w:val="both"/>
      </w:pPr>
      <w:r w:rsidRPr="00C73814">
        <w:t>Trawl s</w:t>
      </w:r>
      <w:r w:rsidR="00C73814">
        <w:t>urvey selectivity</w:t>
      </w:r>
      <w:r w:rsidRPr="00C73814">
        <w:t xml:space="preserve"> is </w:t>
      </w:r>
      <w:r w:rsidR="00FA0097">
        <w:t xml:space="preserve">a </w:t>
      </w:r>
      <w:r w:rsidR="00C1191A">
        <w:t>logistic</w:t>
      </w:r>
      <w:r w:rsidR="00FA0097">
        <w:t xml:space="preserve"> function with</w:t>
      </w:r>
      <w:r w:rsidR="007E35CD" w:rsidRPr="00C73814">
        <w:t xml:space="preserve"> </w:t>
      </w:r>
      <w:r w:rsidRPr="00C73814">
        <w:t xml:space="preserve">1.0 for </w:t>
      </w:r>
      <w:r w:rsidR="00105FFD">
        <w:t xml:space="preserve">length classes </w:t>
      </w:r>
      <w:r w:rsidR="00FA0097">
        <w:t>5</w:t>
      </w:r>
      <w:r w:rsidR="00633BE9">
        <w:t>-6</w:t>
      </w:r>
      <w:proofErr w:type="gramStart"/>
      <w:r w:rsidR="002A06C1">
        <w:t>. .</w:t>
      </w:r>
      <w:proofErr w:type="gramEnd"/>
      <w:r w:rsidR="002A06C1">
        <w:t xml:space="preserve"> </w:t>
      </w:r>
      <w:r w:rsidR="00964610">
        <w:t>Selectivity is constant over time</w:t>
      </w:r>
      <w:r w:rsidR="002A06C1">
        <w:t xml:space="preserve">. </w:t>
      </w:r>
    </w:p>
    <w:p w:rsidR="00C73814" w:rsidRPr="007E35CD" w:rsidRDefault="00C73814" w:rsidP="00DB2066">
      <w:pPr>
        <w:tabs>
          <w:tab w:val="left" w:pos="720"/>
          <w:tab w:val="left" w:pos="1440"/>
        </w:tabs>
        <w:ind w:left="1080"/>
        <w:jc w:val="both"/>
        <w:rPr>
          <w:sz w:val="21"/>
          <w:szCs w:val="21"/>
        </w:rPr>
      </w:pPr>
    </w:p>
    <w:p w:rsidR="00015099" w:rsidRDefault="00C73814" w:rsidP="004F27CE">
      <w:pPr>
        <w:numPr>
          <w:ilvl w:val="0"/>
          <w:numId w:val="9"/>
        </w:numPr>
        <w:tabs>
          <w:tab w:val="left" w:pos="720"/>
          <w:tab w:val="left" w:pos="1440"/>
        </w:tabs>
        <w:spacing w:after="120"/>
        <w:jc w:val="both"/>
      </w:pPr>
      <w:r>
        <w:t>W</w:t>
      </w:r>
      <w:r w:rsidR="000370F0">
        <w:t xml:space="preserve">inter </w:t>
      </w:r>
      <w:r>
        <w:t xml:space="preserve">pot </w:t>
      </w:r>
      <w:r w:rsidR="000370F0">
        <w:t>survey</w:t>
      </w:r>
      <w:r w:rsidR="00250C91">
        <w:t xml:space="preserve"> selectivity </w:t>
      </w:r>
      <w:r>
        <w:t xml:space="preserve">is a dome shaped function: </w:t>
      </w:r>
      <w:r w:rsidR="00441189">
        <w:t xml:space="preserve">Reverse </w:t>
      </w:r>
      <w:r w:rsidR="00C1191A">
        <w:t>logistic</w:t>
      </w:r>
      <w:r w:rsidR="00441189">
        <w:t xml:space="preserve"> function of </w:t>
      </w:r>
      <w:r w:rsidR="00484235">
        <w:t xml:space="preserve">1.0 for length class </w:t>
      </w:r>
      <w:r w:rsidR="00441189">
        <w:t>CL 84mm</w:t>
      </w:r>
      <w:r w:rsidR="00484235">
        <w:t xml:space="preserve">, </w:t>
      </w:r>
      <w:r w:rsidRPr="00C73814">
        <w:t xml:space="preserve">and </w:t>
      </w:r>
      <w:r w:rsidR="00015099">
        <w:t xml:space="preserve">model estimate </w:t>
      </w:r>
      <w:r w:rsidR="00441189">
        <w:t>for CL &lt; 84mm length classes</w:t>
      </w:r>
      <w:r w:rsidR="002A06C1">
        <w:t xml:space="preserve">. </w:t>
      </w:r>
      <w:r w:rsidR="00964610">
        <w:t>Selectivity is constant over time</w:t>
      </w:r>
      <w:r w:rsidR="002A06C1">
        <w:t xml:space="preserve">. </w:t>
      </w:r>
    </w:p>
    <w:p w:rsidR="00F61CC4" w:rsidRPr="003B7D3E" w:rsidRDefault="00822A09" w:rsidP="00F61CC4">
      <w:pPr>
        <w:pStyle w:val="ListParagraph"/>
        <w:tabs>
          <w:tab w:val="left" w:pos="720"/>
        </w:tabs>
        <w:ind w:left="1440"/>
        <w:jc w:val="both"/>
      </w:pPr>
      <w:r w:rsidRPr="003B7D3E">
        <w:t xml:space="preserve">This assumption is </w:t>
      </w:r>
      <w:proofErr w:type="gramStart"/>
      <w:r w:rsidRPr="003B7D3E">
        <w:t xml:space="preserve">based on </w:t>
      </w:r>
      <w:r w:rsidR="00C10A20" w:rsidRPr="003B7D3E">
        <w:t>the fact that</w:t>
      </w:r>
      <w:proofErr w:type="gramEnd"/>
      <w:r w:rsidR="00C10A20" w:rsidRPr="003B7D3E">
        <w:t xml:space="preserve"> </w:t>
      </w:r>
      <w:r w:rsidR="00F73E36">
        <w:t xml:space="preserve">a </w:t>
      </w:r>
      <w:r w:rsidR="003B7D3E">
        <w:t xml:space="preserve">low proportion of </w:t>
      </w:r>
      <w:r w:rsidRPr="003B7D3E">
        <w:t xml:space="preserve">large crab </w:t>
      </w:r>
      <w:r w:rsidR="00F73E36">
        <w:t xml:space="preserve">are </w:t>
      </w:r>
      <w:r w:rsidR="00F61CC4" w:rsidRPr="003B7D3E">
        <w:t xml:space="preserve">caught </w:t>
      </w:r>
      <w:r w:rsidR="003B7D3E">
        <w:t>in</w:t>
      </w:r>
      <w:r w:rsidR="00F73E36">
        <w:t xml:space="preserve"> the</w:t>
      </w:r>
      <w:r w:rsidR="003B7D3E">
        <w:t xml:space="preserve"> near</w:t>
      </w:r>
      <w:r w:rsidRPr="003B7D3E">
        <w:t>shore area where winter surveys occur</w:t>
      </w:r>
      <w:r w:rsidR="002A06C1" w:rsidRPr="003B7D3E">
        <w:t xml:space="preserve">. </w:t>
      </w:r>
      <w:r w:rsidR="00F61CC4" w:rsidRPr="003B7D3E">
        <w:t xml:space="preserve">Causes of this </w:t>
      </w:r>
      <w:r w:rsidR="00F73E36">
        <w:t>pattern may be</w:t>
      </w:r>
      <w:r w:rsidR="00884D8B">
        <w:t xml:space="preserve"> that</w:t>
      </w:r>
      <w:r w:rsidR="00F61CC4" w:rsidRPr="003B7D3E">
        <w:t xml:space="preserve"> (1) larg</w:t>
      </w:r>
      <w:r w:rsidR="003B7D3E">
        <w:t>e crab do not migrate into near</w:t>
      </w:r>
      <w:r w:rsidR="00F61CC4" w:rsidRPr="003B7D3E">
        <w:t xml:space="preserve">shore </w:t>
      </w:r>
      <w:r w:rsidR="00F73E36">
        <w:t xml:space="preserve">waters </w:t>
      </w:r>
      <w:r w:rsidR="00F61CC4" w:rsidRPr="003B7D3E">
        <w:t>in winter or (2) large crab are fished out by winter fisheries where the survey occurs (i.e., local depletion)</w:t>
      </w:r>
      <w:r w:rsidR="006C4C54" w:rsidRPr="003B7D3E">
        <w:t xml:space="preserve">. </w:t>
      </w:r>
      <w:r w:rsidR="00F61CC4" w:rsidRPr="003B7D3E">
        <w:t xml:space="preserve">Recent studies suggest that the </w:t>
      </w:r>
      <w:r w:rsidR="00F73E36">
        <w:t>first explanation is more likely than second</w:t>
      </w:r>
      <w:r w:rsidR="009F3035" w:rsidRPr="003B7D3E">
        <w:t xml:space="preserve"> (Jen</w:t>
      </w:r>
      <w:r w:rsidR="000E72C2">
        <w:t>e</w:t>
      </w:r>
      <w:r w:rsidR="009F3035" w:rsidRPr="003B7D3E">
        <w:t>fer Bell, ADFG, personal communication)</w:t>
      </w:r>
      <w:r w:rsidR="00F61CC4" w:rsidRPr="003B7D3E">
        <w:t xml:space="preserve">. </w:t>
      </w:r>
      <w:r w:rsidR="003B7D3E">
        <w:t xml:space="preserve"> </w:t>
      </w:r>
    </w:p>
    <w:p w:rsidR="00720A1F" w:rsidRPr="00720A1F" w:rsidRDefault="00720A1F" w:rsidP="00720A1F">
      <w:pPr>
        <w:tabs>
          <w:tab w:val="left" w:pos="720"/>
        </w:tabs>
        <w:jc w:val="both"/>
        <w:rPr>
          <w:sz w:val="21"/>
          <w:szCs w:val="21"/>
        </w:rPr>
      </w:pPr>
    </w:p>
    <w:p w:rsidR="007B512D" w:rsidRPr="007B512D" w:rsidRDefault="007B512D" w:rsidP="007B512D">
      <w:pPr>
        <w:pStyle w:val="ListParagraph"/>
        <w:tabs>
          <w:tab w:val="left" w:pos="720"/>
        </w:tabs>
        <w:ind w:left="1440"/>
        <w:jc w:val="both"/>
        <w:rPr>
          <w:sz w:val="21"/>
          <w:szCs w:val="21"/>
        </w:rPr>
      </w:pPr>
    </w:p>
    <w:p w:rsidR="00EC5423" w:rsidRDefault="00250C91" w:rsidP="004F27CE">
      <w:pPr>
        <w:numPr>
          <w:ilvl w:val="0"/>
          <w:numId w:val="9"/>
        </w:numPr>
        <w:tabs>
          <w:tab w:val="left" w:pos="720"/>
          <w:tab w:val="left" w:pos="1440"/>
        </w:tabs>
        <w:spacing w:after="120"/>
        <w:jc w:val="both"/>
      </w:pPr>
      <w:r>
        <w:t>Summer commercial f</w:t>
      </w:r>
      <w:r w:rsidR="00631A30" w:rsidRPr="003C7AC1">
        <w:t>isheries</w:t>
      </w:r>
      <w:r w:rsidR="00626268">
        <w:t xml:space="preserve"> selectivity </w:t>
      </w:r>
      <w:r>
        <w:t>is a</w:t>
      </w:r>
      <w:r w:rsidR="00FA0097">
        <w:t>n</w:t>
      </w:r>
      <w:r>
        <w:t xml:space="preserve"> </w:t>
      </w:r>
      <w:r w:rsidR="00FA0097">
        <w:t xml:space="preserve">asymptotic </w:t>
      </w:r>
      <w:r w:rsidR="00C1191A">
        <w:t>logistic</w:t>
      </w:r>
      <w:r w:rsidR="000370F0">
        <w:t xml:space="preserve"> </w:t>
      </w:r>
      <w:r>
        <w:t xml:space="preserve">function of </w:t>
      </w:r>
      <w:r w:rsidR="00FA0097">
        <w:t xml:space="preserve">1.0 </w:t>
      </w:r>
      <w:r>
        <w:t xml:space="preserve">at the length class </w:t>
      </w:r>
      <w:r w:rsidR="00283A0A">
        <w:t>CL 13</w:t>
      </w:r>
      <w:r w:rsidR="00441189">
        <w:t>4mm</w:t>
      </w:r>
      <w:r w:rsidR="002A06C1">
        <w:t xml:space="preserve">. </w:t>
      </w:r>
      <w:r w:rsidR="006B4ED0">
        <w:t xml:space="preserve">While </w:t>
      </w:r>
      <w:r w:rsidR="00F73E36">
        <w:t>the fishery</w:t>
      </w:r>
      <w:r w:rsidR="006B4ED0">
        <w:t xml:space="preserve"> changed greatly between the period</w:t>
      </w:r>
      <w:r w:rsidR="00F73E36">
        <w:t>s (</w:t>
      </w:r>
      <w:r w:rsidR="008047A3">
        <w:t>1977-1992</w:t>
      </w:r>
      <w:r w:rsidR="002D4F51">
        <w:t xml:space="preserve"> and </w:t>
      </w:r>
      <w:r w:rsidR="00B875DC">
        <w:t>1993</w:t>
      </w:r>
      <w:r w:rsidR="006B4ED0">
        <w:t>-present</w:t>
      </w:r>
      <w:r w:rsidR="00F73E36">
        <w:t>)</w:t>
      </w:r>
      <w:r w:rsidR="006B4ED0">
        <w:t xml:space="preserve"> in terms of </w:t>
      </w:r>
      <w:r w:rsidR="00631A30">
        <w:t xml:space="preserve">fishing vessel composition and pot </w:t>
      </w:r>
      <w:r w:rsidR="002D4F51">
        <w:t>configuration</w:t>
      </w:r>
      <w:r w:rsidR="006B4ED0">
        <w:t xml:space="preserve">, </w:t>
      </w:r>
      <w:r w:rsidR="00514C51">
        <w:t xml:space="preserve">the </w:t>
      </w:r>
      <w:r w:rsidR="006B4ED0">
        <w:t>selectivit</w:t>
      </w:r>
      <w:r w:rsidR="00514C51">
        <w:t>y</w:t>
      </w:r>
      <w:r w:rsidR="006B4ED0">
        <w:t xml:space="preserve"> of </w:t>
      </w:r>
      <w:r w:rsidR="00514C51">
        <w:t xml:space="preserve">each </w:t>
      </w:r>
      <w:r w:rsidR="006B4ED0">
        <w:t>period w</w:t>
      </w:r>
      <w:r w:rsidR="00514C51">
        <w:t>as</w:t>
      </w:r>
      <w:r w:rsidR="006B4ED0">
        <w:t xml:space="preserve"> assumed to be identical</w:t>
      </w:r>
      <w:r w:rsidR="006C4C54">
        <w:t xml:space="preserve">. </w:t>
      </w:r>
      <w:r w:rsidR="006B4ED0">
        <w:t xml:space="preserve">Model fits of separating and combining </w:t>
      </w:r>
      <w:r w:rsidR="00F73E36">
        <w:t xml:space="preserve">the </w:t>
      </w:r>
      <w:r w:rsidR="006B4ED0">
        <w:t xml:space="preserve">two periods were examined in </w:t>
      </w:r>
      <w:proofErr w:type="gramStart"/>
      <w:r w:rsidR="006B4ED0">
        <w:t xml:space="preserve">2015, </w:t>
      </w:r>
      <w:r w:rsidR="00F73E36">
        <w:t>and</w:t>
      </w:r>
      <w:proofErr w:type="gramEnd"/>
      <w:r w:rsidR="00441189">
        <w:t xml:space="preserve"> showed no difference between the two models (</w:t>
      </w:r>
      <w:r w:rsidR="00191D1A">
        <w:t>NPFMC</w:t>
      </w:r>
      <w:r w:rsidR="00441189">
        <w:t xml:space="preserve"> 2015)</w:t>
      </w:r>
      <w:r w:rsidR="006C4C54">
        <w:t xml:space="preserve">. </w:t>
      </w:r>
      <w:r w:rsidR="00441189">
        <w:t xml:space="preserve">For model parsimony, the two were combined. </w:t>
      </w:r>
    </w:p>
    <w:p w:rsidR="00441189" w:rsidRDefault="00441189" w:rsidP="00441189">
      <w:pPr>
        <w:tabs>
          <w:tab w:val="left" w:pos="720"/>
          <w:tab w:val="left" w:pos="1440"/>
        </w:tabs>
        <w:spacing w:after="120"/>
        <w:ind w:left="1440"/>
        <w:jc w:val="both"/>
      </w:pPr>
    </w:p>
    <w:p w:rsidR="00441189" w:rsidRPr="00441189" w:rsidRDefault="00441189" w:rsidP="0095045F">
      <w:pPr>
        <w:numPr>
          <w:ilvl w:val="0"/>
          <w:numId w:val="9"/>
        </w:numPr>
        <w:tabs>
          <w:tab w:val="left" w:pos="720"/>
          <w:tab w:val="left" w:pos="1440"/>
        </w:tabs>
        <w:spacing w:after="120"/>
        <w:jc w:val="both"/>
      </w:pPr>
      <w:r>
        <w:t>Summer trawl survey selectivity is an asymptotic logistic function of 1.0 at the length of CL 124mm</w:t>
      </w:r>
      <w:r w:rsidR="006C4C54">
        <w:t xml:space="preserve">. </w:t>
      </w:r>
      <w:r>
        <w:t>While the survey changed greatly between NOAA (1976-1991) and ADF&amp;G (1996-present) in terms of survey vessel</w:t>
      </w:r>
      <w:r w:rsidR="00B35FF9">
        <w:t xml:space="preserve"> and </w:t>
      </w:r>
      <w:r>
        <w:t>trawl net structure, selectivity of both periods w</w:t>
      </w:r>
      <w:r w:rsidR="00B35FF9">
        <w:t>as</w:t>
      </w:r>
      <w:r>
        <w:t xml:space="preserve"> assumed to be identical</w:t>
      </w:r>
      <w:r w:rsidR="006C4C54">
        <w:t xml:space="preserve">. </w:t>
      </w:r>
      <w:r>
        <w:t xml:space="preserve">Model fits separating and combining </w:t>
      </w:r>
      <w:r w:rsidR="00B35FF9">
        <w:t xml:space="preserve">the </w:t>
      </w:r>
      <w:r>
        <w:t>two surveys were examined in 2015</w:t>
      </w:r>
      <w:r w:rsidR="00B35FF9">
        <w:t>. No differences</w:t>
      </w:r>
      <w:r>
        <w:t xml:space="preserve"> between the two model</w:t>
      </w:r>
      <w:r w:rsidR="00846FDA">
        <w:t>s</w:t>
      </w:r>
      <w:r w:rsidR="00B35FF9">
        <w:t xml:space="preserve"> were observed </w:t>
      </w:r>
      <w:r>
        <w:t>(</w:t>
      </w:r>
      <w:r w:rsidR="00191D1A">
        <w:t>NPFMC</w:t>
      </w:r>
      <w:r>
        <w:t xml:space="preserve"> 2015)</w:t>
      </w:r>
      <w:r w:rsidR="00B35FF9">
        <w:t xml:space="preserve"> and</w:t>
      </w:r>
      <w:r>
        <w:t xml:space="preserve"> </w:t>
      </w:r>
      <w:r w:rsidR="00B35FF9">
        <w:t>f</w:t>
      </w:r>
      <w:r>
        <w:t xml:space="preserve">or model parsimony the two were combined. </w:t>
      </w:r>
    </w:p>
    <w:p w:rsidR="000370F0" w:rsidRDefault="000370F0" w:rsidP="004F27CE">
      <w:pPr>
        <w:numPr>
          <w:ilvl w:val="0"/>
          <w:numId w:val="9"/>
        </w:numPr>
        <w:tabs>
          <w:tab w:val="left" w:pos="720"/>
          <w:tab w:val="left" w:pos="1440"/>
        </w:tabs>
        <w:spacing w:after="120"/>
        <w:jc w:val="both"/>
      </w:pPr>
      <w:r>
        <w:lastRenderedPageBreak/>
        <w:t>Winter commercial and subsistence fishery selectivity and length-shell condi</w:t>
      </w:r>
      <w:r w:rsidR="00B1099C">
        <w:t xml:space="preserve">tions are the same as those of </w:t>
      </w:r>
      <w:r w:rsidR="00EB0639">
        <w:t xml:space="preserve">the </w:t>
      </w:r>
      <w:r w:rsidR="00B1099C">
        <w:t>w</w:t>
      </w:r>
      <w:r>
        <w:t>inter pot survey</w:t>
      </w:r>
      <w:r w:rsidR="002A06C1">
        <w:t xml:space="preserve">. </w:t>
      </w:r>
      <w:r w:rsidR="005A40C2">
        <w:t>All wint</w:t>
      </w:r>
      <w:r w:rsidR="007B512D">
        <w:t xml:space="preserve">er commercial and </w:t>
      </w:r>
      <w:r w:rsidR="00F61CC4">
        <w:t>subsistence harvests occur</w:t>
      </w:r>
      <w:r w:rsidR="007B512D">
        <w:t xml:space="preserve"> February 1</w:t>
      </w:r>
      <w:r w:rsidR="007B512D" w:rsidRPr="007B512D">
        <w:rPr>
          <w:vertAlign w:val="superscript"/>
        </w:rPr>
        <w:t>st</w:t>
      </w:r>
      <w:r w:rsidR="007B512D">
        <w:t xml:space="preserve">. </w:t>
      </w:r>
    </w:p>
    <w:p w:rsidR="006D2274" w:rsidRPr="003B7D3E" w:rsidRDefault="00EB0639" w:rsidP="00AB1EDF">
      <w:pPr>
        <w:pStyle w:val="ListParagraph"/>
        <w:tabs>
          <w:tab w:val="left" w:pos="720"/>
        </w:tabs>
        <w:ind w:left="1440"/>
      </w:pPr>
      <w:r w:rsidRPr="003B7D3E">
        <w:t>W</w:t>
      </w:r>
      <w:r w:rsidR="00883081" w:rsidRPr="003B7D3E">
        <w:t>inter commercial king crab pot</w:t>
      </w:r>
      <w:r w:rsidRPr="003B7D3E">
        <w:t>s</w:t>
      </w:r>
      <w:r w:rsidR="00883081" w:rsidRPr="003B7D3E">
        <w:t xml:space="preserve"> can be any dimension (5AAC 34.925(d))</w:t>
      </w:r>
      <w:r w:rsidR="002A06C1" w:rsidRPr="003B7D3E">
        <w:t xml:space="preserve">. </w:t>
      </w:r>
      <w:r w:rsidR="00CC6D19" w:rsidRPr="003B7D3E">
        <w:t xml:space="preserve">No </w:t>
      </w:r>
      <w:r w:rsidR="00964610" w:rsidRPr="003B7D3E">
        <w:t>length composition</w:t>
      </w:r>
      <w:r w:rsidR="007D1C86" w:rsidRPr="003B7D3E">
        <w:t xml:space="preserve"> data exists</w:t>
      </w:r>
      <w:r w:rsidR="00964610" w:rsidRPr="003B7D3E">
        <w:t xml:space="preserve"> </w:t>
      </w:r>
      <w:r w:rsidR="007D1C86" w:rsidRPr="003B7D3E">
        <w:t>for</w:t>
      </w:r>
      <w:r w:rsidR="00964610" w:rsidRPr="003B7D3E">
        <w:t xml:space="preserve"> crab harvested in </w:t>
      </w:r>
      <w:r w:rsidR="007D1C86" w:rsidRPr="003B7D3E">
        <w:t xml:space="preserve">the winter </w:t>
      </w:r>
      <w:r w:rsidR="00964610" w:rsidRPr="003B7D3E">
        <w:t>commercial</w:t>
      </w:r>
      <w:r w:rsidR="007D1C86" w:rsidRPr="003B7D3E">
        <w:t xml:space="preserve"> or</w:t>
      </w:r>
      <w:r w:rsidR="00964610" w:rsidRPr="003B7D3E">
        <w:t xml:space="preserve"> subsistence fisher</w:t>
      </w:r>
      <w:r w:rsidR="007D1C86" w:rsidRPr="003B7D3E">
        <w:t>ies</w:t>
      </w:r>
      <w:r w:rsidR="002A06C1" w:rsidRPr="003B7D3E">
        <w:t xml:space="preserve">. </w:t>
      </w:r>
      <w:r w:rsidR="00283A0A">
        <w:t xml:space="preserve"> </w:t>
      </w:r>
      <w:r w:rsidR="00883081" w:rsidRPr="003B7D3E">
        <w:t xml:space="preserve">However, because commercial fishers are also subsistence fishers, it is reasonable to assume that the commercial fishers </w:t>
      </w:r>
      <w:r w:rsidR="003B7D3E">
        <w:t>used crab pots that they use</w:t>
      </w:r>
      <w:r w:rsidR="00883081" w:rsidRPr="003B7D3E">
        <w:t xml:space="preserve"> for subsistence harvest, and hence both fisheries have the same selectivity.</w:t>
      </w:r>
    </w:p>
    <w:p w:rsidR="00AB1EDF" w:rsidRDefault="00AB1EDF" w:rsidP="00AB1EDF">
      <w:pPr>
        <w:pStyle w:val="ListParagraph"/>
        <w:tabs>
          <w:tab w:val="left" w:pos="720"/>
        </w:tabs>
        <w:ind w:left="1440"/>
        <w:rPr>
          <w:sz w:val="21"/>
          <w:szCs w:val="21"/>
        </w:rPr>
      </w:pPr>
    </w:p>
    <w:p w:rsidR="006D2274" w:rsidRPr="00AB1EDF" w:rsidRDefault="00631A30" w:rsidP="004F27CE">
      <w:pPr>
        <w:pStyle w:val="ListParagraph"/>
        <w:numPr>
          <w:ilvl w:val="0"/>
          <w:numId w:val="9"/>
        </w:numPr>
        <w:tabs>
          <w:tab w:val="left" w:pos="720"/>
        </w:tabs>
        <w:rPr>
          <w:sz w:val="21"/>
          <w:szCs w:val="21"/>
        </w:rPr>
      </w:pPr>
      <w:r w:rsidRPr="003C7AC1">
        <w:t xml:space="preserve">Growth </w:t>
      </w:r>
      <w:r w:rsidR="00822A09">
        <w:t xml:space="preserve">increments are </w:t>
      </w:r>
      <w:r w:rsidRPr="003C7AC1">
        <w:t>a functi</w:t>
      </w:r>
      <w:r w:rsidR="00626268">
        <w:t>on of le</w:t>
      </w:r>
      <w:r w:rsidR="003B7D3E">
        <w:t>ngth,</w:t>
      </w:r>
      <w:r w:rsidR="00822A09">
        <w:t xml:space="preserve"> are</w:t>
      </w:r>
      <w:r w:rsidR="00626268">
        <w:t xml:space="preserve"> constant</w:t>
      </w:r>
      <w:r w:rsidR="005A40C2">
        <w:t xml:space="preserve"> over time, estimated from tag recovery data.</w:t>
      </w:r>
    </w:p>
    <w:p w:rsidR="00AB1EDF" w:rsidRPr="006D2274" w:rsidRDefault="00AB1EDF" w:rsidP="00AB1EDF">
      <w:pPr>
        <w:pStyle w:val="ListParagraph"/>
        <w:tabs>
          <w:tab w:val="left" w:pos="720"/>
        </w:tabs>
        <w:ind w:left="1440"/>
        <w:rPr>
          <w:sz w:val="21"/>
          <w:szCs w:val="21"/>
        </w:rPr>
      </w:pPr>
    </w:p>
    <w:p w:rsidR="006D2274" w:rsidRPr="00AB1EDF" w:rsidRDefault="00631A30" w:rsidP="004F27CE">
      <w:pPr>
        <w:pStyle w:val="ListParagraph"/>
        <w:numPr>
          <w:ilvl w:val="0"/>
          <w:numId w:val="9"/>
        </w:numPr>
        <w:tabs>
          <w:tab w:val="left" w:pos="720"/>
          <w:tab w:val="left" w:pos="3870"/>
        </w:tabs>
        <w:rPr>
          <w:sz w:val="21"/>
          <w:szCs w:val="21"/>
        </w:rPr>
      </w:pPr>
      <w:r w:rsidRPr="003C7AC1">
        <w:t>Molting proba</w:t>
      </w:r>
      <w:r w:rsidR="005A40C2">
        <w:t>bility is</w:t>
      </w:r>
      <w:r w:rsidR="00FA0097">
        <w:t xml:space="preserve"> an inverse </w:t>
      </w:r>
      <w:r w:rsidR="00C1191A">
        <w:t>logistic</w:t>
      </w:r>
      <w:r w:rsidRPr="003C7AC1">
        <w:t xml:space="preserve"> function of length for males. </w:t>
      </w:r>
    </w:p>
    <w:p w:rsidR="00AB1EDF" w:rsidRPr="006D2274" w:rsidRDefault="00AB1EDF" w:rsidP="00AB1EDF">
      <w:pPr>
        <w:pStyle w:val="ListParagraph"/>
        <w:tabs>
          <w:tab w:val="left" w:pos="720"/>
        </w:tabs>
        <w:ind w:left="1440"/>
        <w:rPr>
          <w:sz w:val="21"/>
          <w:szCs w:val="21"/>
        </w:rPr>
      </w:pPr>
    </w:p>
    <w:p w:rsidR="006D2274" w:rsidRPr="00F61CC4" w:rsidRDefault="00631A30" w:rsidP="004F27CE">
      <w:pPr>
        <w:numPr>
          <w:ilvl w:val="0"/>
          <w:numId w:val="9"/>
        </w:numPr>
        <w:tabs>
          <w:tab w:val="left" w:pos="720"/>
          <w:tab w:val="left" w:pos="1440"/>
        </w:tabs>
        <w:spacing w:after="120"/>
        <w:jc w:val="both"/>
      </w:pPr>
      <w:r>
        <w:t>A summer f</w:t>
      </w:r>
      <w:r w:rsidRPr="003C7AC1">
        <w:t xml:space="preserve">ishing season for the directed fishery </w:t>
      </w:r>
      <w:r>
        <w:t>is</w:t>
      </w:r>
      <w:r w:rsidRPr="003C7AC1">
        <w:t xml:space="preserve"> short.</w:t>
      </w:r>
      <w:r w:rsidR="00F61CC4">
        <w:t xml:space="preserve"> All summer commercial harvests occur July 1</w:t>
      </w:r>
      <w:r w:rsidR="00F61CC4" w:rsidRPr="007B512D">
        <w:rPr>
          <w:vertAlign w:val="superscript"/>
        </w:rPr>
        <w:t>st</w:t>
      </w:r>
      <w:r w:rsidR="00F61CC4">
        <w:t xml:space="preserve">. </w:t>
      </w:r>
    </w:p>
    <w:p w:rsidR="00AB1EDF" w:rsidRPr="006D2274" w:rsidRDefault="00AB1EDF" w:rsidP="00AB1EDF">
      <w:pPr>
        <w:pStyle w:val="ListParagraph"/>
        <w:tabs>
          <w:tab w:val="left" w:pos="720"/>
        </w:tabs>
        <w:ind w:left="1440"/>
        <w:rPr>
          <w:sz w:val="21"/>
          <w:szCs w:val="21"/>
        </w:rPr>
      </w:pPr>
    </w:p>
    <w:p w:rsidR="008047A3" w:rsidRPr="00F61CC4" w:rsidRDefault="00015099" w:rsidP="004F27CE">
      <w:pPr>
        <w:pStyle w:val="ListParagraph"/>
        <w:numPr>
          <w:ilvl w:val="0"/>
          <w:numId w:val="9"/>
        </w:numPr>
        <w:tabs>
          <w:tab w:val="left" w:pos="720"/>
        </w:tabs>
        <w:rPr>
          <w:sz w:val="21"/>
          <w:szCs w:val="21"/>
        </w:rPr>
      </w:pPr>
      <w:r>
        <w:t xml:space="preserve">Discards </w:t>
      </w:r>
      <w:r w:rsidR="00241A52">
        <w:t>h</w:t>
      </w:r>
      <w:r w:rsidR="00631A30">
        <w:t>an</w:t>
      </w:r>
      <w:r w:rsidR="007440FE">
        <w:t>dling mort</w:t>
      </w:r>
      <w:r w:rsidR="00EC5423">
        <w:t xml:space="preserve">ality </w:t>
      </w:r>
      <w:r w:rsidR="001469D0">
        <w:t xml:space="preserve">rate </w:t>
      </w:r>
      <w:r w:rsidR="007D1C86">
        <w:t>for all fisheries</w:t>
      </w:r>
      <w:r w:rsidR="00EC5423">
        <w:t xml:space="preserve"> is</w:t>
      </w:r>
      <w:r w:rsidR="00822A09">
        <w:t xml:space="preserve"> </w:t>
      </w:r>
      <w:r w:rsidR="00631A30">
        <w:t>20%.</w:t>
      </w:r>
      <w:r w:rsidR="00822A09">
        <w:t xml:space="preserve"> </w:t>
      </w:r>
    </w:p>
    <w:p w:rsidR="008047A3" w:rsidRPr="00556C01" w:rsidRDefault="008047A3" w:rsidP="008047A3">
      <w:pPr>
        <w:tabs>
          <w:tab w:val="left" w:pos="720"/>
        </w:tabs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822A09" w:rsidRPr="00556C01">
        <w:t>N</w:t>
      </w:r>
      <w:r w:rsidR="00015099" w:rsidRPr="00556C01">
        <w:t>o empirical estimate is available.</w:t>
      </w:r>
    </w:p>
    <w:p w:rsidR="006D2274" w:rsidRDefault="00015099" w:rsidP="00AB1EDF">
      <w:pPr>
        <w:pStyle w:val="ListParagraph"/>
        <w:tabs>
          <w:tab w:val="left" w:pos="720"/>
        </w:tabs>
        <w:ind w:left="1440"/>
        <w:rPr>
          <w:sz w:val="21"/>
          <w:szCs w:val="21"/>
        </w:rPr>
      </w:pPr>
      <w:r w:rsidRPr="006D2274">
        <w:rPr>
          <w:sz w:val="21"/>
          <w:szCs w:val="21"/>
        </w:rPr>
        <w:t xml:space="preserve">    </w:t>
      </w:r>
    </w:p>
    <w:p w:rsidR="00AB1EDF" w:rsidRPr="00066B79" w:rsidRDefault="00631A30" w:rsidP="004F27CE">
      <w:pPr>
        <w:pStyle w:val="ListParagraph"/>
        <w:numPr>
          <w:ilvl w:val="0"/>
          <w:numId w:val="9"/>
        </w:numPr>
        <w:tabs>
          <w:tab w:val="left" w:pos="720"/>
        </w:tabs>
        <w:rPr>
          <w:sz w:val="21"/>
          <w:szCs w:val="21"/>
        </w:rPr>
      </w:pPr>
      <w:r>
        <w:t>Annual retained catch is measured without error.</w:t>
      </w:r>
    </w:p>
    <w:p w:rsidR="00AB1EDF" w:rsidRPr="00AB1EDF" w:rsidRDefault="00AB1EDF" w:rsidP="00AB1EDF">
      <w:pPr>
        <w:pStyle w:val="ListParagraph"/>
        <w:tabs>
          <w:tab w:val="left" w:pos="720"/>
        </w:tabs>
        <w:ind w:left="1440"/>
        <w:rPr>
          <w:sz w:val="21"/>
          <w:szCs w:val="21"/>
        </w:rPr>
      </w:pPr>
    </w:p>
    <w:p w:rsidR="00AB1EDF" w:rsidRPr="00AB1EDF" w:rsidRDefault="00E65CE7" w:rsidP="004F27CE">
      <w:pPr>
        <w:pStyle w:val="ListParagraph"/>
        <w:numPr>
          <w:ilvl w:val="0"/>
          <w:numId w:val="9"/>
        </w:numPr>
        <w:tabs>
          <w:tab w:val="left" w:pos="720"/>
        </w:tabs>
        <w:rPr>
          <w:sz w:val="21"/>
          <w:szCs w:val="21"/>
        </w:rPr>
      </w:pPr>
      <w:r>
        <w:t xml:space="preserve">All </w:t>
      </w:r>
      <w:proofErr w:type="gramStart"/>
      <w:r>
        <w:t>legal size</w:t>
      </w:r>
      <w:proofErr w:type="gramEnd"/>
      <w:r>
        <w:t xml:space="preserve"> crab (</w:t>
      </w:r>
      <w:r w:rsidR="002D4F51">
        <w:t>≥ 4-</w:t>
      </w:r>
      <w:r w:rsidR="00EB0639">
        <w:t>3</w:t>
      </w:r>
      <w:r w:rsidR="002D4F51">
        <w:t>/4</w:t>
      </w:r>
      <w:r w:rsidR="002D4F51" w:rsidRPr="003C7AC1">
        <w:t xml:space="preserve"> </w:t>
      </w:r>
      <w:r w:rsidR="002D4F51">
        <w:t xml:space="preserve">inch CW) are </w:t>
      </w:r>
      <w:r w:rsidR="00283A0A">
        <w:t>retained, and sublegal size crab or commercially unacceptable size crab (&lt; 5 inch CW, since 2005) are discarded</w:t>
      </w:r>
    </w:p>
    <w:p w:rsidR="00AB1EDF" w:rsidRPr="00EA17FE" w:rsidRDefault="00AB1EDF" w:rsidP="00AB1EDF">
      <w:pPr>
        <w:pStyle w:val="ListParagraph"/>
        <w:tabs>
          <w:tab w:val="left" w:pos="720"/>
        </w:tabs>
        <w:ind w:left="1440"/>
        <w:rPr>
          <w:sz w:val="22"/>
          <w:szCs w:val="22"/>
        </w:rPr>
      </w:pPr>
    </w:p>
    <w:p w:rsidR="00AB1EDF" w:rsidRPr="00904076" w:rsidRDefault="002D4F51" w:rsidP="00EA17FE">
      <w:pPr>
        <w:pStyle w:val="ListParagraph"/>
        <w:tabs>
          <w:tab w:val="left" w:pos="720"/>
        </w:tabs>
        <w:ind w:left="1440"/>
        <w:rPr>
          <w:b/>
          <w:sz w:val="22"/>
          <w:szCs w:val="22"/>
        </w:rPr>
      </w:pPr>
      <w:r w:rsidRPr="003B7D3E">
        <w:rPr>
          <w:sz w:val="22"/>
          <w:szCs w:val="22"/>
        </w:rPr>
        <w:t xml:space="preserve">Since 2005, </w:t>
      </w:r>
      <w:r w:rsidR="00EA17FE" w:rsidRPr="003B7D3E">
        <w:rPr>
          <w:sz w:val="22"/>
          <w:szCs w:val="22"/>
        </w:rPr>
        <w:t xml:space="preserve">buyers </w:t>
      </w:r>
      <w:r w:rsidR="00F670DA" w:rsidRPr="003B7D3E">
        <w:rPr>
          <w:sz w:val="22"/>
          <w:szCs w:val="22"/>
        </w:rPr>
        <w:t xml:space="preserve">announced that only legal crab </w:t>
      </w:r>
      <w:r w:rsidR="00846FDA" w:rsidRPr="003B7D3E">
        <w:rPr>
          <w:sz w:val="22"/>
          <w:szCs w:val="22"/>
        </w:rPr>
        <w:t>with ≥</w:t>
      </w:r>
      <w:r w:rsidRPr="003B7D3E">
        <w:rPr>
          <w:sz w:val="22"/>
          <w:szCs w:val="22"/>
        </w:rPr>
        <w:t xml:space="preserve"> </w:t>
      </w:r>
      <w:proofErr w:type="gramStart"/>
      <w:r w:rsidRPr="003B7D3E">
        <w:rPr>
          <w:sz w:val="22"/>
          <w:szCs w:val="22"/>
        </w:rPr>
        <w:t xml:space="preserve">5 </w:t>
      </w:r>
      <w:r w:rsidR="00F670DA" w:rsidRPr="003B7D3E">
        <w:rPr>
          <w:sz w:val="22"/>
          <w:szCs w:val="22"/>
        </w:rPr>
        <w:t>inch</w:t>
      </w:r>
      <w:proofErr w:type="gramEnd"/>
      <w:r w:rsidR="00F670DA" w:rsidRPr="003B7D3E">
        <w:rPr>
          <w:sz w:val="22"/>
          <w:szCs w:val="22"/>
        </w:rPr>
        <w:t xml:space="preserve"> CW </w:t>
      </w:r>
      <w:r w:rsidRPr="003B7D3E">
        <w:rPr>
          <w:sz w:val="22"/>
          <w:szCs w:val="22"/>
        </w:rPr>
        <w:t xml:space="preserve">are </w:t>
      </w:r>
      <w:r w:rsidR="00F670DA" w:rsidRPr="003B7D3E">
        <w:rPr>
          <w:sz w:val="22"/>
          <w:szCs w:val="22"/>
        </w:rPr>
        <w:t>acceptable for purchase</w:t>
      </w:r>
      <w:r w:rsidR="006C4C54" w:rsidRPr="003B7D3E">
        <w:rPr>
          <w:sz w:val="22"/>
          <w:szCs w:val="22"/>
        </w:rPr>
        <w:t xml:space="preserve">. </w:t>
      </w:r>
      <w:r w:rsidR="00904076">
        <w:rPr>
          <w:sz w:val="22"/>
          <w:szCs w:val="22"/>
        </w:rPr>
        <w:t xml:space="preserve"> </w:t>
      </w:r>
      <w:r w:rsidR="00F670DA" w:rsidRPr="003B7D3E">
        <w:rPr>
          <w:sz w:val="22"/>
          <w:szCs w:val="22"/>
        </w:rPr>
        <w:t>Since samples are taken at a commercial dock, it was anticipated that this change would lower the proportion of legal crab</w:t>
      </w:r>
      <w:r w:rsidR="002A06C1" w:rsidRPr="003B7D3E">
        <w:rPr>
          <w:sz w:val="22"/>
          <w:szCs w:val="22"/>
        </w:rPr>
        <w:t xml:space="preserve">. </w:t>
      </w:r>
      <w:r w:rsidR="00F670DA" w:rsidRPr="003B7D3E">
        <w:rPr>
          <w:sz w:val="22"/>
          <w:szCs w:val="22"/>
        </w:rPr>
        <w:t xml:space="preserve">However, </w:t>
      </w:r>
      <w:r w:rsidR="003B7D3E">
        <w:rPr>
          <w:sz w:val="22"/>
          <w:szCs w:val="22"/>
        </w:rPr>
        <w:t xml:space="preserve">the </w:t>
      </w:r>
      <w:r w:rsidR="00F670DA" w:rsidRPr="003B7D3E">
        <w:rPr>
          <w:sz w:val="22"/>
          <w:szCs w:val="22"/>
        </w:rPr>
        <w:t>model w</w:t>
      </w:r>
      <w:r w:rsidR="009F3035" w:rsidRPr="003B7D3E">
        <w:rPr>
          <w:sz w:val="22"/>
          <w:szCs w:val="22"/>
        </w:rPr>
        <w:t>a</w:t>
      </w:r>
      <w:r w:rsidR="00904076">
        <w:rPr>
          <w:sz w:val="22"/>
          <w:szCs w:val="22"/>
        </w:rPr>
        <w:t xml:space="preserve">s not sensitive to this change </w:t>
      </w:r>
      <w:r w:rsidR="009F3035" w:rsidRPr="003B7D3E">
        <w:rPr>
          <w:sz w:val="22"/>
          <w:szCs w:val="22"/>
        </w:rPr>
        <w:t>(</w:t>
      </w:r>
      <w:r w:rsidR="00191D1A">
        <w:rPr>
          <w:sz w:val="22"/>
          <w:szCs w:val="22"/>
        </w:rPr>
        <w:t>NPFMC</w:t>
      </w:r>
      <w:r w:rsidR="009F3035" w:rsidRPr="003B7D3E">
        <w:rPr>
          <w:sz w:val="22"/>
          <w:szCs w:val="22"/>
        </w:rPr>
        <w:t xml:space="preserve"> 2013</w:t>
      </w:r>
      <w:r w:rsidR="00283A0A">
        <w:rPr>
          <w:sz w:val="22"/>
          <w:szCs w:val="22"/>
        </w:rPr>
        <w:t>, 2017</w:t>
      </w:r>
      <w:r w:rsidR="009F3035" w:rsidRPr="003B7D3E">
        <w:rPr>
          <w:sz w:val="22"/>
          <w:szCs w:val="22"/>
        </w:rPr>
        <w:t>).</w:t>
      </w:r>
      <w:r w:rsidR="00904076">
        <w:rPr>
          <w:sz w:val="22"/>
          <w:szCs w:val="22"/>
        </w:rPr>
        <w:t xml:space="preserve">  </w:t>
      </w:r>
    </w:p>
    <w:p w:rsidR="00AB1EDF" w:rsidRPr="00283A0A" w:rsidRDefault="00AB1EDF" w:rsidP="00283A0A">
      <w:pPr>
        <w:tabs>
          <w:tab w:val="left" w:pos="720"/>
        </w:tabs>
        <w:rPr>
          <w:sz w:val="21"/>
          <w:szCs w:val="21"/>
        </w:rPr>
      </w:pPr>
    </w:p>
    <w:p w:rsidR="000370F0" w:rsidRPr="00AB1EDF" w:rsidRDefault="00631A30" w:rsidP="004F27CE">
      <w:pPr>
        <w:pStyle w:val="ListParagraph"/>
        <w:numPr>
          <w:ilvl w:val="0"/>
          <w:numId w:val="9"/>
        </w:numPr>
        <w:tabs>
          <w:tab w:val="left" w:pos="720"/>
        </w:tabs>
        <w:rPr>
          <w:sz w:val="21"/>
          <w:szCs w:val="21"/>
        </w:rPr>
      </w:pPr>
      <w:r>
        <w:t>Length compositions have a multinomial error structure</w:t>
      </w:r>
      <w:r w:rsidR="00B35FF9">
        <w:t xml:space="preserve"> </w:t>
      </w:r>
      <w:r>
        <w:t>and abundance has a log-normal error structure</w:t>
      </w:r>
      <w:r w:rsidR="002A06C1">
        <w:t xml:space="preserve">. </w:t>
      </w:r>
    </w:p>
    <w:p w:rsidR="005A40C2" w:rsidRDefault="005A40C2" w:rsidP="00BE19F0">
      <w:pPr>
        <w:tabs>
          <w:tab w:val="left" w:pos="720"/>
          <w:tab w:val="left" w:pos="1440"/>
        </w:tabs>
        <w:spacing w:after="120"/>
      </w:pPr>
    </w:p>
    <w:p w:rsidR="00F13935" w:rsidRDefault="00AB1EDF" w:rsidP="004F27CE">
      <w:pPr>
        <w:pStyle w:val="ListParagraph"/>
        <w:numPr>
          <w:ilvl w:val="0"/>
          <w:numId w:val="6"/>
        </w:numPr>
        <w:spacing w:after="120"/>
        <w:ind w:left="1080"/>
        <w:contextualSpacing w:val="0"/>
        <w:jc w:val="both"/>
      </w:pPr>
      <w:r>
        <w:t xml:space="preserve">Changes of assumptions </w:t>
      </w:r>
      <w:r w:rsidR="00B55AF7">
        <w:t>since last assessment:</w:t>
      </w:r>
    </w:p>
    <w:p w:rsidR="005A40C2" w:rsidRDefault="00441189" w:rsidP="00441189">
      <w:pPr>
        <w:pStyle w:val="ListParagraph"/>
        <w:spacing w:after="120"/>
        <w:ind w:left="1440"/>
        <w:contextualSpacing w:val="0"/>
        <w:jc w:val="both"/>
      </w:pPr>
      <w:r>
        <w:t>None.</w:t>
      </w:r>
    </w:p>
    <w:p w:rsidR="00A36C4D" w:rsidRDefault="00A36C4D" w:rsidP="00441189">
      <w:pPr>
        <w:pStyle w:val="ListParagraph"/>
        <w:spacing w:after="120"/>
        <w:ind w:left="1440"/>
        <w:contextualSpacing w:val="0"/>
        <w:jc w:val="both"/>
      </w:pPr>
    </w:p>
    <w:p w:rsidR="00444865" w:rsidRPr="000865A5" w:rsidRDefault="00444865" w:rsidP="00AE713C">
      <w:pPr>
        <w:spacing w:after="120"/>
        <w:jc w:val="both"/>
      </w:pPr>
    </w:p>
    <w:p w:rsidR="002F0FDA" w:rsidRDefault="007E2957" w:rsidP="004F27CE">
      <w:pPr>
        <w:pStyle w:val="ListParagraph"/>
        <w:numPr>
          <w:ilvl w:val="0"/>
          <w:numId w:val="4"/>
        </w:numPr>
        <w:spacing w:line="360" w:lineRule="auto"/>
        <w:jc w:val="both"/>
        <w:rPr>
          <w:b/>
        </w:rPr>
      </w:pPr>
      <w:r w:rsidRPr="00444865">
        <w:rPr>
          <w:b/>
        </w:rPr>
        <w:t xml:space="preserve">Model </w:t>
      </w:r>
      <w:r>
        <w:rPr>
          <w:b/>
        </w:rPr>
        <w:t>Selection and Evaluation</w:t>
      </w:r>
    </w:p>
    <w:p w:rsidR="002F0FDA" w:rsidRDefault="002F0FDA" w:rsidP="002F0FDA">
      <w:pPr>
        <w:pStyle w:val="ListParagraph"/>
        <w:spacing w:line="360" w:lineRule="auto"/>
        <w:jc w:val="both"/>
        <w:rPr>
          <w:b/>
        </w:rPr>
      </w:pPr>
    </w:p>
    <w:p w:rsidR="007C3F41" w:rsidRDefault="00B2399A" w:rsidP="0082253D">
      <w:pPr>
        <w:pStyle w:val="ListParagraph"/>
        <w:numPr>
          <w:ilvl w:val="0"/>
          <w:numId w:val="7"/>
        </w:numPr>
        <w:jc w:val="both"/>
      </w:pPr>
      <w:r>
        <w:t>Description of alternative model configurations.</w:t>
      </w:r>
    </w:p>
    <w:p w:rsidR="00A37F22" w:rsidRDefault="00A37F22" w:rsidP="0082253D">
      <w:pPr>
        <w:pStyle w:val="ListParagraph"/>
        <w:jc w:val="both"/>
      </w:pPr>
    </w:p>
    <w:p w:rsidR="00A20BF9" w:rsidRDefault="00043179" w:rsidP="009A3997">
      <w:pPr>
        <w:pStyle w:val="ListParagraph"/>
        <w:jc w:val="both"/>
      </w:pPr>
      <w:r>
        <w:t xml:space="preserve">For 2019 assessment, we incorporated newly available data: summer commercial total catch length-shell comp data </w:t>
      </w:r>
      <w:r w:rsidR="00D4580B">
        <w:t>201</w:t>
      </w:r>
      <w:r>
        <w:t>2</w:t>
      </w:r>
      <w:r w:rsidR="00D4580B">
        <w:t xml:space="preserve"> – 2018</w:t>
      </w:r>
      <w:r w:rsidR="00A20BF9">
        <w:t xml:space="preserve"> (Model 18.1x)</w:t>
      </w:r>
      <w:r>
        <w:t xml:space="preserve">, and winter commercial retained </w:t>
      </w:r>
      <w:r>
        <w:lastRenderedPageBreak/>
        <w:t xml:space="preserve">length-shell comp data </w:t>
      </w:r>
      <w:r w:rsidR="00D4580B">
        <w:t>20</w:t>
      </w:r>
      <w:r>
        <w:t>15</w:t>
      </w:r>
      <w:r w:rsidR="00D4580B">
        <w:t xml:space="preserve"> – 2018</w:t>
      </w:r>
      <w:r w:rsidR="00A20BF9">
        <w:t xml:space="preserve"> (Model 18.2x)</w:t>
      </w:r>
      <w:r>
        <w:t xml:space="preserve">. </w:t>
      </w:r>
      <w:r w:rsidR="00A20BF9">
        <w:t xml:space="preserve"> Because winter data were short, our modeling strategy was evaluating effectiveness of summer data (Model 18.1x) first, and then add winter data (Model 18.2x).</w:t>
      </w:r>
    </w:p>
    <w:p w:rsidR="00A20BF9" w:rsidRDefault="00A20BF9" w:rsidP="009A3997">
      <w:pPr>
        <w:pStyle w:val="ListParagraph"/>
        <w:jc w:val="both"/>
      </w:pPr>
      <w:r>
        <w:t xml:space="preserve"> </w:t>
      </w:r>
    </w:p>
    <w:p w:rsidR="00484F19" w:rsidRDefault="009A3997" w:rsidP="009A3997">
      <w:pPr>
        <w:pStyle w:val="ListParagraph"/>
        <w:jc w:val="both"/>
      </w:pPr>
      <w:r>
        <w:t xml:space="preserve">Baseline model assumes fixed retention selectivity and uses retention and discards length-shell data to estimate catch selectivity.  </w:t>
      </w:r>
      <w:r w:rsidR="00484F19">
        <w:t>Combination of total and retention length-shell data is used to estimate fishery catch and retention selectivity</w:t>
      </w:r>
      <w:r>
        <w:t xml:space="preserve">. </w:t>
      </w:r>
      <w:r w:rsidR="00484F19">
        <w:t xml:space="preserve">Simultaneously, this poses question </w:t>
      </w:r>
      <w:r>
        <w:t>of using</w:t>
      </w:r>
      <w:r w:rsidR="00484F19">
        <w:t xml:space="preserve"> 1986</w:t>
      </w:r>
      <w:r w:rsidR="00D4580B">
        <w:t xml:space="preserve"> – </w:t>
      </w:r>
      <w:r w:rsidR="00484F19">
        <w:t xml:space="preserve">95 discards </w:t>
      </w:r>
      <w:r>
        <w:t xml:space="preserve">only </w:t>
      </w:r>
      <w:r w:rsidR="00484F19">
        <w:t xml:space="preserve">shell-length data.  </w:t>
      </w:r>
      <w:r>
        <w:t xml:space="preserve"> One option (Model, 18.1a) is not using data, second (Model, 18.1b) is separately fitting discards length-shell likelihood.  Further option is separating retention selectivity (Model 18.1c) or total catch selectivity (Model 18.1d) into two periods (pre and post super-exclusive).</w:t>
      </w:r>
    </w:p>
    <w:p w:rsidR="00A20BF9" w:rsidRDefault="00A20BF9" w:rsidP="0082253D">
      <w:pPr>
        <w:pStyle w:val="ListParagraph"/>
        <w:jc w:val="both"/>
      </w:pPr>
    </w:p>
    <w:p w:rsidR="009A3997" w:rsidRDefault="009A3997" w:rsidP="0082253D">
      <w:pPr>
        <w:pStyle w:val="ListParagraph"/>
        <w:jc w:val="both"/>
      </w:pPr>
      <w:r>
        <w:t>In similar</w:t>
      </w:r>
      <w:r w:rsidR="00317835">
        <w:t xml:space="preserve"> way, use of winter commercial retention data will be used to estimate retention selectivity for winter commercial. We examined 3 alternatives of </w:t>
      </w:r>
      <w:r w:rsidR="00A20BF9">
        <w:t xml:space="preserve">model specifications with </w:t>
      </w:r>
      <w:r w:rsidR="00317835">
        <w:t>winter data: 1) to default model (Model 18.0), 2) to Model 18.1a, and 3) to Model 18.1b.</w:t>
      </w:r>
    </w:p>
    <w:p w:rsidR="00043179" w:rsidRDefault="00484F19" w:rsidP="00317835">
      <w:pPr>
        <w:pStyle w:val="ListParagraph"/>
        <w:jc w:val="both"/>
      </w:pPr>
      <w:r>
        <w:t xml:space="preserve"> </w:t>
      </w:r>
    </w:p>
    <w:p w:rsidR="00A37F22" w:rsidRDefault="00A37F22" w:rsidP="0082253D">
      <w:pPr>
        <w:pStyle w:val="ListParagraph"/>
        <w:jc w:val="both"/>
      </w:pPr>
      <w:r>
        <w:t xml:space="preserve">We examined alternative models of </w:t>
      </w:r>
    </w:p>
    <w:p w:rsidR="00A37F22" w:rsidRDefault="00A37F22" w:rsidP="0082253D">
      <w:pPr>
        <w:pStyle w:val="ListParagraph"/>
        <w:jc w:val="both"/>
      </w:pPr>
      <w:r>
        <w:t xml:space="preserve">Model </w:t>
      </w:r>
      <w:r w:rsidR="00814156">
        <w:t>18.0</w:t>
      </w:r>
      <w:r>
        <w:t xml:space="preserve">:  Baseline: </w:t>
      </w:r>
      <w:r w:rsidR="0095045F">
        <w:t>a</w:t>
      </w:r>
      <w:r w:rsidR="004D5F85">
        <w:t xml:space="preserve">ssumed retention </w:t>
      </w:r>
      <w:r w:rsidR="00484F19">
        <w:t>selectivity</w:t>
      </w:r>
      <w:r w:rsidR="00AA4D47">
        <w:t>: fit discards lengths comp (198</w:t>
      </w:r>
      <w:r w:rsidR="00654566">
        <w:t xml:space="preserve">7 </w:t>
      </w:r>
      <w:r w:rsidR="00AA4D47">
        <w:t>-199</w:t>
      </w:r>
      <w:r w:rsidR="00654566">
        <w:t>4</w:t>
      </w:r>
      <w:r w:rsidR="00AA4D47">
        <w:t>, 201</w:t>
      </w:r>
      <w:r w:rsidR="00654566">
        <w:t xml:space="preserve">2 – </w:t>
      </w:r>
      <w:r w:rsidR="00AA4D47">
        <w:t>2018)</w:t>
      </w:r>
    </w:p>
    <w:p w:rsidR="004D5F85" w:rsidRDefault="00A37F22" w:rsidP="0082253D">
      <w:pPr>
        <w:pStyle w:val="ListParagraph"/>
        <w:jc w:val="both"/>
      </w:pPr>
      <w:r>
        <w:t xml:space="preserve">Model </w:t>
      </w:r>
      <w:r w:rsidR="004D5F85">
        <w:t>1</w:t>
      </w:r>
      <w:r w:rsidR="00814156">
        <w:t>8.1a</w:t>
      </w:r>
      <w:r>
        <w:t xml:space="preserve">: </w:t>
      </w:r>
      <w:r w:rsidR="004D5F85">
        <w:t xml:space="preserve"> </w:t>
      </w:r>
      <w:r w:rsidR="0095045F">
        <w:t>Summer commercial r</w:t>
      </w:r>
      <w:r w:rsidR="004D5F85">
        <w:t>etention curve estimated</w:t>
      </w:r>
      <w:r w:rsidR="00814156">
        <w:t xml:space="preserve">: </w:t>
      </w:r>
      <w:r w:rsidR="00AA4D47">
        <w:t>fit total catch length comp (</w:t>
      </w:r>
      <w:r w:rsidR="00814156">
        <w:t>201</w:t>
      </w:r>
      <w:r w:rsidR="00D4580B">
        <w:t>2 – 20</w:t>
      </w:r>
      <w:r w:rsidR="00814156">
        <w:t>18</w:t>
      </w:r>
      <w:r w:rsidR="00AA4D47">
        <w:t>)</w:t>
      </w:r>
      <w:r w:rsidR="004D5F85">
        <w:t xml:space="preserve"> </w:t>
      </w:r>
    </w:p>
    <w:p w:rsidR="000F1EED" w:rsidRDefault="00814156" w:rsidP="000F1EED">
      <w:pPr>
        <w:pStyle w:val="ListParagraph"/>
        <w:jc w:val="both"/>
      </w:pPr>
      <w:r>
        <w:t xml:space="preserve">Model 18.1b:  Model 18.1a </w:t>
      </w:r>
      <w:r w:rsidR="00AA4D47">
        <w:t>and fit discards length comp (</w:t>
      </w:r>
      <w:r>
        <w:t>198</w:t>
      </w:r>
      <w:r w:rsidR="00654566">
        <w:t>7</w:t>
      </w:r>
      <w:r w:rsidR="00D4580B">
        <w:t xml:space="preserve"> – </w:t>
      </w:r>
      <w:r>
        <w:t>199</w:t>
      </w:r>
      <w:r w:rsidR="00654566">
        <w:t>4</w:t>
      </w:r>
      <w:r w:rsidR="00AA4D47">
        <w:t>)</w:t>
      </w:r>
      <w:r>
        <w:t xml:space="preserve"> </w:t>
      </w:r>
    </w:p>
    <w:p w:rsidR="000F1EED" w:rsidRDefault="00814156" w:rsidP="0082253D">
      <w:pPr>
        <w:pStyle w:val="ListParagraph"/>
        <w:jc w:val="both"/>
      </w:pPr>
      <w:r>
        <w:t xml:space="preserve">Model 18.1c:  </w:t>
      </w:r>
      <w:r w:rsidR="0082253D">
        <w:t>Model 18.1b with 2 retention selectivity</w:t>
      </w:r>
    </w:p>
    <w:p w:rsidR="00814156" w:rsidRDefault="000F1EED" w:rsidP="000F1EED">
      <w:pPr>
        <w:pStyle w:val="ListParagraph"/>
        <w:jc w:val="both"/>
      </w:pPr>
      <w:r>
        <w:t xml:space="preserve">Model 18.1d:  Model 18.1b with 2 total </w:t>
      </w:r>
      <w:r w:rsidR="00AA4D47">
        <w:t xml:space="preserve">catch </w:t>
      </w:r>
      <w:r>
        <w:t>selectivity</w:t>
      </w:r>
      <w:r w:rsidR="0082253D">
        <w:t xml:space="preserve"> </w:t>
      </w:r>
    </w:p>
    <w:p w:rsidR="004D5F85" w:rsidRDefault="004D5F85" w:rsidP="0082253D">
      <w:pPr>
        <w:pStyle w:val="ListParagraph"/>
        <w:jc w:val="both"/>
      </w:pPr>
      <w:r>
        <w:t>Model</w:t>
      </w:r>
      <w:r w:rsidR="0082253D">
        <w:t xml:space="preserve"> 18.2</w:t>
      </w:r>
      <w:r>
        <w:t xml:space="preserve">:  </w:t>
      </w:r>
      <w:r w:rsidR="0095045F">
        <w:t xml:space="preserve">Model </w:t>
      </w:r>
      <w:r w:rsidR="0082253D">
        <w:t>18.0</w:t>
      </w:r>
      <w:r w:rsidR="0095045F">
        <w:t xml:space="preserve"> </w:t>
      </w:r>
      <w:r w:rsidR="0082253D">
        <w:t xml:space="preserve">+ winter commercial retention </w:t>
      </w:r>
    </w:p>
    <w:p w:rsidR="0082253D" w:rsidRDefault="0082253D" w:rsidP="0082253D">
      <w:pPr>
        <w:pStyle w:val="ListParagraph"/>
        <w:jc w:val="both"/>
      </w:pPr>
      <w:r>
        <w:t xml:space="preserve">Model 18.2a:  Model 18.1a + winter commercial retention </w:t>
      </w:r>
    </w:p>
    <w:p w:rsidR="0082253D" w:rsidRDefault="0082253D" w:rsidP="0082253D">
      <w:pPr>
        <w:pStyle w:val="ListParagraph"/>
        <w:jc w:val="both"/>
      </w:pPr>
      <w:r>
        <w:t xml:space="preserve">Model 18.2b:  Model 18.1b + winter commercial retention </w:t>
      </w:r>
    </w:p>
    <w:p w:rsidR="005C3F3A" w:rsidRDefault="005C3F3A" w:rsidP="006A4EBA">
      <w:pPr>
        <w:pStyle w:val="ListParagraph"/>
        <w:jc w:val="both"/>
      </w:pPr>
    </w:p>
    <w:p w:rsidR="009A032F" w:rsidRDefault="009A032F" w:rsidP="00A568E9">
      <w:pPr>
        <w:jc w:val="both"/>
      </w:pPr>
    </w:p>
    <w:p w:rsidR="005870A9" w:rsidRPr="007D176E" w:rsidRDefault="00296D7A" w:rsidP="004F27CE">
      <w:pPr>
        <w:pStyle w:val="ListParagraph"/>
        <w:numPr>
          <w:ilvl w:val="0"/>
          <w:numId w:val="7"/>
        </w:numPr>
        <w:spacing w:after="120"/>
        <w:contextualSpacing w:val="0"/>
        <w:jc w:val="both"/>
        <w:rPr>
          <w:color w:val="000000" w:themeColor="text1"/>
          <w:sz w:val="20"/>
          <w:szCs w:val="20"/>
        </w:rPr>
      </w:pPr>
      <w:r>
        <w:t xml:space="preserve">Evaluation of </w:t>
      </w:r>
      <w:r w:rsidR="00556C01">
        <w:t>negative log</w:t>
      </w:r>
      <w:r w:rsidR="00BC5F5D">
        <w:t>-</w:t>
      </w:r>
      <w:r w:rsidR="00556C01">
        <w:t xml:space="preserve">likelihood </w:t>
      </w:r>
      <w:r>
        <w:t>alternative models results</w:t>
      </w:r>
      <w:r w:rsidR="00195530">
        <w:t xml:space="preserve">: </w:t>
      </w:r>
    </w:p>
    <w:p w:rsidR="007D176E" w:rsidRPr="00D91422" w:rsidRDefault="007D176E" w:rsidP="007D176E">
      <w:pPr>
        <w:pStyle w:val="ListParagraph"/>
        <w:spacing w:after="120"/>
        <w:contextualSpacing w:val="0"/>
        <w:jc w:val="both"/>
        <w:rPr>
          <w:color w:val="000000" w:themeColor="text1"/>
          <w:sz w:val="20"/>
          <w:szCs w:val="20"/>
        </w:rPr>
      </w:pPr>
    </w:p>
    <w:tbl>
      <w:tblPr>
        <w:tblW w:w="6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5"/>
        <w:gridCol w:w="686"/>
        <w:gridCol w:w="686"/>
        <w:gridCol w:w="686"/>
        <w:gridCol w:w="686"/>
        <w:gridCol w:w="686"/>
        <w:gridCol w:w="686"/>
        <w:gridCol w:w="686"/>
        <w:gridCol w:w="686"/>
      </w:tblGrid>
      <w:tr w:rsidR="00E71A2A" w:rsidRPr="00D11A4C" w:rsidTr="00E71A2A">
        <w:trPr>
          <w:trHeight w:val="289"/>
        </w:trPr>
        <w:tc>
          <w:tcPr>
            <w:tcW w:w="0" w:type="auto"/>
          </w:tcPr>
          <w:p w:rsidR="00E71A2A" w:rsidRPr="00D11A4C" w:rsidRDefault="00E71A2A" w:rsidP="000F1EE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11A4C">
              <w:rPr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0" w:type="auto"/>
          </w:tcPr>
          <w:p w:rsidR="00E71A2A" w:rsidRPr="00E832D6" w:rsidRDefault="00E71A2A" w:rsidP="000F1E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832D6">
              <w:rPr>
                <w:color w:val="000000"/>
                <w:sz w:val="18"/>
                <w:szCs w:val="18"/>
              </w:rPr>
              <w:t>Model</w:t>
            </w:r>
          </w:p>
          <w:p w:rsidR="00E71A2A" w:rsidRPr="00E832D6" w:rsidRDefault="00E71A2A" w:rsidP="000F1E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</w:t>
            </w:r>
            <w:r w:rsidRPr="00E832D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E71A2A" w:rsidRPr="00E832D6" w:rsidRDefault="00E71A2A" w:rsidP="000F1E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832D6">
              <w:rPr>
                <w:color w:val="000000"/>
                <w:sz w:val="18"/>
                <w:szCs w:val="18"/>
              </w:rPr>
              <w:t>Model</w:t>
            </w:r>
          </w:p>
          <w:p w:rsidR="00E71A2A" w:rsidRPr="00E832D6" w:rsidRDefault="00E71A2A" w:rsidP="000F1E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832D6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8.1a</w:t>
            </w:r>
          </w:p>
        </w:tc>
        <w:tc>
          <w:tcPr>
            <w:tcW w:w="0" w:type="auto"/>
          </w:tcPr>
          <w:p w:rsidR="00E71A2A" w:rsidRPr="00E832D6" w:rsidRDefault="00E71A2A" w:rsidP="000F1E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832D6">
              <w:rPr>
                <w:color w:val="000000"/>
                <w:sz w:val="18"/>
                <w:szCs w:val="18"/>
              </w:rPr>
              <w:t>Model</w:t>
            </w:r>
          </w:p>
          <w:p w:rsidR="00E71A2A" w:rsidRPr="00E832D6" w:rsidRDefault="00E71A2A" w:rsidP="000F1E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18.1b</w:t>
            </w:r>
          </w:p>
        </w:tc>
        <w:tc>
          <w:tcPr>
            <w:tcW w:w="0" w:type="auto"/>
          </w:tcPr>
          <w:p w:rsidR="00E71A2A" w:rsidRPr="00E832D6" w:rsidRDefault="00E71A2A" w:rsidP="000F1E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832D6">
              <w:rPr>
                <w:color w:val="000000"/>
                <w:sz w:val="18"/>
                <w:szCs w:val="18"/>
              </w:rPr>
              <w:t>Model</w:t>
            </w:r>
          </w:p>
          <w:p w:rsidR="00E71A2A" w:rsidRPr="00E832D6" w:rsidRDefault="00E71A2A" w:rsidP="000F1E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18.1c</w:t>
            </w:r>
          </w:p>
        </w:tc>
        <w:tc>
          <w:tcPr>
            <w:tcW w:w="0" w:type="auto"/>
          </w:tcPr>
          <w:p w:rsidR="00E71A2A" w:rsidRPr="00E832D6" w:rsidRDefault="00E71A2A" w:rsidP="000F1E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832D6">
              <w:rPr>
                <w:color w:val="000000"/>
                <w:sz w:val="18"/>
                <w:szCs w:val="18"/>
              </w:rPr>
              <w:t>Model</w:t>
            </w:r>
          </w:p>
          <w:p w:rsidR="00E71A2A" w:rsidRPr="00E832D6" w:rsidRDefault="00E71A2A" w:rsidP="000F1E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18.1d</w:t>
            </w:r>
          </w:p>
        </w:tc>
        <w:tc>
          <w:tcPr>
            <w:tcW w:w="0" w:type="auto"/>
          </w:tcPr>
          <w:p w:rsidR="00E71A2A" w:rsidRPr="00E832D6" w:rsidRDefault="00E71A2A" w:rsidP="000F1E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832D6">
              <w:rPr>
                <w:color w:val="000000"/>
                <w:sz w:val="18"/>
                <w:szCs w:val="18"/>
              </w:rPr>
              <w:t>Model</w:t>
            </w:r>
          </w:p>
          <w:p w:rsidR="00E71A2A" w:rsidRPr="00E832D6" w:rsidRDefault="00E71A2A" w:rsidP="000F1E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832D6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</w:tcPr>
          <w:p w:rsidR="00E71A2A" w:rsidRPr="00E832D6" w:rsidRDefault="00E71A2A" w:rsidP="000F1E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832D6">
              <w:rPr>
                <w:color w:val="000000"/>
                <w:sz w:val="18"/>
                <w:szCs w:val="18"/>
              </w:rPr>
              <w:t>Model</w:t>
            </w:r>
          </w:p>
          <w:p w:rsidR="00E71A2A" w:rsidRPr="00E832D6" w:rsidRDefault="00E71A2A" w:rsidP="000F1E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18.2a</w:t>
            </w:r>
          </w:p>
        </w:tc>
        <w:tc>
          <w:tcPr>
            <w:tcW w:w="0" w:type="auto"/>
          </w:tcPr>
          <w:p w:rsidR="00E71A2A" w:rsidRPr="00E832D6" w:rsidRDefault="00E71A2A" w:rsidP="000F1E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832D6">
              <w:rPr>
                <w:color w:val="000000"/>
                <w:sz w:val="18"/>
                <w:szCs w:val="18"/>
              </w:rPr>
              <w:t>Model</w:t>
            </w:r>
          </w:p>
          <w:p w:rsidR="00E71A2A" w:rsidRPr="00E832D6" w:rsidRDefault="00E71A2A" w:rsidP="000F1E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18.2b</w:t>
            </w:r>
          </w:p>
        </w:tc>
      </w:tr>
      <w:tr w:rsidR="00E71A2A" w:rsidRPr="00D11A4C" w:rsidTr="00E71A2A">
        <w:trPr>
          <w:trHeight w:val="289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71A2A" w:rsidRPr="00AD22A1" w:rsidRDefault="00E71A2A" w:rsidP="000F1EE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Additional</w:t>
            </w:r>
            <w:r w:rsidRPr="00AD22A1">
              <w:rPr>
                <w:color w:val="000000"/>
                <w:sz w:val="18"/>
                <w:szCs w:val="18"/>
              </w:rPr>
              <w:t xml:space="preserve"> Parameters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71A2A" w:rsidRPr="00D11A4C" w:rsidRDefault="00E71A2A" w:rsidP="000F1EED">
            <w:pPr>
              <w:ind w:right="10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71A2A" w:rsidRPr="00D11A4C" w:rsidRDefault="00E71A2A" w:rsidP="000F1E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71A2A" w:rsidRDefault="00E71A2A" w:rsidP="000F1E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71A2A" w:rsidRDefault="00E71A2A" w:rsidP="000F1E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71A2A" w:rsidRDefault="00E71A2A" w:rsidP="000F1E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71A2A" w:rsidRDefault="00E71A2A" w:rsidP="000F1E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71A2A" w:rsidRDefault="00E71A2A" w:rsidP="000F1E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71A2A" w:rsidRDefault="00E71A2A" w:rsidP="000F1EE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E71A2A" w:rsidRPr="00D11A4C" w:rsidTr="00E71A2A">
        <w:trPr>
          <w:trHeight w:val="289"/>
        </w:trPr>
        <w:tc>
          <w:tcPr>
            <w:tcW w:w="0" w:type="auto"/>
            <w:tcBorders>
              <w:bottom w:val="nil"/>
            </w:tcBorders>
            <w:vAlign w:val="center"/>
          </w:tcPr>
          <w:p w:rsidR="00E71A2A" w:rsidRPr="00AD22A1" w:rsidRDefault="00E71A2A" w:rsidP="000F1EE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AD22A1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301.0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273.9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289.4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289.0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298.7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E71A2A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304.0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E71A2A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276.6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E71A2A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292.3</w:t>
            </w:r>
          </w:p>
        </w:tc>
      </w:tr>
      <w:tr w:rsidR="00E71A2A" w:rsidRPr="00D11A4C" w:rsidTr="00E71A2A">
        <w:trPr>
          <w:trHeight w:val="289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AD22A1" w:rsidRDefault="00E71A2A" w:rsidP="000F1EE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AD22A1">
              <w:rPr>
                <w:color w:val="000000"/>
                <w:sz w:val="18"/>
                <w:szCs w:val="18"/>
              </w:rPr>
              <w:t>TSA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9.5</w:t>
            </w:r>
          </w:p>
        </w:tc>
      </w:tr>
      <w:tr w:rsidR="00E71A2A" w:rsidRPr="00D11A4C" w:rsidTr="00E71A2A">
        <w:trPr>
          <w:trHeight w:val="289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AD22A1" w:rsidRDefault="00E71A2A" w:rsidP="000F1EE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D22A1">
              <w:rPr>
                <w:color w:val="000000"/>
                <w:sz w:val="18"/>
                <w:szCs w:val="18"/>
              </w:rPr>
              <w:t>St.CPUE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-29.2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-29.2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-29.4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-29.5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-29.5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-29.5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-29.1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-29.3</w:t>
            </w:r>
          </w:p>
        </w:tc>
      </w:tr>
      <w:tr w:rsidR="00E71A2A" w:rsidRPr="00D11A4C" w:rsidTr="00E71A2A">
        <w:trPr>
          <w:trHeight w:val="289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AD22A1" w:rsidRDefault="00E71A2A" w:rsidP="000F1EE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AD22A1">
              <w:rPr>
                <w:color w:val="000000"/>
                <w:sz w:val="18"/>
                <w:szCs w:val="18"/>
              </w:rPr>
              <w:t>TLP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104.1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104.0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103.9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103.4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106.1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105.9</w:t>
            </w:r>
          </w:p>
        </w:tc>
      </w:tr>
      <w:tr w:rsidR="00E71A2A" w:rsidRPr="00D11A4C" w:rsidTr="00E71A2A">
        <w:trPr>
          <w:trHeight w:val="289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AD22A1" w:rsidRDefault="00E71A2A" w:rsidP="000F1EE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AD22A1">
              <w:rPr>
                <w:color w:val="000000"/>
                <w:sz w:val="18"/>
                <w:szCs w:val="18"/>
              </w:rPr>
              <w:t>WLP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39.1</w:t>
            </w:r>
          </w:p>
        </w:tc>
      </w:tr>
      <w:tr w:rsidR="00E71A2A" w:rsidRPr="00D11A4C" w:rsidTr="00E71A2A">
        <w:trPr>
          <w:trHeight w:val="289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AD22A1" w:rsidRDefault="00E71A2A" w:rsidP="000F1EE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AD22A1">
              <w:rPr>
                <w:color w:val="000000"/>
                <w:sz w:val="18"/>
                <w:szCs w:val="18"/>
              </w:rPr>
              <w:t>CLP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080755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  <w:r w:rsidRPr="0008075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080755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  <w:r w:rsidRPr="0008075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080755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  <w:r w:rsidRPr="0008075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080755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080755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080755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  <w:r w:rsidRPr="0008075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</w:tr>
      <w:tr w:rsidR="00E71A2A" w:rsidRPr="00D11A4C" w:rsidTr="00E71A2A">
        <w:trPr>
          <w:trHeight w:val="289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AD22A1" w:rsidRDefault="00E71A2A" w:rsidP="000F1EE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AD22A1">
              <w:rPr>
                <w:color w:val="000000"/>
                <w:sz w:val="18"/>
                <w:szCs w:val="18"/>
              </w:rPr>
              <w:t>OBS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7B4D43" w:rsidRDefault="00E71A2A" w:rsidP="000F1EED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9C382C" w:rsidRDefault="00E71A2A" w:rsidP="000F1EED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C382C">
              <w:rPr>
                <w:b/>
                <w:color w:val="000000"/>
                <w:sz w:val="18"/>
                <w:szCs w:val="18"/>
              </w:rPr>
              <w:t>20.6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9C382C" w:rsidRDefault="00E71A2A" w:rsidP="000F1EED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C382C">
              <w:rPr>
                <w:b/>
                <w:color w:val="000000"/>
                <w:sz w:val="18"/>
                <w:szCs w:val="18"/>
              </w:rPr>
              <w:t>20.6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9C382C" w:rsidRDefault="00E71A2A" w:rsidP="000F1EED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C382C">
              <w:rPr>
                <w:b/>
                <w:color w:val="000000"/>
                <w:sz w:val="18"/>
                <w:szCs w:val="18"/>
              </w:rPr>
              <w:t>2</w:t>
            </w:r>
            <w:r>
              <w:rPr>
                <w:b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C10B6F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 w:rsidRPr="00C10B6F">
              <w:rPr>
                <w:color w:val="000000"/>
                <w:sz w:val="18"/>
                <w:szCs w:val="18"/>
              </w:rPr>
              <w:t>30.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9C382C" w:rsidRDefault="00E71A2A" w:rsidP="000F1EED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9C382C" w:rsidRDefault="00E71A2A" w:rsidP="000F1EED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9C382C">
              <w:rPr>
                <w:b/>
                <w:color w:val="000000"/>
                <w:sz w:val="18"/>
                <w:szCs w:val="18"/>
              </w:rPr>
              <w:t>20.</w:t>
            </w: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</w:tr>
      <w:tr w:rsidR="00E71A2A" w:rsidRPr="00D11A4C" w:rsidTr="00E71A2A">
        <w:trPr>
          <w:trHeight w:val="289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AD22A1" w:rsidRDefault="00E71A2A" w:rsidP="000F1EE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AD22A1">
              <w:rPr>
                <w:color w:val="000000"/>
                <w:sz w:val="18"/>
                <w:szCs w:val="18"/>
              </w:rPr>
              <w:t>REC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15.1</w:t>
            </w:r>
          </w:p>
        </w:tc>
      </w:tr>
      <w:tr w:rsidR="00E71A2A" w:rsidRPr="00D11A4C" w:rsidTr="00E71A2A">
        <w:trPr>
          <w:trHeight w:val="289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E71A2A" w:rsidRPr="00AD22A1" w:rsidRDefault="00E71A2A" w:rsidP="000F1EE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AD22A1">
              <w:rPr>
                <w:color w:val="000000"/>
                <w:sz w:val="18"/>
                <w:szCs w:val="18"/>
              </w:rPr>
              <w:t>TAG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81.1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E71A2A" w:rsidRPr="00A37F22" w:rsidRDefault="00E71A2A" w:rsidP="000F1EED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77.8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81.3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81.3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90.5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80.9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E71A2A" w:rsidRPr="000F1EED" w:rsidRDefault="00E71A2A" w:rsidP="000F1EED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0F1EED">
              <w:rPr>
                <w:b/>
                <w:color w:val="000000"/>
                <w:sz w:val="18"/>
                <w:szCs w:val="18"/>
              </w:rPr>
              <w:t>77.6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81.1</w:t>
            </w:r>
          </w:p>
        </w:tc>
      </w:tr>
      <w:tr w:rsidR="00E71A2A" w:rsidRPr="00D11A4C" w:rsidTr="00E71A2A">
        <w:trPr>
          <w:trHeight w:val="289"/>
        </w:trPr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E71A2A" w:rsidRPr="00AD22A1" w:rsidRDefault="00E71A2A" w:rsidP="000F1EE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WN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E71A2A" w:rsidRPr="00D11A4C" w:rsidRDefault="00E71A2A" w:rsidP="000F1EE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E71A2A" w:rsidRPr="00D11A4C" w:rsidRDefault="00E71A2A" w:rsidP="000F1E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E71A2A" w:rsidRPr="00D11A4C" w:rsidRDefault="00E71A2A" w:rsidP="000F1E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E71A2A" w:rsidRPr="00D11A4C" w:rsidRDefault="00E71A2A" w:rsidP="000F1E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E71A2A" w:rsidRPr="00D11A4C" w:rsidRDefault="00E71A2A" w:rsidP="000F1EE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E71A2A" w:rsidRPr="00D11A4C" w:rsidRDefault="00E71A2A" w:rsidP="000F1E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E71A2A" w:rsidRPr="00D11A4C" w:rsidRDefault="00E71A2A" w:rsidP="000F1E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E71A2A" w:rsidRPr="00D11A4C" w:rsidRDefault="00E71A2A" w:rsidP="000F1E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</w:tr>
      <w:tr w:rsidR="00E71A2A" w:rsidRPr="00D11A4C" w:rsidTr="00E71A2A">
        <w:trPr>
          <w:trHeight w:val="289"/>
        </w:trPr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E71A2A" w:rsidRPr="00AD22A1" w:rsidRDefault="00E71A2A" w:rsidP="000F1EE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proofErr w:type="gramStart"/>
            <w:r w:rsidRPr="00AD22A1">
              <w:rPr>
                <w:color w:val="000000"/>
                <w:sz w:val="18"/>
                <w:szCs w:val="18"/>
              </w:rPr>
              <w:lastRenderedPageBreak/>
              <w:t>MMB(</w:t>
            </w:r>
            <w:proofErr w:type="gramEnd"/>
            <w:r w:rsidRPr="00AD22A1">
              <w:rPr>
                <w:color w:val="000000"/>
                <w:sz w:val="18"/>
                <w:szCs w:val="18"/>
              </w:rPr>
              <w:t>mil.lb)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E71A2A" w:rsidRPr="00E832D6" w:rsidRDefault="00E71A2A" w:rsidP="000F1EE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E832D6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  <w:r w:rsidR="007534DA">
              <w:rPr>
                <w:sz w:val="18"/>
                <w:szCs w:val="18"/>
              </w:rPr>
              <w:t>2</w:t>
            </w:r>
          </w:p>
        </w:tc>
      </w:tr>
      <w:tr w:rsidR="00E71A2A" w:rsidRPr="00D11A4C" w:rsidTr="00E71A2A">
        <w:trPr>
          <w:trHeight w:val="289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AD22A1" w:rsidRDefault="00E71A2A" w:rsidP="000F1EE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proofErr w:type="gramStart"/>
            <w:r w:rsidRPr="00AD22A1">
              <w:rPr>
                <w:color w:val="000000"/>
                <w:sz w:val="18"/>
                <w:szCs w:val="18"/>
              </w:rPr>
              <w:t>Legal  crab</w:t>
            </w:r>
            <w:proofErr w:type="gramEnd"/>
            <w:r w:rsidRPr="00AD22A1">
              <w:rPr>
                <w:color w:val="000000"/>
                <w:sz w:val="18"/>
                <w:szCs w:val="18"/>
              </w:rPr>
              <w:t xml:space="preserve"> Catchable (mil.lb)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E832D6" w:rsidRDefault="00E71A2A" w:rsidP="000F1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  <w:r w:rsidR="007534DA">
              <w:rPr>
                <w:sz w:val="18"/>
                <w:szCs w:val="18"/>
              </w:rPr>
              <w:t>1</w:t>
            </w:r>
          </w:p>
        </w:tc>
      </w:tr>
      <w:tr w:rsidR="00E71A2A" w:rsidRPr="00D11A4C" w:rsidTr="00E71A2A">
        <w:trPr>
          <w:trHeight w:val="289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AD22A1" w:rsidRDefault="00E71A2A" w:rsidP="000F1EE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proofErr w:type="gramStart"/>
            <w:r w:rsidRPr="00AD22A1">
              <w:rPr>
                <w:color w:val="000000"/>
                <w:sz w:val="18"/>
                <w:szCs w:val="18"/>
              </w:rPr>
              <w:t>OFL(</w:t>
            </w:r>
            <w:proofErr w:type="gramEnd"/>
            <w:r w:rsidRPr="00AD22A1">
              <w:rPr>
                <w:color w:val="000000"/>
                <w:sz w:val="18"/>
                <w:szCs w:val="18"/>
              </w:rPr>
              <w:t xml:space="preserve">mil.lb)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D11A4C" w:rsidRDefault="00E71A2A" w:rsidP="000F1E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D11A4C" w:rsidRDefault="00E71A2A" w:rsidP="000F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D11A4C" w:rsidRDefault="00E71A2A" w:rsidP="000F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D11A4C" w:rsidRDefault="00E71A2A" w:rsidP="000F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D11A4C" w:rsidRDefault="00E71A2A" w:rsidP="000F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D11A4C" w:rsidRDefault="00E71A2A" w:rsidP="000F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D11A4C" w:rsidRDefault="00E71A2A" w:rsidP="000F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D11A4C" w:rsidRDefault="00E71A2A" w:rsidP="000F1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</w:t>
            </w:r>
          </w:p>
        </w:tc>
      </w:tr>
      <w:tr w:rsidR="00E71A2A" w:rsidRPr="00D11A4C" w:rsidTr="00E71A2A">
        <w:trPr>
          <w:trHeight w:val="289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OF</w:t>
            </w:r>
            <w:r w:rsidR="005019DD">
              <w:rPr>
                <w:color w:val="000000"/>
                <w:sz w:val="18"/>
                <w:szCs w:val="18"/>
              </w:rPr>
              <w:t xml:space="preserve">L* </w:t>
            </w:r>
            <w:r w:rsidR="005019DD" w:rsidRPr="00AD22A1">
              <w:rPr>
                <w:color w:val="000000"/>
                <w:sz w:val="18"/>
                <w:szCs w:val="18"/>
              </w:rPr>
              <w:t>(mil.lb)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0.44</w:t>
            </w:r>
          </w:p>
        </w:tc>
      </w:tr>
      <w:tr w:rsidR="00E71A2A" w:rsidRPr="00D11A4C" w:rsidTr="00E71A2A">
        <w:trPr>
          <w:trHeight w:val="289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B35%(mil.lb)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1.22</w:t>
            </w:r>
          </w:p>
        </w:tc>
      </w:tr>
      <w:tr w:rsidR="00E71A2A" w:rsidRPr="00D11A4C" w:rsidTr="00E71A2A">
        <w:trPr>
          <w:trHeight w:val="289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Pr="00AD22A1" w:rsidRDefault="00E71A2A" w:rsidP="00A22A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F35%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</w:t>
            </w:r>
            <w:r w:rsidR="00377BE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1.89</w:t>
            </w:r>
          </w:p>
        </w:tc>
      </w:tr>
      <w:tr w:rsidR="00E71A2A" w:rsidRPr="00D11A4C" w:rsidTr="00E71A2A">
        <w:trPr>
          <w:trHeight w:val="289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F40%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377BE2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tabs>
                <w:tab w:val="left" w:pos="349"/>
              </w:tabs>
              <w:ind w:righ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</w:t>
            </w:r>
          </w:p>
        </w:tc>
      </w:tr>
      <w:tr w:rsidR="00E71A2A" w:rsidRPr="00D11A4C" w:rsidTr="00E71A2A">
        <w:trPr>
          <w:trHeight w:val="289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OFL:F</w:t>
            </w:r>
            <w:proofErr w:type="gramEnd"/>
            <w:r>
              <w:rPr>
                <w:color w:val="000000"/>
                <w:sz w:val="18"/>
                <w:szCs w:val="18"/>
              </w:rPr>
              <w:t>35%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C822DB" w:rsidP="00A22A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377BE2" w:rsidP="00A22A96">
            <w:pPr>
              <w:tabs>
                <w:tab w:val="left" w:pos="349"/>
              </w:tabs>
              <w:ind w:righ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377BE2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377BE2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377BE2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377BE2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377BE2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377BE2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1.56</w:t>
            </w:r>
          </w:p>
        </w:tc>
      </w:tr>
      <w:tr w:rsidR="00E71A2A" w:rsidRPr="00D11A4C" w:rsidTr="00E71A2A">
        <w:trPr>
          <w:trHeight w:val="289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E71A2A" w:rsidP="00A22A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OFL:F</w:t>
            </w:r>
            <w:proofErr w:type="gramEnd"/>
            <w:r>
              <w:rPr>
                <w:color w:val="000000"/>
                <w:sz w:val="18"/>
                <w:szCs w:val="18"/>
              </w:rPr>
              <w:t>40%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377BE2" w:rsidP="00A22A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377BE2" w:rsidP="00A22A96">
            <w:pPr>
              <w:tabs>
                <w:tab w:val="left" w:pos="349"/>
              </w:tabs>
              <w:ind w:righ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377BE2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377BE2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377BE2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377BE2" w:rsidP="00377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377BE2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E71A2A" w:rsidRDefault="00377BE2" w:rsidP="00A22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</w:t>
            </w:r>
          </w:p>
        </w:tc>
      </w:tr>
    </w:tbl>
    <w:p w:rsidR="005870A9" w:rsidRDefault="005870A9" w:rsidP="00050844">
      <w:pPr>
        <w:jc w:val="both"/>
        <w:rPr>
          <w:color w:val="000000" w:themeColor="text1"/>
          <w:sz w:val="20"/>
          <w:szCs w:val="20"/>
        </w:rPr>
      </w:pPr>
    </w:p>
    <w:p w:rsidR="00846FDA" w:rsidRDefault="00846FDA" w:rsidP="00050844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TSA:  Trawl Survey Abundance</w:t>
      </w:r>
    </w:p>
    <w:p w:rsidR="00050844" w:rsidRPr="00170235" w:rsidRDefault="00050844" w:rsidP="00050844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St. </w:t>
      </w:r>
      <w:r w:rsidRPr="00170235">
        <w:rPr>
          <w:color w:val="000000" w:themeColor="text1"/>
          <w:sz w:val="20"/>
          <w:szCs w:val="20"/>
        </w:rPr>
        <w:t xml:space="preserve">CPUE:  </w:t>
      </w:r>
      <w:r>
        <w:rPr>
          <w:color w:val="000000" w:themeColor="text1"/>
          <w:sz w:val="20"/>
          <w:szCs w:val="20"/>
        </w:rPr>
        <w:t xml:space="preserve">Summer commercial catch standardized </w:t>
      </w:r>
      <w:r w:rsidR="00846FDA">
        <w:rPr>
          <w:color w:val="000000" w:themeColor="text1"/>
          <w:sz w:val="20"/>
          <w:szCs w:val="20"/>
        </w:rPr>
        <w:t>CPUE</w:t>
      </w:r>
    </w:p>
    <w:p w:rsidR="00050844" w:rsidRPr="00170235" w:rsidRDefault="00050844" w:rsidP="00050844">
      <w:pPr>
        <w:jc w:val="both"/>
        <w:rPr>
          <w:color w:val="000000" w:themeColor="text1"/>
          <w:sz w:val="20"/>
          <w:szCs w:val="20"/>
        </w:rPr>
      </w:pPr>
      <w:r w:rsidRPr="00170235">
        <w:rPr>
          <w:color w:val="000000" w:themeColor="text1"/>
          <w:sz w:val="20"/>
          <w:szCs w:val="20"/>
        </w:rPr>
        <w:t>TLP:  Trawl survey length composition</w:t>
      </w:r>
      <w:r>
        <w:rPr>
          <w:color w:val="000000" w:themeColor="text1"/>
          <w:sz w:val="20"/>
          <w:szCs w:val="20"/>
        </w:rPr>
        <w:t xml:space="preserve">: </w:t>
      </w:r>
    </w:p>
    <w:p w:rsidR="00050844" w:rsidRPr="00170235" w:rsidRDefault="00050844" w:rsidP="00050844">
      <w:pPr>
        <w:jc w:val="both"/>
        <w:rPr>
          <w:color w:val="000000" w:themeColor="text1"/>
          <w:sz w:val="20"/>
          <w:szCs w:val="20"/>
        </w:rPr>
      </w:pPr>
      <w:r w:rsidRPr="00170235">
        <w:rPr>
          <w:color w:val="000000" w:themeColor="text1"/>
          <w:sz w:val="20"/>
          <w:szCs w:val="20"/>
        </w:rPr>
        <w:t>WLP:  Winter pot survey length composition</w:t>
      </w:r>
    </w:p>
    <w:p w:rsidR="00050844" w:rsidRPr="00170235" w:rsidRDefault="00050844" w:rsidP="00050844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CLP:  Summer commercial </w:t>
      </w:r>
      <w:r w:rsidR="005A0B0C">
        <w:rPr>
          <w:color w:val="000000" w:themeColor="text1"/>
          <w:sz w:val="20"/>
          <w:szCs w:val="20"/>
        </w:rPr>
        <w:t xml:space="preserve">retention </w:t>
      </w:r>
      <w:r>
        <w:rPr>
          <w:color w:val="000000" w:themeColor="text1"/>
          <w:sz w:val="20"/>
          <w:szCs w:val="20"/>
        </w:rPr>
        <w:t>c</w:t>
      </w:r>
      <w:r w:rsidRPr="00170235">
        <w:rPr>
          <w:color w:val="000000" w:themeColor="text1"/>
          <w:sz w:val="20"/>
          <w:szCs w:val="20"/>
        </w:rPr>
        <w:t>atch length composition</w:t>
      </w:r>
    </w:p>
    <w:p w:rsidR="00050844" w:rsidRPr="00170235" w:rsidRDefault="00050844" w:rsidP="00050844">
      <w:pPr>
        <w:jc w:val="both"/>
        <w:rPr>
          <w:color w:val="000000" w:themeColor="text1"/>
          <w:sz w:val="20"/>
          <w:szCs w:val="20"/>
        </w:rPr>
      </w:pPr>
      <w:r w:rsidRPr="00170235">
        <w:rPr>
          <w:color w:val="000000" w:themeColor="text1"/>
          <w:sz w:val="20"/>
          <w:szCs w:val="20"/>
        </w:rPr>
        <w:t xml:space="preserve">REC:  Recruitment </w:t>
      </w:r>
      <w:r>
        <w:rPr>
          <w:color w:val="000000" w:themeColor="text1"/>
          <w:sz w:val="20"/>
          <w:szCs w:val="20"/>
        </w:rPr>
        <w:t>deviation</w:t>
      </w:r>
    </w:p>
    <w:p w:rsidR="00050844" w:rsidRPr="00170235" w:rsidRDefault="00050844" w:rsidP="00050844">
      <w:pPr>
        <w:jc w:val="both"/>
        <w:rPr>
          <w:color w:val="000000" w:themeColor="text1"/>
          <w:sz w:val="20"/>
          <w:szCs w:val="20"/>
        </w:rPr>
      </w:pPr>
      <w:r w:rsidRPr="00170235">
        <w:rPr>
          <w:color w:val="000000" w:themeColor="text1"/>
          <w:sz w:val="20"/>
          <w:szCs w:val="20"/>
        </w:rPr>
        <w:t xml:space="preserve">OBS:  Summer </w:t>
      </w:r>
      <w:r w:rsidR="00846FDA">
        <w:rPr>
          <w:color w:val="000000" w:themeColor="text1"/>
          <w:sz w:val="20"/>
          <w:szCs w:val="20"/>
        </w:rPr>
        <w:t>c</w:t>
      </w:r>
      <w:r w:rsidRPr="00170235">
        <w:rPr>
          <w:color w:val="000000" w:themeColor="text1"/>
          <w:sz w:val="20"/>
          <w:szCs w:val="20"/>
        </w:rPr>
        <w:t xml:space="preserve">ommercial catch </w:t>
      </w:r>
      <w:r w:rsidR="00846FDA">
        <w:rPr>
          <w:color w:val="000000" w:themeColor="text1"/>
          <w:sz w:val="20"/>
          <w:szCs w:val="20"/>
        </w:rPr>
        <w:t>o</w:t>
      </w:r>
      <w:r w:rsidRPr="00170235">
        <w:rPr>
          <w:color w:val="000000" w:themeColor="text1"/>
          <w:sz w:val="20"/>
          <w:szCs w:val="20"/>
        </w:rPr>
        <w:t xml:space="preserve">bserver discards </w:t>
      </w:r>
      <w:r w:rsidR="005A0B0C">
        <w:rPr>
          <w:color w:val="000000" w:themeColor="text1"/>
          <w:sz w:val="20"/>
          <w:szCs w:val="20"/>
        </w:rPr>
        <w:t xml:space="preserve">(Baseline) or total catch (Alternative models) </w:t>
      </w:r>
      <w:r w:rsidRPr="00170235">
        <w:rPr>
          <w:color w:val="000000" w:themeColor="text1"/>
          <w:sz w:val="20"/>
          <w:szCs w:val="20"/>
        </w:rPr>
        <w:t>length composition</w:t>
      </w:r>
    </w:p>
    <w:p w:rsidR="00F50D47" w:rsidRDefault="00050844" w:rsidP="0061729F">
      <w:pPr>
        <w:jc w:val="both"/>
        <w:rPr>
          <w:color w:val="000000" w:themeColor="text1"/>
          <w:sz w:val="20"/>
          <w:szCs w:val="20"/>
        </w:rPr>
      </w:pPr>
      <w:r w:rsidRPr="00170235">
        <w:rPr>
          <w:color w:val="000000" w:themeColor="text1"/>
          <w:sz w:val="20"/>
          <w:szCs w:val="20"/>
        </w:rPr>
        <w:t xml:space="preserve">TAG: Tagging recovery data composition </w:t>
      </w:r>
    </w:p>
    <w:p w:rsidR="00842143" w:rsidRDefault="004D5F85" w:rsidP="004D5F85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WN: Winter Commercial length</w:t>
      </w:r>
      <w:r w:rsidR="006A4EBA">
        <w:rPr>
          <w:color w:val="000000" w:themeColor="text1"/>
          <w:sz w:val="20"/>
          <w:szCs w:val="20"/>
        </w:rPr>
        <w:t>-shell</w:t>
      </w:r>
      <w:r>
        <w:rPr>
          <w:color w:val="000000" w:themeColor="text1"/>
          <w:sz w:val="20"/>
          <w:szCs w:val="20"/>
        </w:rPr>
        <w:t xml:space="preserve"> composition</w:t>
      </w:r>
    </w:p>
    <w:p w:rsidR="005019DD" w:rsidRPr="005019DD" w:rsidRDefault="005019DD" w:rsidP="004D5F85">
      <w:pPr>
        <w:jc w:val="both"/>
        <w:rPr>
          <w:color w:val="000000"/>
          <w:sz w:val="20"/>
          <w:szCs w:val="20"/>
        </w:rPr>
      </w:pPr>
      <w:r w:rsidRPr="005019DD">
        <w:rPr>
          <w:color w:val="000000"/>
          <w:sz w:val="20"/>
          <w:szCs w:val="20"/>
        </w:rPr>
        <w:t>OFL</w:t>
      </w:r>
      <w:proofErr w:type="gramStart"/>
      <w:r w:rsidRPr="005019DD">
        <w:rPr>
          <w:color w:val="000000"/>
          <w:sz w:val="20"/>
          <w:szCs w:val="20"/>
        </w:rPr>
        <w:t>* :</w:t>
      </w:r>
      <w:proofErr w:type="gramEnd"/>
      <w:r w:rsidRPr="005019DD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 w:rsidRPr="005019DD">
        <w:rPr>
          <w:color w:val="000000"/>
          <w:sz w:val="20"/>
          <w:szCs w:val="20"/>
        </w:rPr>
        <w:t>Tier 4 OFL where F</w:t>
      </w:r>
      <w:r w:rsidRPr="005019DD">
        <w:rPr>
          <w:color w:val="000000"/>
          <w:sz w:val="20"/>
          <w:szCs w:val="20"/>
          <w:vertAlign w:val="subscript"/>
        </w:rPr>
        <w:t>OFL</w:t>
      </w:r>
      <w:r w:rsidRPr="005019DD">
        <w:rPr>
          <w:color w:val="000000"/>
          <w:sz w:val="20"/>
          <w:szCs w:val="20"/>
        </w:rPr>
        <w:t xml:space="preserve"> is size </w:t>
      </w:r>
      <w:r>
        <w:rPr>
          <w:color w:val="000000"/>
          <w:sz w:val="20"/>
          <w:szCs w:val="20"/>
        </w:rPr>
        <w:t xml:space="preserve">dependent (i.e. higher </w:t>
      </w:r>
      <w:r w:rsidRPr="005019DD">
        <w:rPr>
          <w:color w:val="000000"/>
          <w:sz w:val="20"/>
          <w:szCs w:val="20"/>
        </w:rPr>
        <w:t>F</w:t>
      </w:r>
      <w:r w:rsidRPr="005019DD">
        <w:rPr>
          <w:color w:val="000000"/>
          <w:sz w:val="20"/>
          <w:szCs w:val="20"/>
          <w:vertAlign w:val="subscript"/>
        </w:rPr>
        <w:t>OFL</w:t>
      </w:r>
      <w:r>
        <w:rPr>
          <w:color w:val="000000"/>
          <w:sz w:val="20"/>
          <w:szCs w:val="20"/>
          <w:vertAlign w:val="subscript"/>
        </w:rPr>
        <w:t xml:space="preserve"> </w:t>
      </w:r>
      <w:r>
        <w:rPr>
          <w:color w:val="000000"/>
          <w:sz w:val="20"/>
          <w:szCs w:val="20"/>
        </w:rPr>
        <w:t xml:space="preserve">for the last two length classes).   </w:t>
      </w:r>
    </w:p>
    <w:p w:rsidR="005019DD" w:rsidRDefault="005019DD" w:rsidP="004D5F85">
      <w:pPr>
        <w:jc w:val="both"/>
        <w:rPr>
          <w:color w:val="000000" w:themeColor="text1"/>
          <w:sz w:val="20"/>
          <w:szCs w:val="20"/>
        </w:rPr>
      </w:pPr>
    </w:p>
    <w:p w:rsidR="007627E3" w:rsidRDefault="00B0045B" w:rsidP="0061729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See Appendix C1-C</w:t>
      </w:r>
      <w:r w:rsidR="0098776A">
        <w:rPr>
          <w:color w:val="000000" w:themeColor="text1"/>
          <w:sz w:val="20"/>
          <w:szCs w:val="20"/>
        </w:rPr>
        <w:t>3</w:t>
      </w:r>
      <w:r w:rsidR="00283A0A">
        <w:rPr>
          <w:color w:val="000000" w:themeColor="text1"/>
          <w:sz w:val="20"/>
          <w:szCs w:val="20"/>
        </w:rPr>
        <w:t xml:space="preserve"> for standard output figures and estimated parameters.</w:t>
      </w:r>
    </w:p>
    <w:p w:rsidR="00E52923" w:rsidRDefault="00E52923" w:rsidP="0061729F">
      <w:pPr>
        <w:jc w:val="both"/>
        <w:rPr>
          <w:color w:val="000000" w:themeColor="text1"/>
          <w:sz w:val="20"/>
          <w:szCs w:val="20"/>
        </w:rPr>
      </w:pPr>
    </w:p>
    <w:p w:rsidR="00A20BF9" w:rsidRDefault="00A20BF9" w:rsidP="0061729F">
      <w:pPr>
        <w:jc w:val="both"/>
        <w:rPr>
          <w:color w:val="000000" w:themeColor="text1"/>
          <w:sz w:val="20"/>
          <w:szCs w:val="20"/>
        </w:rPr>
      </w:pPr>
    </w:p>
    <w:p w:rsidR="002A2990" w:rsidRPr="002A2990" w:rsidRDefault="007958FF" w:rsidP="004F27CE">
      <w:pPr>
        <w:pStyle w:val="ListParagraph"/>
        <w:numPr>
          <w:ilvl w:val="0"/>
          <w:numId w:val="20"/>
        </w:numPr>
        <w:spacing w:after="120"/>
        <w:ind w:left="360"/>
        <w:contextualSpacing w:val="0"/>
        <w:jc w:val="both"/>
        <w:rPr>
          <w:color w:val="FF0000"/>
        </w:rPr>
      </w:pPr>
      <w:r>
        <w:t>Search for balance:</w:t>
      </w:r>
    </w:p>
    <w:p w:rsidR="00D75497" w:rsidRDefault="000A7132" w:rsidP="00CB029F">
      <w:pPr>
        <w:pStyle w:val="ListParagraph"/>
        <w:spacing w:after="120"/>
        <w:ind w:left="360"/>
        <w:contextualSpacing w:val="0"/>
        <w:jc w:val="both"/>
      </w:pPr>
      <w:r>
        <w:t>It</w:t>
      </w:r>
      <w:r w:rsidR="00A20BF9">
        <w:t xml:space="preserve"> should be noted that comparison of </w:t>
      </w:r>
      <w:r w:rsidR="005A0B0C">
        <w:t xml:space="preserve">total </w:t>
      </w:r>
      <w:r w:rsidR="001A71F7">
        <w:t xml:space="preserve">and Observer (OBS) likelihood </w:t>
      </w:r>
      <w:r>
        <w:t xml:space="preserve">among Model 18.0, 18.1x, 18.2x </w:t>
      </w:r>
      <w:r w:rsidR="00A20BF9">
        <w:t xml:space="preserve">are in appropriate </w:t>
      </w:r>
      <w:r>
        <w:t xml:space="preserve">because data set and likelihood </w:t>
      </w:r>
      <w:r w:rsidR="00A20BF9">
        <w:t xml:space="preserve">calculations </w:t>
      </w:r>
      <w:r>
        <w:t>differ.</w:t>
      </w:r>
      <w:r w:rsidR="00A20BF9">
        <w:t xml:space="preserve"> </w:t>
      </w:r>
      <w:r w:rsidR="001A71F7">
        <w:t xml:space="preserve"> </w:t>
      </w:r>
      <w:r w:rsidR="00A20BF9">
        <w:t xml:space="preserve"> </w:t>
      </w:r>
      <w:r>
        <w:t xml:space="preserve">Examining </w:t>
      </w:r>
      <w:r w:rsidR="001A71F7">
        <w:t>other</w:t>
      </w:r>
      <w:r>
        <w:t xml:space="preserve"> likelihood</w:t>
      </w:r>
      <w:r w:rsidR="001A71F7">
        <w:t>s</w:t>
      </w:r>
      <w:r>
        <w:t xml:space="preserve">, </w:t>
      </w:r>
      <w:r w:rsidR="00E83876">
        <w:t xml:space="preserve">estimating retention selectivity did not change fit to population dynamics (TSA, </w:t>
      </w:r>
      <w:proofErr w:type="spellStart"/>
      <w:proofErr w:type="gramStart"/>
      <w:r w:rsidR="00E83876">
        <w:t>st.CPUE</w:t>
      </w:r>
      <w:proofErr w:type="spellEnd"/>
      <w:proofErr w:type="gramEnd"/>
      <w:r w:rsidR="00E83876">
        <w:t xml:space="preserve">), but improved fits of commercial retention (CLP) and tag recovery data (TAG) that inform transition matrix and molt probability. </w:t>
      </w:r>
      <w:r w:rsidR="006A75EA">
        <w:t xml:space="preserve"> </w:t>
      </w:r>
      <w:r w:rsidR="00AA4D47">
        <w:t>Difference between the model 18.</w:t>
      </w:r>
      <w:r w:rsidR="00D75497">
        <w:t>1</w:t>
      </w:r>
      <w:r w:rsidR="00AA4D47">
        <w:t>a and 18.</w:t>
      </w:r>
      <w:r w:rsidR="00D75497">
        <w:t>1</w:t>
      </w:r>
      <w:r w:rsidR="00AA4D47">
        <w:t>b is, whether to utilize historical 198</w:t>
      </w:r>
      <w:r w:rsidR="00654566">
        <w:t>7</w:t>
      </w:r>
      <w:r w:rsidR="00AA4D47">
        <w:t>-199</w:t>
      </w:r>
      <w:r w:rsidR="00654566">
        <w:t>4</w:t>
      </w:r>
      <w:r w:rsidR="00AA4D47">
        <w:t xml:space="preserve"> discards length composition data. </w:t>
      </w:r>
      <w:r w:rsidR="00D75497">
        <w:t xml:space="preserve">Since the historical data were collected during the period of </w:t>
      </w:r>
      <w:proofErr w:type="gramStart"/>
      <w:r w:rsidR="00D75497">
        <w:t>large scale</w:t>
      </w:r>
      <w:proofErr w:type="gramEnd"/>
      <w:r w:rsidR="00D75497">
        <w:t xml:space="preserve"> fishery, the data would be expected to differentiate catch or retention selectivity if they differed between the two fishery periods.  However, s</w:t>
      </w:r>
      <w:r w:rsidR="006A75EA">
        <w:t xml:space="preserve">eparating catch or retention selectivity (Model 18.1c, 18.1d) did not improve model. </w:t>
      </w:r>
      <w:r w:rsidR="001A71F7">
        <w:t xml:space="preserve"> </w:t>
      </w:r>
    </w:p>
    <w:p w:rsidR="00AA4D47" w:rsidRDefault="006A75EA" w:rsidP="00CB029F">
      <w:pPr>
        <w:pStyle w:val="ListParagraph"/>
        <w:spacing w:after="120"/>
        <w:ind w:left="360"/>
        <w:contextualSpacing w:val="0"/>
        <w:jc w:val="both"/>
      </w:pPr>
      <w:r>
        <w:t xml:space="preserve">Given that summer total </w:t>
      </w:r>
      <w:proofErr w:type="gramStart"/>
      <w:r>
        <w:t>catch</w:t>
      </w:r>
      <w:proofErr w:type="gramEnd"/>
      <w:r>
        <w:t xml:space="preserve"> and winter retention data will be </w:t>
      </w:r>
      <w:r w:rsidR="00AA4D47">
        <w:t>collected</w:t>
      </w:r>
      <w:r>
        <w:t xml:space="preserve"> annually, incorporating those</w:t>
      </w:r>
      <w:r w:rsidR="00A70E67">
        <w:t xml:space="preserve"> two</w:t>
      </w:r>
      <w:r>
        <w:t xml:space="preserve"> data</w:t>
      </w:r>
      <w:r w:rsidR="00A70E67">
        <w:t xml:space="preserve">sets </w:t>
      </w:r>
      <w:r>
        <w:t>(Model 18.2</w:t>
      </w:r>
      <w:r w:rsidR="00A70E67">
        <w:t>a, b)</w:t>
      </w:r>
      <w:r>
        <w:t xml:space="preserve"> is desirabl</w:t>
      </w:r>
      <w:r w:rsidR="00A70E67">
        <w:t>e</w:t>
      </w:r>
      <w:r w:rsidR="00AA4D47">
        <w:t xml:space="preserve">, </w:t>
      </w:r>
      <w:r w:rsidR="001A71F7">
        <w:t xml:space="preserve">although estimating winter retention selectivity did not improve model fit of winter retention (WIN). </w:t>
      </w:r>
      <w:r w:rsidR="00F3373F">
        <w:t xml:space="preserve"> This is probably because winter retention selectivity was </w:t>
      </w:r>
      <w:proofErr w:type="gramStart"/>
      <w:r w:rsidR="00F3373F">
        <w:t>similar to</w:t>
      </w:r>
      <w:proofErr w:type="gramEnd"/>
      <w:r w:rsidR="00F3373F">
        <w:t xml:space="preserve"> assumed selectivity (Figure 3).  As for consequences of alternative models in management parameters, </w:t>
      </w:r>
      <w:r w:rsidR="001A71F7">
        <w:t xml:space="preserve">all models estimated nearly similar projected MMB, and OFL. </w:t>
      </w:r>
      <w:r w:rsidR="00F3373F">
        <w:t xml:space="preserve"> </w:t>
      </w:r>
    </w:p>
    <w:p w:rsidR="00E83876" w:rsidRDefault="00D75497" w:rsidP="00BF2005">
      <w:pPr>
        <w:pStyle w:val="ListParagraph"/>
        <w:spacing w:after="120"/>
        <w:ind w:left="360"/>
        <w:contextualSpacing w:val="0"/>
        <w:jc w:val="both"/>
      </w:pPr>
      <w:r>
        <w:t>This leaves choice between 18.2a and 18.2b, or whether to fit 198</w:t>
      </w:r>
      <w:r w:rsidR="00654566">
        <w:t>7</w:t>
      </w:r>
      <w:r>
        <w:t>-199</w:t>
      </w:r>
      <w:r w:rsidR="00654566">
        <w:t>4</w:t>
      </w:r>
      <w:r>
        <w:t xml:space="preserve"> data even </w:t>
      </w:r>
      <w:proofErr w:type="gramStart"/>
      <w:r>
        <w:t>though  the</w:t>
      </w:r>
      <w:proofErr w:type="gramEnd"/>
      <w:r>
        <w:t xml:space="preserve"> data had little effects.  </w:t>
      </w:r>
      <w:r w:rsidRPr="00BF2005">
        <w:rPr>
          <w:b/>
        </w:rPr>
        <w:t xml:space="preserve">In the absence of compelling reason to </w:t>
      </w:r>
      <w:r w:rsidR="00BF2005" w:rsidRPr="00BF2005">
        <w:rPr>
          <w:b/>
        </w:rPr>
        <w:t xml:space="preserve">remove the data, </w:t>
      </w:r>
      <w:r w:rsidR="006F530F" w:rsidRPr="00BF2005">
        <w:rPr>
          <w:b/>
        </w:rPr>
        <w:t>we recommend 18.</w:t>
      </w:r>
      <w:r w:rsidR="00377BE2" w:rsidRPr="00BF2005">
        <w:rPr>
          <w:b/>
        </w:rPr>
        <w:t>2</w:t>
      </w:r>
      <w:r w:rsidR="00BF2005">
        <w:rPr>
          <w:b/>
        </w:rPr>
        <w:t>b</w:t>
      </w:r>
      <w:r w:rsidR="006F530F" w:rsidRPr="00BF2005">
        <w:rPr>
          <w:b/>
        </w:rPr>
        <w:t xml:space="preserve"> for </w:t>
      </w:r>
      <w:r w:rsidR="00377BE2" w:rsidRPr="00BF2005">
        <w:rPr>
          <w:b/>
        </w:rPr>
        <w:t>an a</w:t>
      </w:r>
      <w:r w:rsidR="006F530F" w:rsidRPr="00BF2005">
        <w:rPr>
          <w:b/>
        </w:rPr>
        <w:t xml:space="preserve">ssessment of </w:t>
      </w:r>
      <w:r w:rsidR="00377BE2" w:rsidRPr="00BF2005">
        <w:rPr>
          <w:b/>
        </w:rPr>
        <w:t xml:space="preserve">2019 </w:t>
      </w:r>
      <w:r w:rsidR="006F530F" w:rsidRPr="00BF2005">
        <w:rPr>
          <w:b/>
        </w:rPr>
        <w:t xml:space="preserve">OFL and ABC. </w:t>
      </w:r>
      <w:r w:rsidR="00CB029F" w:rsidRPr="00BF2005">
        <w:rPr>
          <w:b/>
        </w:rPr>
        <w:t xml:space="preserve"> </w:t>
      </w:r>
      <w:r w:rsidR="006F530F">
        <w:t>Th</w:t>
      </w:r>
      <w:r w:rsidR="00A70E67">
        <w:t xml:space="preserve">e other difference between the two </w:t>
      </w:r>
      <w:r w:rsidR="0044089A">
        <w:t xml:space="preserve">models is </w:t>
      </w:r>
      <w:r w:rsidR="00A70E67">
        <w:t xml:space="preserve">Tier 3 calculation of F35% and F40%.  </w:t>
      </w:r>
      <w:r w:rsidR="0044089A">
        <w:t xml:space="preserve"> This is due to difference </w:t>
      </w:r>
      <w:r w:rsidR="0044089A">
        <w:lastRenderedPageBreak/>
        <w:t xml:space="preserve">in the shape of commercial catch selectivity.   Selectivity of Model 18.2a are generally lower than </w:t>
      </w:r>
      <w:r w:rsidR="00F3373F">
        <w:t>18.0 and 18.2b</w:t>
      </w:r>
      <w:r w:rsidR="00471BAE">
        <w:t xml:space="preserve"> (Figure </w:t>
      </w:r>
      <w:r w:rsidR="00D4580B">
        <w:t>3</w:t>
      </w:r>
      <w:r w:rsidR="00471BAE">
        <w:t>)</w:t>
      </w:r>
      <w:r w:rsidR="00BF2005">
        <w:t xml:space="preserve">, which </w:t>
      </w:r>
      <w:r w:rsidR="0044089A">
        <w:t>resulted in higher F</w:t>
      </w:r>
      <w:r w:rsidR="00BF2005">
        <w:t xml:space="preserve"> for 18.0a.</w:t>
      </w:r>
    </w:p>
    <w:p w:rsidR="004D5F85" w:rsidRPr="00424E13" w:rsidRDefault="004D5F85" w:rsidP="00AC2065">
      <w:pPr>
        <w:spacing w:after="120"/>
        <w:jc w:val="both"/>
      </w:pPr>
    </w:p>
    <w:p w:rsidR="002237E0" w:rsidRDefault="002237E0" w:rsidP="002237E0">
      <w:pPr>
        <w:pStyle w:val="ListParagraph"/>
      </w:pPr>
    </w:p>
    <w:p w:rsidR="00F6133D" w:rsidRPr="009931BE" w:rsidRDefault="00444865" w:rsidP="004F27CE">
      <w:pPr>
        <w:pStyle w:val="ListParagraph"/>
        <w:numPr>
          <w:ilvl w:val="0"/>
          <w:numId w:val="4"/>
        </w:numPr>
        <w:spacing w:line="360" w:lineRule="auto"/>
        <w:jc w:val="both"/>
      </w:pPr>
      <w:proofErr w:type="gramStart"/>
      <w:r w:rsidRPr="009931BE">
        <w:rPr>
          <w:b/>
          <w:spacing w:val="-3"/>
        </w:rPr>
        <w:t>Results</w:t>
      </w:r>
      <w:r w:rsidR="00904076" w:rsidRPr="009931BE">
        <w:rPr>
          <w:b/>
          <w:spacing w:val="-3"/>
        </w:rPr>
        <w:t xml:space="preserve"> </w:t>
      </w:r>
      <w:r w:rsidR="00C51BC2">
        <w:rPr>
          <w:b/>
          <w:spacing w:val="-3"/>
        </w:rPr>
        <w:t>:</w:t>
      </w:r>
      <w:proofErr w:type="gramEnd"/>
      <w:r w:rsidR="00C51BC2">
        <w:rPr>
          <w:b/>
          <w:spacing w:val="-3"/>
        </w:rPr>
        <w:t xml:space="preserve">  </w:t>
      </w:r>
    </w:p>
    <w:p w:rsidR="009931BE" w:rsidRPr="009931BE" w:rsidRDefault="009931BE" w:rsidP="009931BE">
      <w:pPr>
        <w:spacing w:line="360" w:lineRule="auto"/>
        <w:ind w:left="360"/>
        <w:jc w:val="both"/>
      </w:pPr>
    </w:p>
    <w:p w:rsidR="0015748A" w:rsidRPr="009931BE" w:rsidRDefault="0089073D" w:rsidP="004F27CE">
      <w:pPr>
        <w:pStyle w:val="ListParagraph"/>
        <w:numPr>
          <w:ilvl w:val="1"/>
          <w:numId w:val="4"/>
        </w:numPr>
        <w:spacing w:line="360" w:lineRule="auto"/>
        <w:ind w:left="630" w:hanging="270"/>
        <w:jc w:val="both"/>
      </w:pPr>
      <w:r w:rsidRPr="009931BE">
        <w:t>List of e</w:t>
      </w:r>
      <w:r w:rsidR="00FB1ADF" w:rsidRPr="009931BE">
        <w:t>ffective sam</w:t>
      </w:r>
      <w:r w:rsidR="00DE1A4B" w:rsidRPr="009931BE">
        <w:t xml:space="preserve">ple sizes and weighting factors </w:t>
      </w:r>
      <w:r w:rsidR="00F558B6" w:rsidRPr="00286E20">
        <w:rPr>
          <w:color w:val="000000" w:themeColor="text1"/>
        </w:rPr>
        <w:t>(Figure 4</w:t>
      </w:r>
      <w:r w:rsidR="00DE1A4B" w:rsidRPr="00286E20">
        <w:rPr>
          <w:color w:val="000000" w:themeColor="text1"/>
        </w:rPr>
        <w:t>)</w:t>
      </w:r>
      <w:r w:rsidR="00904076" w:rsidRPr="00286E20">
        <w:rPr>
          <w:color w:val="000000" w:themeColor="text1"/>
        </w:rPr>
        <w:t xml:space="preserve"> </w:t>
      </w:r>
    </w:p>
    <w:p w:rsidR="00B2330A" w:rsidRPr="009931BE" w:rsidRDefault="004F7018" w:rsidP="005917AF">
      <w:pPr>
        <w:pStyle w:val="ListParagraph"/>
        <w:spacing w:line="360" w:lineRule="auto"/>
        <w:ind w:left="630"/>
        <w:jc w:val="both"/>
      </w:pPr>
      <w:r w:rsidRPr="009931BE">
        <w:t>“Implied” e</w:t>
      </w:r>
      <w:r w:rsidR="00B2330A" w:rsidRPr="009931BE">
        <w:t xml:space="preserve">ffective sample sizes were calculated as </w:t>
      </w:r>
    </w:p>
    <w:p w:rsidR="00B2330A" w:rsidRPr="009931BE" w:rsidRDefault="00B2330A" w:rsidP="00B2330A">
      <w:pPr>
        <w:pStyle w:val="ListParagraph"/>
        <w:spacing w:line="360" w:lineRule="auto"/>
        <w:ind w:left="1440"/>
        <w:jc w:val="both"/>
      </w:pPr>
      <w:r w:rsidRPr="009931BE">
        <w:rPr>
          <w:position w:val="-28"/>
        </w:rPr>
        <w:object w:dxaOrig="332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3.45pt;height:27.3pt" o:ole="">
            <v:imagedata r:id="rId12" o:title=""/>
          </v:shape>
          <o:OLEObject Type="Embed" ProgID="Equation.3" ShapeID="_x0000_i1025" DrawAspect="Content" ObjectID="_1609879028" r:id="rId13"/>
        </w:object>
      </w:r>
    </w:p>
    <w:p w:rsidR="00B2330A" w:rsidRPr="009931BE" w:rsidRDefault="00702417" w:rsidP="00702417">
      <w:pPr>
        <w:ind w:left="540" w:hanging="180"/>
      </w:pPr>
      <w:r w:rsidRPr="009931BE">
        <w:t xml:space="preserve">   </w:t>
      </w:r>
      <w:r w:rsidR="00B2330A" w:rsidRPr="009931BE">
        <w:t xml:space="preserve">Where </w:t>
      </w:r>
      <w:r w:rsidR="00B2330A" w:rsidRPr="009931BE">
        <w:rPr>
          <w:position w:val="-14"/>
        </w:rPr>
        <w:object w:dxaOrig="380" w:dyaOrig="380">
          <v:shape id="_x0000_i1026" type="#_x0000_t75" style="width:16.15pt;height:16.15pt" o:ole="">
            <v:imagedata r:id="rId14" o:title=""/>
          </v:shape>
          <o:OLEObject Type="Embed" ProgID="Equation.3" ShapeID="_x0000_i1026" DrawAspect="Content" ObjectID="_1609879029" r:id="rId15"/>
        </w:object>
      </w:r>
      <w:r w:rsidR="00B2330A" w:rsidRPr="009931BE">
        <w:t>and</w:t>
      </w:r>
      <w:r w:rsidR="00B2330A" w:rsidRPr="009931BE">
        <w:rPr>
          <w:position w:val="-14"/>
        </w:rPr>
        <w:object w:dxaOrig="360" w:dyaOrig="420">
          <v:shape id="_x0000_i1027" type="#_x0000_t75" style="width:18.2pt;height:19.85pt" o:ole="">
            <v:imagedata r:id="rId16" o:title=""/>
          </v:shape>
          <o:OLEObject Type="Embed" ProgID="Equation.3" ShapeID="_x0000_i1027" DrawAspect="Content" ObjectID="_1609879030" r:id="rId17"/>
        </w:object>
      </w:r>
      <w:r w:rsidR="00B2330A" w:rsidRPr="009931BE">
        <w:t xml:space="preserve"> are observed and estimated length compositions in year </w:t>
      </w:r>
      <w:r w:rsidR="00B2330A" w:rsidRPr="009931BE">
        <w:rPr>
          <w:i/>
        </w:rPr>
        <w:t>y</w:t>
      </w:r>
      <w:r w:rsidRPr="009931BE">
        <w:t xml:space="preserve"> and length </w:t>
      </w:r>
      <w:r w:rsidR="00B2330A" w:rsidRPr="009931BE">
        <w:t xml:space="preserve">group </w:t>
      </w:r>
      <w:r w:rsidR="00B2330A" w:rsidRPr="009931BE">
        <w:rPr>
          <w:i/>
        </w:rPr>
        <w:t>l</w:t>
      </w:r>
      <w:r w:rsidR="00B2330A" w:rsidRPr="009931BE">
        <w:t>, respectively</w:t>
      </w:r>
      <w:r w:rsidR="002A06C1" w:rsidRPr="009931BE">
        <w:t xml:space="preserve">. </w:t>
      </w:r>
      <w:r w:rsidR="00262B91" w:rsidRPr="009931BE">
        <w:t>Estimated effective sample sizes vary greatly over</w:t>
      </w:r>
      <w:r w:rsidR="00F06A05" w:rsidRPr="009931BE">
        <w:t xml:space="preserve"> </w:t>
      </w:r>
      <w:r w:rsidR="00262B91" w:rsidRPr="009931BE">
        <w:t>time</w:t>
      </w:r>
      <w:r w:rsidR="002A06C1" w:rsidRPr="009931BE">
        <w:t xml:space="preserve">. </w:t>
      </w:r>
    </w:p>
    <w:p w:rsidR="00240BAE" w:rsidRPr="009931BE" w:rsidRDefault="00240BAE" w:rsidP="00240BAE">
      <w:pPr>
        <w:spacing w:after="120"/>
        <w:jc w:val="both"/>
      </w:pPr>
    </w:p>
    <w:p w:rsidR="002E5851" w:rsidRPr="009931BE" w:rsidRDefault="000D1ABA" w:rsidP="00657A3A">
      <w:pPr>
        <w:spacing w:after="120"/>
        <w:ind w:left="540"/>
        <w:jc w:val="both"/>
      </w:pPr>
      <w:r w:rsidRPr="009931BE">
        <w:t>Maximum sample size</w:t>
      </w:r>
      <w:r w:rsidR="003904EB">
        <w:t>s</w:t>
      </w:r>
      <w:r w:rsidRPr="009931BE">
        <w:t xml:space="preserve"> for length proportion</w:t>
      </w:r>
      <w:r w:rsidR="003904EB">
        <w:t>s</w:t>
      </w:r>
      <w:r w:rsidRPr="009931BE">
        <w:t>:</w:t>
      </w:r>
    </w:p>
    <w:p w:rsidR="00C32A29" w:rsidRPr="009931BE" w:rsidRDefault="00C32A29" w:rsidP="00657A3A">
      <w:pPr>
        <w:spacing w:after="120"/>
        <w:ind w:left="540"/>
        <w:jc w:val="both"/>
      </w:pPr>
    </w:p>
    <w:tbl>
      <w:tblPr>
        <w:tblW w:w="7727" w:type="dxa"/>
        <w:tblInd w:w="91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4482"/>
      </w:tblGrid>
      <w:tr w:rsidR="002E5851" w:rsidRPr="009931BE" w:rsidTr="00375D4A">
        <w:trPr>
          <w:trHeight w:val="357"/>
        </w:trPr>
        <w:tc>
          <w:tcPr>
            <w:tcW w:w="3245" w:type="dxa"/>
            <w:shd w:val="clear" w:color="auto" w:fill="auto"/>
          </w:tcPr>
          <w:p w:rsidR="002E5851" w:rsidRPr="009931BE" w:rsidRDefault="002E5851" w:rsidP="00C32A29">
            <w:pPr>
              <w:pStyle w:val="ListParagraph"/>
              <w:spacing w:after="120"/>
              <w:ind w:left="810" w:hanging="810"/>
              <w:contextualSpacing w:val="0"/>
              <w:jc w:val="center"/>
            </w:pPr>
            <w:r w:rsidRPr="009931BE">
              <w:t>Survey data</w:t>
            </w:r>
          </w:p>
        </w:tc>
        <w:tc>
          <w:tcPr>
            <w:tcW w:w="4482" w:type="dxa"/>
            <w:shd w:val="clear" w:color="auto" w:fill="auto"/>
          </w:tcPr>
          <w:p w:rsidR="002E5851" w:rsidRPr="009931BE" w:rsidRDefault="002E5851" w:rsidP="00D3454D">
            <w:pPr>
              <w:pStyle w:val="ListParagraph"/>
              <w:spacing w:after="120"/>
              <w:ind w:left="0"/>
              <w:contextualSpacing w:val="0"/>
              <w:jc w:val="center"/>
            </w:pPr>
            <w:r w:rsidRPr="009931BE">
              <w:t>Sample size</w:t>
            </w:r>
          </w:p>
        </w:tc>
      </w:tr>
      <w:tr w:rsidR="002E5851" w:rsidRPr="009931BE" w:rsidTr="00375D4A">
        <w:trPr>
          <w:trHeight w:val="551"/>
        </w:trPr>
        <w:tc>
          <w:tcPr>
            <w:tcW w:w="3245" w:type="dxa"/>
            <w:shd w:val="clear" w:color="auto" w:fill="auto"/>
          </w:tcPr>
          <w:p w:rsidR="00055F60" w:rsidRPr="009931BE" w:rsidRDefault="002E5851" w:rsidP="00D05DB3">
            <w:pPr>
              <w:pStyle w:val="ListParagraph"/>
              <w:ind w:left="0"/>
              <w:contextualSpacing w:val="0"/>
              <w:jc w:val="both"/>
              <w:rPr>
                <w:rFonts w:cs="Arial"/>
                <w:sz w:val="22"/>
                <w:szCs w:val="22"/>
              </w:rPr>
            </w:pPr>
            <w:r w:rsidRPr="009931BE">
              <w:rPr>
                <w:rFonts w:cs="Arial"/>
                <w:sz w:val="22"/>
                <w:szCs w:val="22"/>
              </w:rPr>
              <w:t xml:space="preserve">Summer commercial, winter pot, </w:t>
            </w:r>
          </w:p>
          <w:p w:rsidR="002E5851" w:rsidRPr="009931BE" w:rsidRDefault="002E5851" w:rsidP="00D05DB3">
            <w:pPr>
              <w:pStyle w:val="ListParagraph"/>
              <w:ind w:left="0"/>
              <w:contextualSpacing w:val="0"/>
              <w:jc w:val="both"/>
            </w:pPr>
            <w:r w:rsidRPr="009931BE">
              <w:rPr>
                <w:rFonts w:cs="Arial"/>
                <w:sz w:val="22"/>
                <w:szCs w:val="22"/>
              </w:rPr>
              <w:t>and summer observer</w:t>
            </w:r>
          </w:p>
        </w:tc>
        <w:tc>
          <w:tcPr>
            <w:tcW w:w="4482" w:type="dxa"/>
            <w:shd w:val="clear" w:color="auto" w:fill="auto"/>
          </w:tcPr>
          <w:p w:rsidR="002E5851" w:rsidRPr="009931BE" w:rsidRDefault="002E5851" w:rsidP="00D05DB3">
            <w:pPr>
              <w:pStyle w:val="ListParagraph"/>
              <w:ind w:left="0"/>
              <w:contextualSpacing w:val="0"/>
              <w:jc w:val="both"/>
            </w:pPr>
            <w:r w:rsidRPr="009931BE">
              <w:rPr>
                <w:rFonts w:cs="Arial"/>
                <w:sz w:val="22"/>
                <w:szCs w:val="22"/>
              </w:rPr>
              <w:t>minimum of 0.1</w:t>
            </w:r>
            <w:r w:rsidR="00286E20">
              <w:rPr>
                <w:rFonts w:cs="Arial"/>
                <w:sz w:val="22"/>
                <w:szCs w:val="22"/>
              </w:rPr>
              <w:t xml:space="preserve"> </w:t>
            </w:r>
            <w:r w:rsidRPr="009931BE">
              <w:rPr>
                <w:sz w:val="22"/>
                <w:szCs w:val="22"/>
              </w:rPr>
              <w:t>×</w:t>
            </w:r>
            <w:r w:rsidR="00375D4A" w:rsidRPr="009931BE">
              <w:rPr>
                <w:rFonts w:cs="Arial"/>
                <w:sz w:val="22"/>
                <w:szCs w:val="22"/>
              </w:rPr>
              <w:t xml:space="preserve"> actual sample size or</w:t>
            </w:r>
            <w:r w:rsidRPr="009931BE">
              <w:rPr>
                <w:rFonts w:cs="Arial"/>
                <w:sz w:val="22"/>
                <w:szCs w:val="22"/>
              </w:rPr>
              <w:t xml:space="preserve"> </w:t>
            </w:r>
            <w:r w:rsidR="00E22613" w:rsidRPr="009931BE">
              <w:rPr>
                <w:rFonts w:cs="Arial"/>
                <w:sz w:val="22"/>
                <w:szCs w:val="22"/>
              </w:rPr>
              <w:t>10</w:t>
            </w:r>
          </w:p>
        </w:tc>
      </w:tr>
      <w:tr w:rsidR="002E5851" w:rsidRPr="009931BE" w:rsidTr="00375D4A">
        <w:trPr>
          <w:trHeight w:val="337"/>
        </w:trPr>
        <w:tc>
          <w:tcPr>
            <w:tcW w:w="3245" w:type="dxa"/>
            <w:shd w:val="clear" w:color="auto" w:fill="auto"/>
          </w:tcPr>
          <w:p w:rsidR="002E5851" w:rsidRPr="009931BE" w:rsidRDefault="002E5851" w:rsidP="00D05DB3">
            <w:pPr>
              <w:pStyle w:val="ListParagraph"/>
              <w:ind w:left="0"/>
              <w:contextualSpacing w:val="0"/>
              <w:jc w:val="both"/>
            </w:pPr>
            <w:r w:rsidRPr="009931BE">
              <w:rPr>
                <w:rFonts w:cs="Arial"/>
                <w:sz w:val="22"/>
                <w:szCs w:val="22"/>
              </w:rPr>
              <w:t>Summer trawl and pot survey</w:t>
            </w:r>
            <w:r w:rsidRPr="009931BE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4482" w:type="dxa"/>
            <w:shd w:val="clear" w:color="auto" w:fill="auto"/>
          </w:tcPr>
          <w:p w:rsidR="002E5851" w:rsidRPr="009931BE" w:rsidRDefault="002E5851" w:rsidP="00D05DB3">
            <w:pPr>
              <w:pStyle w:val="ListParagraph"/>
              <w:ind w:left="0"/>
              <w:contextualSpacing w:val="0"/>
              <w:jc w:val="both"/>
            </w:pPr>
            <w:r w:rsidRPr="009931BE">
              <w:rPr>
                <w:rFonts w:cs="Arial"/>
                <w:sz w:val="22"/>
                <w:szCs w:val="22"/>
              </w:rPr>
              <w:t>minimum of 0.5</w:t>
            </w:r>
            <w:r w:rsidR="00286E20">
              <w:rPr>
                <w:rFonts w:cs="Arial"/>
                <w:sz w:val="22"/>
                <w:szCs w:val="22"/>
              </w:rPr>
              <w:t xml:space="preserve"> </w:t>
            </w:r>
            <w:r w:rsidRPr="009931BE">
              <w:rPr>
                <w:sz w:val="22"/>
                <w:szCs w:val="22"/>
              </w:rPr>
              <w:t>×</w:t>
            </w:r>
            <w:r w:rsidRPr="009931BE">
              <w:rPr>
                <w:rFonts w:cs="Arial"/>
                <w:sz w:val="22"/>
                <w:szCs w:val="22"/>
              </w:rPr>
              <w:t xml:space="preserve"> actual sample size or </w:t>
            </w:r>
            <w:r w:rsidR="00E22613" w:rsidRPr="009931BE">
              <w:rPr>
                <w:rFonts w:cs="Arial"/>
                <w:sz w:val="22"/>
                <w:szCs w:val="22"/>
              </w:rPr>
              <w:t>20</w:t>
            </w:r>
          </w:p>
        </w:tc>
      </w:tr>
      <w:tr w:rsidR="00286E20" w:rsidRPr="009931BE" w:rsidTr="00375D4A">
        <w:trPr>
          <w:trHeight w:val="337"/>
        </w:trPr>
        <w:tc>
          <w:tcPr>
            <w:tcW w:w="3245" w:type="dxa"/>
            <w:shd w:val="clear" w:color="auto" w:fill="auto"/>
          </w:tcPr>
          <w:p w:rsidR="00286E20" w:rsidRPr="009931BE" w:rsidRDefault="00286E20" w:rsidP="00D05DB3">
            <w:pPr>
              <w:pStyle w:val="ListParagraph"/>
              <w:ind w:left="0"/>
              <w:contextualSpacing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Tag recovery </w:t>
            </w:r>
          </w:p>
        </w:tc>
        <w:tc>
          <w:tcPr>
            <w:tcW w:w="4482" w:type="dxa"/>
            <w:shd w:val="clear" w:color="auto" w:fill="auto"/>
          </w:tcPr>
          <w:p w:rsidR="00286E20" w:rsidRPr="009931BE" w:rsidRDefault="00286E20" w:rsidP="00D05DB3">
            <w:pPr>
              <w:pStyle w:val="ListParagraph"/>
              <w:ind w:left="0"/>
              <w:contextualSpacing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0.5</w:t>
            </w:r>
            <w:r w:rsidRPr="009931BE">
              <w:rPr>
                <w:sz w:val="22"/>
                <w:szCs w:val="22"/>
              </w:rPr>
              <w:t>×</w:t>
            </w:r>
            <w:r w:rsidRPr="009931BE">
              <w:rPr>
                <w:rFonts w:cs="Arial"/>
                <w:sz w:val="22"/>
                <w:szCs w:val="22"/>
              </w:rPr>
              <w:t xml:space="preserve"> actual sample size</w:t>
            </w:r>
          </w:p>
        </w:tc>
      </w:tr>
    </w:tbl>
    <w:p w:rsidR="00286E20" w:rsidRDefault="00286E20" w:rsidP="00286E20">
      <w:pPr>
        <w:spacing w:after="120"/>
        <w:jc w:val="both"/>
        <w:rPr>
          <w:rFonts w:cs="Arial"/>
          <w:color w:val="000000" w:themeColor="text1"/>
          <w:sz w:val="22"/>
          <w:szCs w:val="22"/>
        </w:rPr>
      </w:pPr>
    </w:p>
    <w:p w:rsidR="00286E20" w:rsidRDefault="00286E20" w:rsidP="00286E20">
      <w:pPr>
        <w:spacing w:after="120"/>
        <w:jc w:val="both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 xml:space="preserve">      Weighting factor </w:t>
      </w:r>
    </w:p>
    <w:p w:rsidR="00286E20" w:rsidRPr="00286E20" w:rsidRDefault="00286E20" w:rsidP="00286E20">
      <w:pPr>
        <w:spacing w:after="120"/>
        <w:jc w:val="both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ab/>
        <w:t xml:space="preserve">Recruitment SD </w:t>
      </w:r>
      <w:r>
        <w:rPr>
          <w:rFonts w:cs="Arial"/>
          <w:color w:val="000000" w:themeColor="text1"/>
          <w:sz w:val="22"/>
          <w:szCs w:val="22"/>
        </w:rPr>
        <w:tab/>
        <w:t>0.5</w:t>
      </w:r>
    </w:p>
    <w:p w:rsidR="00657A3A" w:rsidRPr="00286E20" w:rsidRDefault="00286E20" w:rsidP="00286E20">
      <w:pPr>
        <w:spacing w:after="120"/>
        <w:jc w:val="both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 xml:space="preserve">       </w:t>
      </w:r>
      <w:r w:rsidR="000D1ABA" w:rsidRPr="00286E20">
        <w:rPr>
          <w:rFonts w:cs="Arial"/>
          <w:color w:val="000000" w:themeColor="text1"/>
          <w:sz w:val="22"/>
          <w:szCs w:val="22"/>
        </w:rPr>
        <w:tab/>
      </w:r>
      <w:r w:rsidR="000D1ABA" w:rsidRPr="00286E20">
        <w:rPr>
          <w:rFonts w:cs="Arial"/>
          <w:color w:val="000000" w:themeColor="text1"/>
          <w:sz w:val="22"/>
          <w:szCs w:val="22"/>
        </w:rPr>
        <w:tab/>
      </w:r>
    </w:p>
    <w:p w:rsidR="005F5068" w:rsidRPr="00F409B5" w:rsidRDefault="00AB0150" w:rsidP="00F6143F">
      <w:pPr>
        <w:pStyle w:val="ListParagraph"/>
        <w:spacing w:after="120"/>
        <w:ind w:hanging="360"/>
        <w:contextualSpacing w:val="0"/>
        <w:jc w:val="both"/>
        <w:rPr>
          <w:color w:val="000000" w:themeColor="text1"/>
        </w:rPr>
      </w:pPr>
      <w:r w:rsidRPr="00F409B5">
        <w:rPr>
          <w:color w:val="000000" w:themeColor="text1"/>
        </w:rPr>
        <w:t xml:space="preserve">2. </w:t>
      </w:r>
      <w:r w:rsidR="00BB48D9" w:rsidRPr="00F409B5">
        <w:rPr>
          <w:color w:val="000000" w:themeColor="text1"/>
        </w:rPr>
        <w:t>Tables of estimates.</w:t>
      </w:r>
    </w:p>
    <w:p w:rsidR="00F6143F" w:rsidRPr="003C5D63" w:rsidRDefault="00F6143F" w:rsidP="00904076">
      <w:pPr>
        <w:pStyle w:val="ListParagraph"/>
        <w:numPr>
          <w:ilvl w:val="0"/>
          <w:numId w:val="12"/>
        </w:numPr>
        <w:spacing w:after="120"/>
        <w:contextualSpacing w:val="0"/>
        <w:jc w:val="both"/>
        <w:rPr>
          <w:color w:val="000000" w:themeColor="text1"/>
        </w:rPr>
      </w:pPr>
      <w:r w:rsidRPr="00F409B5">
        <w:rPr>
          <w:color w:val="000000" w:themeColor="text1"/>
        </w:rPr>
        <w:t xml:space="preserve">Model </w:t>
      </w:r>
      <w:r w:rsidR="00F06A05" w:rsidRPr="00F409B5">
        <w:rPr>
          <w:color w:val="000000" w:themeColor="text1"/>
        </w:rPr>
        <w:t>p</w:t>
      </w:r>
      <w:r w:rsidRPr="00F409B5">
        <w:rPr>
          <w:color w:val="000000" w:themeColor="text1"/>
        </w:rPr>
        <w:t>arameter estimates (Table</w:t>
      </w:r>
      <w:r w:rsidR="00F06A05" w:rsidRPr="00F409B5">
        <w:rPr>
          <w:color w:val="000000" w:themeColor="text1"/>
        </w:rPr>
        <w:t>s</w:t>
      </w:r>
      <w:r w:rsidRPr="00F409B5">
        <w:rPr>
          <w:color w:val="000000" w:themeColor="text1"/>
        </w:rPr>
        <w:t xml:space="preserve"> 11, </w:t>
      </w:r>
      <w:r w:rsidR="00A96E3B" w:rsidRPr="00F409B5">
        <w:rPr>
          <w:color w:val="000000" w:themeColor="text1"/>
        </w:rPr>
        <w:t>12</w:t>
      </w:r>
      <w:r w:rsidRPr="00F409B5">
        <w:rPr>
          <w:color w:val="000000" w:themeColor="text1"/>
        </w:rPr>
        <w:t xml:space="preserve">). </w:t>
      </w:r>
    </w:p>
    <w:p w:rsidR="00A96E3B" w:rsidRPr="003C5D63" w:rsidRDefault="00BB48D9" w:rsidP="005019DD">
      <w:pPr>
        <w:pStyle w:val="ListParagraph"/>
        <w:numPr>
          <w:ilvl w:val="0"/>
          <w:numId w:val="12"/>
        </w:numPr>
        <w:spacing w:after="120"/>
        <w:contextualSpacing w:val="0"/>
        <w:jc w:val="both"/>
        <w:rPr>
          <w:color w:val="000000" w:themeColor="text1"/>
        </w:rPr>
      </w:pPr>
      <w:r w:rsidRPr="003C5D63">
        <w:rPr>
          <w:color w:val="000000" w:themeColor="text1"/>
        </w:rPr>
        <w:t>Abundance and biomass ti</w:t>
      </w:r>
      <w:r w:rsidR="0015748A" w:rsidRPr="003C5D63">
        <w:rPr>
          <w:color w:val="000000" w:themeColor="text1"/>
        </w:rPr>
        <w:t xml:space="preserve">me series </w:t>
      </w:r>
      <w:r w:rsidR="00F6143F" w:rsidRPr="003C5D63">
        <w:rPr>
          <w:color w:val="000000" w:themeColor="text1"/>
        </w:rPr>
        <w:t>(</w:t>
      </w:r>
      <w:r w:rsidR="00A96E3B" w:rsidRPr="003C5D63">
        <w:rPr>
          <w:color w:val="000000" w:themeColor="text1"/>
        </w:rPr>
        <w:t>Table 1</w:t>
      </w:r>
      <w:r w:rsidR="007240C9" w:rsidRPr="003C5D63">
        <w:rPr>
          <w:color w:val="000000" w:themeColor="text1"/>
        </w:rPr>
        <w:t>5</w:t>
      </w:r>
      <w:r w:rsidR="00D644FF" w:rsidRPr="003C5D63">
        <w:rPr>
          <w:color w:val="000000" w:themeColor="text1"/>
        </w:rPr>
        <w:t>)</w:t>
      </w:r>
      <w:r w:rsidR="007240C9" w:rsidRPr="003C5D63">
        <w:rPr>
          <w:color w:val="000000" w:themeColor="text1"/>
        </w:rPr>
        <w:t xml:space="preserve"> </w:t>
      </w:r>
    </w:p>
    <w:p w:rsidR="00F6143F" w:rsidRPr="003C5D63" w:rsidRDefault="00BB48D9" w:rsidP="003C5D63">
      <w:pPr>
        <w:pStyle w:val="ListParagraph"/>
        <w:numPr>
          <w:ilvl w:val="0"/>
          <w:numId w:val="12"/>
        </w:numPr>
        <w:spacing w:after="120"/>
        <w:contextualSpacing w:val="0"/>
        <w:jc w:val="both"/>
        <w:rPr>
          <w:color w:val="000000" w:themeColor="text1"/>
        </w:rPr>
      </w:pPr>
      <w:r w:rsidRPr="003C5D63">
        <w:rPr>
          <w:color w:val="000000" w:themeColor="text1"/>
        </w:rPr>
        <w:t>Recruitment time series</w:t>
      </w:r>
      <w:r w:rsidR="00F6143F" w:rsidRPr="003C5D63">
        <w:rPr>
          <w:color w:val="000000" w:themeColor="text1"/>
        </w:rPr>
        <w:t xml:space="preserve"> (</w:t>
      </w:r>
      <w:r w:rsidRPr="003C5D63">
        <w:rPr>
          <w:color w:val="000000" w:themeColor="text1"/>
        </w:rPr>
        <w:t xml:space="preserve">Table </w:t>
      </w:r>
      <w:r w:rsidR="00AB0150" w:rsidRPr="003C5D63">
        <w:rPr>
          <w:color w:val="000000" w:themeColor="text1"/>
        </w:rPr>
        <w:t>1</w:t>
      </w:r>
      <w:r w:rsidR="007240C9" w:rsidRPr="003C5D63">
        <w:rPr>
          <w:color w:val="000000" w:themeColor="text1"/>
        </w:rPr>
        <w:t>5</w:t>
      </w:r>
      <w:r w:rsidR="00F6143F" w:rsidRPr="003C5D63">
        <w:rPr>
          <w:color w:val="000000" w:themeColor="text1"/>
        </w:rPr>
        <w:t>)</w:t>
      </w:r>
      <w:r w:rsidR="002A06C1" w:rsidRPr="003C5D63">
        <w:rPr>
          <w:color w:val="000000" w:themeColor="text1"/>
        </w:rPr>
        <w:t xml:space="preserve">. </w:t>
      </w:r>
    </w:p>
    <w:p w:rsidR="00275DCB" w:rsidRPr="00F409B5" w:rsidRDefault="00BB48D9" w:rsidP="004F27CE">
      <w:pPr>
        <w:pStyle w:val="ListParagraph"/>
        <w:numPr>
          <w:ilvl w:val="0"/>
          <w:numId w:val="12"/>
        </w:numPr>
        <w:spacing w:after="120"/>
        <w:contextualSpacing w:val="0"/>
        <w:jc w:val="both"/>
        <w:rPr>
          <w:color w:val="000000" w:themeColor="text1"/>
        </w:rPr>
      </w:pPr>
      <w:r w:rsidRPr="00F409B5">
        <w:rPr>
          <w:color w:val="000000" w:themeColor="text1"/>
        </w:rPr>
        <w:t>Time series of catch/biomass</w:t>
      </w:r>
      <w:r w:rsidR="00F6143F" w:rsidRPr="00F409B5">
        <w:rPr>
          <w:color w:val="000000" w:themeColor="text1"/>
        </w:rPr>
        <w:t xml:space="preserve"> (</w:t>
      </w:r>
      <w:r w:rsidRPr="00F409B5">
        <w:rPr>
          <w:color w:val="000000" w:themeColor="text1"/>
        </w:rPr>
        <w:t>Table</w:t>
      </w:r>
      <w:r w:rsidR="004F6B06" w:rsidRPr="00F409B5">
        <w:rPr>
          <w:color w:val="000000" w:themeColor="text1"/>
        </w:rPr>
        <w:t>s 1</w:t>
      </w:r>
      <w:r w:rsidR="007240C9">
        <w:rPr>
          <w:color w:val="000000" w:themeColor="text1"/>
        </w:rPr>
        <w:t>6</w:t>
      </w:r>
      <w:r w:rsidR="00F6143F" w:rsidRPr="00F409B5">
        <w:rPr>
          <w:color w:val="000000" w:themeColor="text1"/>
        </w:rPr>
        <w:t xml:space="preserve">) </w:t>
      </w:r>
    </w:p>
    <w:p w:rsidR="003C3A22" w:rsidRPr="00F409B5" w:rsidRDefault="003C3A22" w:rsidP="00921C82">
      <w:pPr>
        <w:pStyle w:val="ListParagraph"/>
        <w:spacing w:after="120"/>
        <w:ind w:left="1260"/>
        <w:contextualSpacing w:val="0"/>
        <w:jc w:val="both"/>
        <w:rPr>
          <w:color w:val="000000" w:themeColor="text1"/>
        </w:rPr>
      </w:pPr>
    </w:p>
    <w:p w:rsidR="00AB0150" w:rsidRPr="00F409B5" w:rsidRDefault="00AB0150" w:rsidP="00A03152">
      <w:pPr>
        <w:pStyle w:val="ListParagraph"/>
        <w:spacing w:after="120"/>
        <w:ind w:hanging="360"/>
        <w:contextualSpacing w:val="0"/>
        <w:jc w:val="both"/>
        <w:rPr>
          <w:color w:val="000000" w:themeColor="text1"/>
        </w:rPr>
      </w:pPr>
      <w:r w:rsidRPr="00F409B5">
        <w:rPr>
          <w:color w:val="000000" w:themeColor="text1"/>
        </w:rPr>
        <w:t xml:space="preserve">3. </w:t>
      </w:r>
      <w:r w:rsidR="00336758" w:rsidRPr="00F409B5">
        <w:rPr>
          <w:color w:val="000000" w:themeColor="text1"/>
        </w:rPr>
        <w:t>Graphs of estimates.</w:t>
      </w:r>
    </w:p>
    <w:p w:rsidR="0075495C" w:rsidRDefault="00275DCB" w:rsidP="0075495C">
      <w:pPr>
        <w:pStyle w:val="ListParagraph"/>
        <w:spacing w:after="120"/>
        <w:contextualSpacing w:val="0"/>
        <w:jc w:val="both"/>
        <w:rPr>
          <w:color w:val="000000" w:themeColor="text1"/>
        </w:rPr>
      </w:pPr>
      <w:r w:rsidRPr="00F409B5">
        <w:rPr>
          <w:color w:val="000000" w:themeColor="text1"/>
        </w:rPr>
        <w:t>a</w:t>
      </w:r>
      <w:r w:rsidR="00AB0150" w:rsidRPr="00F409B5">
        <w:rPr>
          <w:color w:val="000000" w:themeColor="text1"/>
        </w:rPr>
        <w:t xml:space="preserve">. </w:t>
      </w:r>
      <w:r w:rsidR="0035788D" w:rsidRPr="00F409B5">
        <w:rPr>
          <w:color w:val="000000" w:themeColor="text1"/>
        </w:rPr>
        <w:t>Molting probability and trawl/pot selectivit</w:t>
      </w:r>
      <w:r w:rsidR="00F20248" w:rsidRPr="00F409B5">
        <w:rPr>
          <w:color w:val="000000" w:themeColor="text1"/>
        </w:rPr>
        <w:t>y</w:t>
      </w:r>
      <w:r w:rsidR="0035788D" w:rsidRPr="00F409B5">
        <w:rPr>
          <w:color w:val="000000" w:themeColor="text1"/>
        </w:rPr>
        <w:t xml:space="preserve"> (Figure </w:t>
      </w:r>
      <w:r w:rsidR="00634178">
        <w:rPr>
          <w:color w:val="000000" w:themeColor="text1"/>
        </w:rPr>
        <w:t>3</w:t>
      </w:r>
      <w:r w:rsidR="0035788D" w:rsidRPr="00F409B5">
        <w:rPr>
          <w:color w:val="000000" w:themeColor="text1"/>
        </w:rPr>
        <w:t>)</w:t>
      </w:r>
      <w:r w:rsidR="0035788D" w:rsidRPr="0075495C">
        <w:rPr>
          <w:color w:val="000000" w:themeColor="text1"/>
        </w:rPr>
        <w:t xml:space="preserve"> </w:t>
      </w:r>
    </w:p>
    <w:p w:rsidR="00A012AF" w:rsidRPr="0075495C" w:rsidRDefault="0075495C" w:rsidP="0075495C">
      <w:pPr>
        <w:pStyle w:val="ListParagraph"/>
        <w:spacing w:after="12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b. </w:t>
      </w:r>
      <w:r w:rsidR="00336758" w:rsidRPr="0075495C">
        <w:rPr>
          <w:color w:val="000000" w:themeColor="text1"/>
        </w:rPr>
        <w:t>Estimated male abundances (</w:t>
      </w:r>
      <w:r w:rsidR="00E81BA0" w:rsidRPr="0075495C">
        <w:rPr>
          <w:color w:val="000000" w:themeColor="text1"/>
        </w:rPr>
        <w:t xml:space="preserve">recruits, legal, and </w:t>
      </w:r>
      <w:r w:rsidR="00336758" w:rsidRPr="0075495C">
        <w:rPr>
          <w:color w:val="000000" w:themeColor="text1"/>
        </w:rPr>
        <w:t>total)</w:t>
      </w:r>
      <w:r w:rsidR="00473D46" w:rsidRPr="0075495C">
        <w:rPr>
          <w:color w:val="000000" w:themeColor="text1"/>
        </w:rPr>
        <w:t xml:space="preserve"> </w:t>
      </w:r>
      <w:r w:rsidR="0035788D" w:rsidRPr="0075495C">
        <w:rPr>
          <w:color w:val="000000" w:themeColor="text1"/>
        </w:rPr>
        <w:t xml:space="preserve">(Figure </w:t>
      </w:r>
      <w:r>
        <w:rPr>
          <w:color w:val="000000" w:themeColor="text1"/>
        </w:rPr>
        <w:t>4</w:t>
      </w:r>
      <w:r w:rsidR="0035788D" w:rsidRPr="0075495C">
        <w:rPr>
          <w:color w:val="000000" w:themeColor="text1"/>
        </w:rPr>
        <w:t>)</w:t>
      </w:r>
    </w:p>
    <w:p w:rsidR="0035788D" w:rsidRPr="00F409B5" w:rsidRDefault="0075495C" w:rsidP="0035788D">
      <w:pPr>
        <w:pStyle w:val="ListParagraph"/>
        <w:spacing w:after="12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c</w:t>
      </w:r>
      <w:r w:rsidR="00ED045E" w:rsidRPr="00F409B5">
        <w:rPr>
          <w:color w:val="000000" w:themeColor="text1"/>
        </w:rPr>
        <w:t>.</w:t>
      </w:r>
      <w:r w:rsidR="0035788D" w:rsidRPr="00F409B5">
        <w:rPr>
          <w:color w:val="000000" w:themeColor="text1"/>
        </w:rPr>
        <w:t xml:space="preserve"> Estimated mature male biomass (Figure </w:t>
      </w:r>
      <w:r>
        <w:rPr>
          <w:color w:val="000000" w:themeColor="text1"/>
        </w:rPr>
        <w:t>5</w:t>
      </w:r>
      <w:r w:rsidR="0035788D" w:rsidRPr="00F409B5">
        <w:rPr>
          <w:color w:val="000000" w:themeColor="text1"/>
        </w:rPr>
        <w:t>)</w:t>
      </w:r>
    </w:p>
    <w:p w:rsidR="00D95888" w:rsidRPr="00F409B5" w:rsidRDefault="0075495C" w:rsidP="009D135E">
      <w:pPr>
        <w:pStyle w:val="ListParagraph"/>
        <w:spacing w:after="120"/>
        <w:ind w:left="1200" w:hanging="48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e</w:t>
      </w:r>
      <w:r w:rsidR="00D95888" w:rsidRPr="00F409B5">
        <w:rPr>
          <w:color w:val="000000" w:themeColor="text1"/>
        </w:rPr>
        <w:t xml:space="preserve">. </w:t>
      </w:r>
      <w:r w:rsidR="0035788D" w:rsidRPr="00F409B5">
        <w:rPr>
          <w:color w:val="000000" w:themeColor="text1"/>
        </w:rPr>
        <w:t xml:space="preserve">Time series of catch and estimated harvest rate (Figure </w:t>
      </w:r>
      <w:r>
        <w:rPr>
          <w:color w:val="000000" w:themeColor="text1"/>
        </w:rPr>
        <w:t>6</w:t>
      </w:r>
      <w:r w:rsidR="0035788D" w:rsidRPr="00F409B5">
        <w:rPr>
          <w:color w:val="000000" w:themeColor="text1"/>
        </w:rPr>
        <w:t>).</w:t>
      </w:r>
    </w:p>
    <w:p w:rsidR="00D86CD1" w:rsidRPr="00F409B5" w:rsidRDefault="00D86CD1" w:rsidP="00657A3A">
      <w:pPr>
        <w:spacing w:after="120"/>
        <w:jc w:val="both"/>
        <w:rPr>
          <w:color w:val="000000" w:themeColor="text1"/>
        </w:rPr>
      </w:pPr>
    </w:p>
    <w:p w:rsidR="00ED045E" w:rsidRPr="00F409B5" w:rsidRDefault="00ED045E" w:rsidP="00ED045E">
      <w:pPr>
        <w:pStyle w:val="ListParagraph"/>
        <w:ind w:left="0" w:firstLine="360"/>
        <w:contextualSpacing w:val="0"/>
        <w:jc w:val="both"/>
        <w:rPr>
          <w:color w:val="000000" w:themeColor="text1"/>
        </w:rPr>
      </w:pPr>
      <w:r w:rsidRPr="00F409B5">
        <w:rPr>
          <w:color w:val="000000" w:themeColor="text1"/>
        </w:rPr>
        <w:t>4</w:t>
      </w:r>
      <w:r w:rsidR="002A06C1" w:rsidRPr="00F409B5">
        <w:rPr>
          <w:color w:val="000000" w:themeColor="text1"/>
        </w:rPr>
        <w:t xml:space="preserve">. </w:t>
      </w:r>
      <w:r w:rsidRPr="00F409B5">
        <w:rPr>
          <w:color w:val="000000" w:themeColor="text1"/>
        </w:rPr>
        <w:t>Evaluation of the fit to the data</w:t>
      </w:r>
      <w:r w:rsidR="00677010" w:rsidRPr="00F409B5">
        <w:rPr>
          <w:color w:val="000000" w:themeColor="text1"/>
        </w:rPr>
        <w:t>.</w:t>
      </w:r>
    </w:p>
    <w:p w:rsidR="008E1C62" w:rsidRPr="00F409B5" w:rsidRDefault="008E1C62" w:rsidP="00ED045E">
      <w:pPr>
        <w:pStyle w:val="ListParagraph"/>
        <w:ind w:left="0" w:firstLine="360"/>
        <w:contextualSpacing w:val="0"/>
        <w:jc w:val="both"/>
        <w:rPr>
          <w:color w:val="000000" w:themeColor="text1"/>
        </w:rPr>
      </w:pPr>
    </w:p>
    <w:p w:rsidR="00ED045E" w:rsidRPr="00F409B5" w:rsidRDefault="00ED045E" w:rsidP="00ED045E">
      <w:pPr>
        <w:pStyle w:val="ListParagraph"/>
        <w:contextualSpacing w:val="0"/>
        <w:jc w:val="both"/>
        <w:rPr>
          <w:color w:val="000000" w:themeColor="text1"/>
        </w:rPr>
      </w:pPr>
      <w:r w:rsidRPr="00F409B5">
        <w:rPr>
          <w:color w:val="000000" w:themeColor="text1"/>
        </w:rPr>
        <w:t xml:space="preserve">a. Fits to observed and model predicted catches. </w:t>
      </w:r>
    </w:p>
    <w:p w:rsidR="00826B55" w:rsidRPr="00F409B5" w:rsidRDefault="00ED045E" w:rsidP="009D135E">
      <w:pPr>
        <w:pStyle w:val="ListParagraph"/>
        <w:ind w:left="960"/>
        <w:contextualSpacing w:val="0"/>
        <w:jc w:val="both"/>
        <w:rPr>
          <w:color w:val="000000" w:themeColor="text1"/>
        </w:rPr>
      </w:pPr>
      <w:r w:rsidRPr="00F409B5">
        <w:rPr>
          <w:color w:val="000000" w:themeColor="text1"/>
        </w:rPr>
        <w:t>N</w:t>
      </w:r>
      <w:r w:rsidR="00C66DF4" w:rsidRPr="00F409B5">
        <w:rPr>
          <w:color w:val="000000" w:themeColor="text1"/>
        </w:rPr>
        <w:t>ot applicable. Catch is assumed to be measured without error</w:t>
      </w:r>
      <w:r w:rsidR="00677010" w:rsidRPr="00F409B5">
        <w:rPr>
          <w:color w:val="000000" w:themeColor="text1"/>
        </w:rPr>
        <w:t>.</w:t>
      </w:r>
    </w:p>
    <w:p w:rsidR="009D135E" w:rsidRPr="00F409B5" w:rsidRDefault="009D135E" w:rsidP="009D135E">
      <w:pPr>
        <w:pStyle w:val="ListParagraph"/>
        <w:ind w:left="960"/>
        <w:contextualSpacing w:val="0"/>
        <w:jc w:val="both"/>
        <w:rPr>
          <w:color w:val="000000" w:themeColor="text1"/>
        </w:rPr>
      </w:pPr>
    </w:p>
    <w:p w:rsidR="00C66DF4" w:rsidRDefault="009028E4" w:rsidP="0075495C">
      <w:pPr>
        <w:pStyle w:val="ListParagraph"/>
        <w:numPr>
          <w:ilvl w:val="0"/>
          <w:numId w:val="20"/>
        </w:numPr>
        <w:ind w:firstLine="0"/>
        <w:contextualSpacing w:val="0"/>
        <w:jc w:val="both"/>
        <w:rPr>
          <w:color w:val="000000" w:themeColor="text1"/>
        </w:rPr>
      </w:pPr>
      <w:r w:rsidRPr="00F409B5">
        <w:rPr>
          <w:color w:val="000000" w:themeColor="text1"/>
        </w:rPr>
        <w:t xml:space="preserve">Model </w:t>
      </w:r>
      <w:r w:rsidR="00D95888" w:rsidRPr="00F409B5">
        <w:rPr>
          <w:color w:val="000000" w:themeColor="text1"/>
        </w:rPr>
        <w:t>fits to</w:t>
      </w:r>
      <w:r w:rsidR="009D135E" w:rsidRPr="00F409B5">
        <w:rPr>
          <w:color w:val="000000" w:themeColor="text1"/>
        </w:rPr>
        <w:t xml:space="preserve"> survey number</w:t>
      </w:r>
      <w:r w:rsidR="0035788D" w:rsidRPr="00F409B5">
        <w:rPr>
          <w:color w:val="000000" w:themeColor="text1"/>
        </w:rPr>
        <w:t>s</w:t>
      </w:r>
      <w:r w:rsidR="00C66DF4" w:rsidRPr="00F409B5">
        <w:rPr>
          <w:color w:val="000000" w:themeColor="text1"/>
        </w:rPr>
        <w:t>.</w:t>
      </w:r>
    </w:p>
    <w:p w:rsidR="0075495C" w:rsidRPr="0075495C" w:rsidRDefault="0075495C" w:rsidP="0075495C">
      <w:pPr>
        <w:pStyle w:val="ListParagraph"/>
        <w:numPr>
          <w:ilvl w:val="1"/>
          <w:numId w:val="20"/>
        </w:numPr>
        <w:rPr>
          <w:color w:val="000000" w:themeColor="text1"/>
        </w:rPr>
      </w:pPr>
      <w:r w:rsidRPr="0075495C">
        <w:rPr>
          <w:color w:val="000000" w:themeColor="text1"/>
        </w:rPr>
        <w:t xml:space="preserve">Time series of </w:t>
      </w:r>
      <w:r>
        <w:rPr>
          <w:color w:val="000000" w:themeColor="text1"/>
        </w:rPr>
        <w:t xml:space="preserve">trawl survey </w:t>
      </w:r>
      <w:r w:rsidRPr="0075495C">
        <w:rPr>
          <w:color w:val="000000" w:themeColor="text1"/>
        </w:rPr>
        <w:t>(Figure 7).</w:t>
      </w:r>
    </w:p>
    <w:p w:rsidR="0075495C" w:rsidRPr="0075495C" w:rsidRDefault="0075495C" w:rsidP="0075495C">
      <w:pPr>
        <w:pStyle w:val="ListParagraph"/>
        <w:numPr>
          <w:ilvl w:val="1"/>
          <w:numId w:val="20"/>
        </w:numPr>
        <w:rPr>
          <w:color w:val="000000" w:themeColor="text1"/>
        </w:rPr>
      </w:pPr>
      <w:r w:rsidRPr="0075495C">
        <w:rPr>
          <w:color w:val="000000" w:themeColor="text1"/>
        </w:rPr>
        <w:t xml:space="preserve">Time series of standardized </w:t>
      </w:r>
      <w:proofErr w:type="spellStart"/>
      <w:r w:rsidRPr="0075495C">
        <w:rPr>
          <w:color w:val="000000" w:themeColor="text1"/>
        </w:rPr>
        <w:t>cpue</w:t>
      </w:r>
      <w:proofErr w:type="spellEnd"/>
      <w:r w:rsidRPr="0075495C">
        <w:rPr>
          <w:color w:val="000000" w:themeColor="text1"/>
        </w:rPr>
        <w:t xml:space="preserve"> for the summer commercial fishery (Figure </w:t>
      </w:r>
      <w:r>
        <w:rPr>
          <w:color w:val="000000" w:themeColor="text1"/>
        </w:rPr>
        <w:t>8</w:t>
      </w:r>
      <w:r w:rsidRPr="0075495C">
        <w:rPr>
          <w:color w:val="000000" w:themeColor="text1"/>
        </w:rPr>
        <w:t>).</w:t>
      </w:r>
    </w:p>
    <w:p w:rsidR="00723BCE" w:rsidRPr="00F409B5" w:rsidRDefault="00723BCE" w:rsidP="0035788D">
      <w:pPr>
        <w:jc w:val="both"/>
        <w:rPr>
          <w:color w:val="000000" w:themeColor="text1"/>
        </w:rPr>
      </w:pPr>
    </w:p>
    <w:p w:rsidR="008E1C62" w:rsidRPr="00F409B5" w:rsidRDefault="00723BCE" w:rsidP="00723BCE">
      <w:pPr>
        <w:ind w:firstLine="720"/>
        <w:jc w:val="both"/>
        <w:rPr>
          <w:color w:val="000000" w:themeColor="text1"/>
        </w:rPr>
      </w:pPr>
      <w:r w:rsidRPr="00F409B5">
        <w:rPr>
          <w:color w:val="000000" w:themeColor="text1"/>
        </w:rPr>
        <w:t>d</w:t>
      </w:r>
      <w:r w:rsidR="002A06C1" w:rsidRPr="00F409B5">
        <w:rPr>
          <w:color w:val="000000" w:themeColor="text1"/>
        </w:rPr>
        <w:t xml:space="preserve">. </w:t>
      </w:r>
      <w:r w:rsidR="00C66DF4" w:rsidRPr="00F409B5">
        <w:rPr>
          <w:color w:val="000000" w:themeColor="text1"/>
        </w:rPr>
        <w:t>Model fits to catch and survey proportions b</w:t>
      </w:r>
      <w:r w:rsidR="008E1C62" w:rsidRPr="00F409B5">
        <w:rPr>
          <w:color w:val="000000" w:themeColor="text1"/>
        </w:rPr>
        <w:t>y length</w:t>
      </w:r>
      <w:r w:rsidR="00D95888" w:rsidRPr="00F409B5">
        <w:rPr>
          <w:color w:val="000000" w:themeColor="text1"/>
        </w:rPr>
        <w:t xml:space="preserve"> (</w:t>
      </w:r>
      <w:r w:rsidR="0035788D" w:rsidRPr="00F409B5">
        <w:rPr>
          <w:color w:val="000000" w:themeColor="text1"/>
        </w:rPr>
        <w:t>Figure</w:t>
      </w:r>
      <w:r w:rsidR="00677010" w:rsidRPr="00F409B5">
        <w:rPr>
          <w:color w:val="000000" w:themeColor="text1"/>
        </w:rPr>
        <w:t>s</w:t>
      </w:r>
      <w:r w:rsidR="00A964D2" w:rsidRPr="00F409B5">
        <w:rPr>
          <w:color w:val="000000" w:themeColor="text1"/>
        </w:rPr>
        <w:t xml:space="preserve"> </w:t>
      </w:r>
      <w:r w:rsidR="00A978D6">
        <w:rPr>
          <w:color w:val="000000" w:themeColor="text1"/>
        </w:rPr>
        <w:t>9-</w:t>
      </w:r>
      <w:r w:rsidR="0035788D" w:rsidRPr="00F409B5">
        <w:rPr>
          <w:color w:val="000000" w:themeColor="text1"/>
        </w:rPr>
        <w:t>1</w:t>
      </w:r>
      <w:r w:rsidR="00A978D6">
        <w:rPr>
          <w:color w:val="000000" w:themeColor="text1"/>
        </w:rPr>
        <w:t>4</w:t>
      </w:r>
      <w:r w:rsidR="009028E4" w:rsidRPr="00F409B5">
        <w:rPr>
          <w:color w:val="000000" w:themeColor="text1"/>
        </w:rPr>
        <w:t>).</w:t>
      </w:r>
    </w:p>
    <w:p w:rsidR="008E1C62" w:rsidRPr="00F409B5" w:rsidRDefault="005E4F19" w:rsidP="0035788D">
      <w:pPr>
        <w:pStyle w:val="ListParagraph"/>
        <w:contextualSpacing w:val="0"/>
        <w:jc w:val="both"/>
        <w:rPr>
          <w:color w:val="000000" w:themeColor="text1"/>
        </w:rPr>
      </w:pPr>
      <w:r w:rsidRPr="00F409B5">
        <w:rPr>
          <w:color w:val="000000" w:themeColor="text1"/>
        </w:rPr>
        <w:t xml:space="preserve">  </w:t>
      </w:r>
      <w:r w:rsidR="00040EE8" w:rsidRPr="00F409B5">
        <w:rPr>
          <w:color w:val="000000" w:themeColor="text1"/>
        </w:rPr>
        <w:tab/>
      </w:r>
      <w:r w:rsidRPr="00F409B5">
        <w:rPr>
          <w:color w:val="000000" w:themeColor="text1"/>
        </w:rPr>
        <w:t xml:space="preserve"> </w:t>
      </w:r>
    </w:p>
    <w:p w:rsidR="008E1C62" w:rsidRPr="00F409B5" w:rsidRDefault="00723BCE" w:rsidP="00ED045E">
      <w:pPr>
        <w:pStyle w:val="ListParagraph"/>
        <w:contextualSpacing w:val="0"/>
        <w:jc w:val="both"/>
        <w:rPr>
          <w:color w:val="000000" w:themeColor="text1"/>
        </w:rPr>
      </w:pPr>
      <w:r w:rsidRPr="00F409B5">
        <w:rPr>
          <w:color w:val="000000" w:themeColor="text1"/>
        </w:rPr>
        <w:t>e</w:t>
      </w:r>
      <w:r w:rsidR="008E1C62" w:rsidRPr="00F409B5">
        <w:rPr>
          <w:color w:val="000000" w:themeColor="text1"/>
        </w:rPr>
        <w:t xml:space="preserve">. Marginal distribution for the fits to the </w:t>
      </w:r>
      <w:r w:rsidR="00841D5F" w:rsidRPr="00F409B5">
        <w:rPr>
          <w:color w:val="000000" w:themeColor="text1"/>
        </w:rPr>
        <w:t>composition data</w:t>
      </w:r>
    </w:p>
    <w:p w:rsidR="000E1AA9" w:rsidRPr="00F409B5" w:rsidRDefault="000E1AA9" w:rsidP="00ED045E">
      <w:pPr>
        <w:pStyle w:val="ListParagraph"/>
        <w:contextualSpacing w:val="0"/>
        <w:jc w:val="both"/>
        <w:rPr>
          <w:color w:val="000000" w:themeColor="text1"/>
        </w:rPr>
      </w:pPr>
    </w:p>
    <w:p w:rsidR="008E1C62" w:rsidRPr="00F409B5" w:rsidRDefault="00723BCE" w:rsidP="00240BAE">
      <w:pPr>
        <w:pStyle w:val="ListParagraph"/>
        <w:ind w:left="990" w:hanging="270"/>
        <w:contextualSpacing w:val="0"/>
        <w:jc w:val="both"/>
        <w:rPr>
          <w:color w:val="000000" w:themeColor="text1"/>
        </w:rPr>
      </w:pPr>
      <w:r w:rsidRPr="00F409B5">
        <w:rPr>
          <w:color w:val="000000" w:themeColor="text1"/>
        </w:rPr>
        <w:t>f</w:t>
      </w:r>
      <w:r w:rsidR="008E1C62" w:rsidRPr="00F409B5">
        <w:rPr>
          <w:color w:val="000000" w:themeColor="text1"/>
        </w:rPr>
        <w:t>. Plots of implied versus input effective sample sizes and time-series of implied effec</w:t>
      </w:r>
      <w:r w:rsidR="000434D9" w:rsidRPr="00F409B5">
        <w:rPr>
          <w:color w:val="000000" w:themeColor="text1"/>
        </w:rPr>
        <w:t>t</w:t>
      </w:r>
      <w:r w:rsidR="0035788D" w:rsidRPr="00F409B5">
        <w:rPr>
          <w:color w:val="000000" w:themeColor="text1"/>
        </w:rPr>
        <w:t xml:space="preserve">ive sample size (Figure </w:t>
      </w:r>
      <w:r w:rsidR="00A978D6">
        <w:rPr>
          <w:color w:val="000000" w:themeColor="text1"/>
        </w:rPr>
        <w:t>15</w:t>
      </w:r>
      <w:r w:rsidR="0035788D" w:rsidRPr="00F409B5">
        <w:rPr>
          <w:color w:val="000000" w:themeColor="text1"/>
        </w:rPr>
        <w:t>)</w:t>
      </w:r>
      <w:r w:rsidR="002A06C1" w:rsidRPr="00F409B5">
        <w:rPr>
          <w:color w:val="000000" w:themeColor="text1"/>
        </w:rPr>
        <w:t xml:space="preserve">. </w:t>
      </w:r>
    </w:p>
    <w:p w:rsidR="00500768" w:rsidRPr="00F409B5" w:rsidRDefault="00500768" w:rsidP="00240BAE">
      <w:pPr>
        <w:pStyle w:val="ListParagraph"/>
        <w:ind w:left="990" w:hanging="270"/>
        <w:contextualSpacing w:val="0"/>
        <w:jc w:val="both"/>
        <w:rPr>
          <w:color w:val="000000" w:themeColor="text1"/>
        </w:rPr>
      </w:pPr>
    </w:p>
    <w:p w:rsidR="00060365" w:rsidRPr="00F409B5" w:rsidRDefault="00723BCE" w:rsidP="001071B0">
      <w:pPr>
        <w:ind w:left="990" w:hanging="270"/>
        <w:jc w:val="both"/>
        <w:rPr>
          <w:color w:val="000000" w:themeColor="text1"/>
        </w:rPr>
      </w:pPr>
      <w:r w:rsidRPr="00F409B5">
        <w:rPr>
          <w:color w:val="000000" w:themeColor="text1"/>
        </w:rPr>
        <w:t xml:space="preserve">g. </w:t>
      </w:r>
      <w:r w:rsidR="00040EE8" w:rsidRPr="00F409B5">
        <w:rPr>
          <w:color w:val="000000" w:themeColor="text1"/>
        </w:rPr>
        <w:t xml:space="preserve">RMSEs </w:t>
      </w:r>
      <w:r w:rsidR="001071B0">
        <w:rPr>
          <w:color w:val="000000" w:themeColor="text1"/>
        </w:rPr>
        <w:t xml:space="preserve">of trawl survey and standardized CPUE </w:t>
      </w:r>
      <w:r w:rsidR="007240C9">
        <w:rPr>
          <w:color w:val="000000" w:themeColor="text1"/>
        </w:rPr>
        <w:t>(Figure 1</w:t>
      </w:r>
      <w:r w:rsidR="00A978D6">
        <w:rPr>
          <w:color w:val="000000" w:themeColor="text1"/>
        </w:rPr>
        <w:t>6</w:t>
      </w:r>
      <w:r w:rsidR="007240C9">
        <w:rPr>
          <w:color w:val="000000" w:themeColor="text1"/>
        </w:rPr>
        <w:t>)</w:t>
      </w:r>
    </w:p>
    <w:p w:rsidR="008152D3" w:rsidRPr="00F409B5" w:rsidRDefault="008152D3" w:rsidP="00060365">
      <w:pPr>
        <w:jc w:val="both"/>
        <w:rPr>
          <w:color w:val="000000" w:themeColor="text1"/>
        </w:rPr>
      </w:pPr>
    </w:p>
    <w:p w:rsidR="008E1C62" w:rsidRPr="00F409B5" w:rsidRDefault="008E1C62" w:rsidP="004F27CE">
      <w:pPr>
        <w:pStyle w:val="ListParagraph"/>
        <w:numPr>
          <w:ilvl w:val="0"/>
          <w:numId w:val="13"/>
        </w:numPr>
        <w:ind w:left="990" w:hanging="270"/>
        <w:jc w:val="both"/>
        <w:rPr>
          <w:color w:val="000000" w:themeColor="text1"/>
        </w:rPr>
      </w:pPr>
      <w:r w:rsidRPr="00F409B5">
        <w:rPr>
          <w:color w:val="000000" w:themeColor="text1"/>
        </w:rPr>
        <w:t>QQ plots and histogr</w:t>
      </w:r>
      <w:r w:rsidR="00DE5D50" w:rsidRPr="00F409B5">
        <w:rPr>
          <w:color w:val="000000" w:themeColor="text1"/>
        </w:rPr>
        <w:t>ams of residuals</w:t>
      </w:r>
      <w:r w:rsidR="0035788D" w:rsidRPr="00F409B5">
        <w:rPr>
          <w:color w:val="000000" w:themeColor="text1"/>
        </w:rPr>
        <w:t xml:space="preserve"> </w:t>
      </w:r>
      <w:r w:rsidR="001071B0">
        <w:rPr>
          <w:color w:val="000000" w:themeColor="text1"/>
        </w:rPr>
        <w:t>of trawl survey and standardized CPUE</w:t>
      </w:r>
      <w:r w:rsidR="001071B0" w:rsidRPr="00F409B5">
        <w:rPr>
          <w:color w:val="000000" w:themeColor="text1"/>
        </w:rPr>
        <w:t xml:space="preserve"> </w:t>
      </w:r>
      <w:r w:rsidR="0035788D" w:rsidRPr="00F409B5">
        <w:rPr>
          <w:color w:val="000000" w:themeColor="text1"/>
        </w:rPr>
        <w:t>(Figure 1</w:t>
      </w:r>
      <w:r w:rsidR="00A978D6">
        <w:rPr>
          <w:color w:val="000000" w:themeColor="text1"/>
        </w:rPr>
        <w:t>6</w:t>
      </w:r>
      <w:r w:rsidR="0035788D" w:rsidRPr="00F409B5">
        <w:rPr>
          <w:color w:val="000000" w:themeColor="text1"/>
        </w:rPr>
        <w:t xml:space="preserve">). </w:t>
      </w:r>
    </w:p>
    <w:p w:rsidR="00ED6159" w:rsidRPr="00F409B5" w:rsidRDefault="00ED6159" w:rsidP="00723BCE">
      <w:pPr>
        <w:jc w:val="both"/>
        <w:rPr>
          <w:color w:val="000000" w:themeColor="text1"/>
        </w:rPr>
      </w:pPr>
    </w:p>
    <w:p w:rsidR="00C66DF4" w:rsidRPr="00F409B5" w:rsidRDefault="00C66DF4" w:rsidP="00ED045E">
      <w:pPr>
        <w:pStyle w:val="ListParagraph"/>
        <w:contextualSpacing w:val="0"/>
        <w:jc w:val="both"/>
        <w:rPr>
          <w:color w:val="000000" w:themeColor="text1"/>
        </w:rPr>
      </w:pPr>
    </w:p>
    <w:p w:rsidR="000434D9" w:rsidRPr="00F409B5" w:rsidRDefault="003A638B" w:rsidP="00DE5D50">
      <w:pPr>
        <w:pStyle w:val="ListParagraph"/>
        <w:spacing w:after="120"/>
        <w:ind w:hanging="360"/>
        <w:contextualSpacing w:val="0"/>
        <w:jc w:val="both"/>
        <w:rPr>
          <w:color w:val="000000" w:themeColor="text1"/>
        </w:rPr>
      </w:pPr>
      <w:r w:rsidRPr="00F409B5">
        <w:rPr>
          <w:color w:val="000000" w:themeColor="text1"/>
        </w:rPr>
        <w:t>5</w:t>
      </w:r>
      <w:r w:rsidR="002A06C1" w:rsidRPr="00F409B5">
        <w:rPr>
          <w:color w:val="000000" w:themeColor="text1"/>
        </w:rPr>
        <w:t xml:space="preserve">. </w:t>
      </w:r>
      <w:r w:rsidR="004B3C82" w:rsidRPr="00F409B5">
        <w:rPr>
          <w:color w:val="000000" w:themeColor="text1"/>
        </w:rPr>
        <w:t>Retrospective</w:t>
      </w:r>
      <w:r w:rsidR="00DE5D50" w:rsidRPr="00F409B5">
        <w:rPr>
          <w:color w:val="000000" w:themeColor="text1"/>
        </w:rPr>
        <w:t xml:space="preserve"> </w:t>
      </w:r>
      <w:r w:rsidR="00757437" w:rsidRPr="00F409B5">
        <w:rPr>
          <w:color w:val="000000" w:themeColor="text1"/>
        </w:rPr>
        <w:t xml:space="preserve">analyses (Figure </w:t>
      </w:r>
      <w:r w:rsidR="004B3C82" w:rsidRPr="00F409B5">
        <w:rPr>
          <w:color w:val="000000" w:themeColor="text1"/>
        </w:rPr>
        <w:t>17</w:t>
      </w:r>
      <w:r w:rsidR="0098451E" w:rsidRPr="00F409B5">
        <w:rPr>
          <w:color w:val="000000" w:themeColor="text1"/>
        </w:rPr>
        <w:t>)</w:t>
      </w:r>
      <w:r w:rsidR="00677010" w:rsidRPr="00F409B5">
        <w:rPr>
          <w:color w:val="000000" w:themeColor="text1"/>
        </w:rPr>
        <w:t>.</w:t>
      </w:r>
      <w:r w:rsidR="003B0B6E">
        <w:rPr>
          <w:color w:val="000000" w:themeColor="text1"/>
        </w:rPr>
        <w:t xml:space="preserve">  </w:t>
      </w:r>
      <w:r w:rsidR="001071B0">
        <w:rPr>
          <w:color w:val="000000" w:themeColor="text1"/>
        </w:rPr>
        <w:t xml:space="preserve">Will be presented on Jan 2019 final assessment. </w:t>
      </w:r>
    </w:p>
    <w:p w:rsidR="007919C7" w:rsidRPr="00EA626E" w:rsidRDefault="00687D76" w:rsidP="00EA626E">
      <w:pPr>
        <w:pStyle w:val="ListParagraph"/>
        <w:spacing w:after="120"/>
        <w:ind w:hanging="36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7919C7">
        <w:t xml:space="preserve"> </w:t>
      </w:r>
    </w:p>
    <w:p w:rsidR="007919C7" w:rsidRPr="00F409B5" w:rsidRDefault="007919C7" w:rsidP="00DE5D50">
      <w:pPr>
        <w:pStyle w:val="ListParagraph"/>
        <w:spacing w:after="120"/>
        <w:ind w:hanging="360"/>
        <w:contextualSpacing w:val="0"/>
        <w:jc w:val="both"/>
        <w:rPr>
          <w:color w:val="000000" w:themeColor="text1"/>
        </w:rPr>
      </w:pPr>
    </w:p>
    <w:p w:rsidR="0002039D" w:rsidRPr="00F409B5" w:rsidRDefault="002116FB" w:rsidP="004F27CE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spacing w:after="120"/>
        <w:ind w:left="720"/>
        <w:jc w:val="both"/>
        <w:rPr>
          <w:color w:val="000000" w:themeColor="text1"/>
        </w:rPr>
      </w:pPr>
      <w:r w:rsidRPr="00F409B5">
        <w:rPr>
          <w:color w:val="000000" w:themeColor="text1"/>
        </w:rPr>
        <w:t>Uncertainty and sensitivity analyses.</w:t>
      </w:r>
    </w:p>
    <w:p w:rsidR="001A2C82" w:rsidRPr="00F409B5" w:rsidRDefault="00677010" w:rsidP="00C37908">
      <w:pPr>
        <w:widowControl w:val="0"/>
        <w:suppressAutoHyphens/>
        <w:spacing w:after="120"/>
        <w:ind w:left="720"/>
        <w:jc w:val="both"/>
        <w:rPr>
          <w:color w:val="000000" w:themeColor="text1"/>
          <w:spacing w:val="-3"/>
        </w:rPr>
      </w:pPr>
      <w:r w:rsidRPr="00F409B5">
        <w:rPr>
          <w:color w:val="000000" w:themeColor="text1"/>
          <w:spacing w:val="-3"/>
        </w:rPr>
        <w:t>See Sections 2 and 5.</w:t>
      </w:r>
    </w:p>
    <w:p w:rsidR="00DE5D50" w:rsidRPr="009931BE" w:rsidRDefault="00DE5D50" w:rsidP="00C37908">
      <w:pPr>
        <w:widowControl w:val="0"/>
        <w:suppressAutoHyphens/>
        <w:spacing w:after="120"/>
        <w:ind w:left="720"/>
        <w:jc w:val="both"/>
        <w:rPr>
          <w:spacing w:val="-3"/>
        </w:rPr>
      </w:pPr>
    </w:p>
    <w:p w:rsidR="00444865" w:rsidRDefault="009D1AD1" w:rsidP="004F27CE">
      <w:pPr>
        <w:pStyle w:val="ListParagraph"/>
        <w:numPr>
          <w:ilvl w:val="0"/>
          <w:numId w:val="21"/>
        </w:numPr>
        <w:spacing w:line="360" w:lineRule="auto"/>
        <w:ind w:left="360"/>
        <w:rPr>
          <w:b/>
          <w:i/>
          <w:sz w:val="28"/>
          <w:szCs w:val="28"/>
        </w:rPr>
      </w:pPr>
      <w:r w:rsidRPr="007A481A">
        <w:rPr>
          <w:b/>
          <w:i/>
          <w:sz w:val="28"/>
          <w:szCs w:val="28"/>
        </w:rPr>
        <w:t>Calculation of the OFL</w:t>
      </w:r>
    </w:p>
    <w:p w:rsidR="00DB7A86" w:rsidRPr="007A481A" w:rsidRDefault="00DB7A86" w:rsidP="00DB7A86">
      <w:pPr>
        <w:pStyle w:val="ListParagraph"/>
        <w:spacing w:line="360" w:lineRule="auto"/>
        <w:ind w:left="360"/>
        <w:rPr>
          <w:b/>
          <w:i/>
          <w:sz w:val="28"/>
          <w:szCs w:val="28"/>
        </w:rPr>
      </w:pPr>
    </w:p>
    <w:p w:rsidR="003F4C80" w:rsidRDefault="003F4C80" w:rsidP="00FC076C">
      <w:pPr>
        <w:widowControl w:val="0"/>
        <w:suppressAutoHyphens/>
        <w:spacing w:after="120"/>
        <w:jc w:val="both"/>
      </w:pPr>
      <w:r>
        <w:t xml:space="preserve">1. Specification of the Tier level and stock status. </w:t>
      </w:r>
    </w:p>
    <w:p w:rsidR="00F727A6" w:rsidRDefault="00F727A6" w:rsidP="00FC076C">
      <w:pPr>
        <w:widowControl w:val="0"/>
        <w:suppressAutoHyphens/>
        <w:spacing w:after="120"/>
        <w:jc w:val="both"/>
      </w:pPr>
    </w:p>
    <w:p w:rsidR="00FC076C" w:rsidRPr="00AD32F4" w:rsidRDefault="00274820" w:rsidP="00FC076C">
      <w:pPr>
        <w:widowControl w:val="0"/>
        <w:suppressAutoHyphens/>
        <w:spacing w:after="120"/>
        <w:jc w:val="both"/>
      </w:pPr>
      <w:r>
        <w:t xml:space="preserve">The </w:t>
      </w:r>
      <w:r w:rsidR="00E468CC">
        <w:t>Norton Sound red king crab</w:t>
      </w:r>
      <w:r>
        <w:t xml:space="preserve"> stock is</w:t>
      </w:r>
      <w:r w:rsidR="00F727A6">
        <w:t xml:space="preserve"> </w:t>
      </w:r>
      <w:r w:rsidR="00E468CC">
        <w:t>placed in Tier 4</w:t>
      </w:r>
      <w:r w:rsidR="00E65CE7">
        <w:t>. I</w:t>
      </w:r>
      <w:r w:rsidR="00CF2A03">
        <w:t>t is not possible to estimate</w:t>
      </w:r>
      <w:r w:rsidR="00A9781D">
        <w:t xml:space="preserve"> the spawner-recruit relationship, but </w:t>
      </w:r>
      <w:r w:rsidR="001A7986">
        <w:t xml:space="preserve">some </w:t>
      </w:r>
      <w:r w:rsidR="0046661F">
        <w:t xml:space="preserve">abundance </w:t>
      </w:r>
      <w:r w:rsidR="00A9781D">
        <w:t xml:space="preserve">and harvest estimates </w:t>
      </w:r>
      <w:r w:rsidR="0046661F">
        <w:t>are available</w:t>
      </w:r>
      <w:r w:rsidR="00D32386">
        <w:t xml:space="preserve"> to build a </w:t>
      </w:r>
      <w:r w:rsidR="0046661F">
        <w:t xml:space="preserve">computer simulation </w:t>
      </w:r>
      <w:r w:rsidR="00D32386">
        <w:t>model that capture</w:t>
      </w:r>
      <w:r w:rsidR="002A06C1">
        <w:t>s</w:t>
      </w:r>
      <w:r w:rsidR="00D32386">
        <w:t xml:space="preserve"> the essential population dynamics</w:t>
      </w:r>
      <w:r w:rsidR="002A06C1">
        <w:t xml:space="preserve">. </w:t>
      </w:r>
      <w:r w:rsidR="00F727A6">
        <w:t>T</w:t>
      </w:r>
      <w:r w:rsidR="00AF53DC">
        <w:t xml:space="preserve">ier </w:t>
      </w:r>
      <w:r w:rsidR="00D32386">
        <w:t>4 stock</w:t>
      </w:r>
      <w:r w:rsidR="00AF53DC">
        <w:t>s</w:t>
      </w:r>
      <w:r w:rsidR="00D32386">
        <w:t xml:space="preserve"> are </w:t>
      </w:r>
      <w:r w:rsidR="00AF53DC">
        <w:t xml:space="preserve">assumed to have </w:t>
      </w:r>
      <w:r w:rsidR="00D32386">
        <w:t>reliable estimates of</w:t>
      </w:r>
      <w:r w:rsidR="00CF2A03">
        <w:t xml:space="preserve"> current survey biomass and </w:t>
      </w:r>
      <w:r w:rsidR="00D32386">
        <w:t xml:space="preserve">instantaneous </w:t>
      </w:r>
      <w:r w:rsidR="00D32386" w:rsidRPr="002E787D">
        <w:rPr>
          <w:i/>
        </w:rPr>
        <w:t>M</w:t>
      </w:r>
      <w:r w:rsidR="00F727A6">
        <w:t xml:space="preserve">; however, </w:t>
      </w:r>
      <w:r w:rsidR="00D32386">
        <w:t xml:space="preserve">the </w:t>
      </w:r>
      <w:r w:rsidR="00AF53DC">
        <w:t xml:space="preserve">estimates for the </w:t>
      </w:r>
      <w:r w:rsidR="00D32386">
        <w:t xml:space="preserve">Norton Sound red king </w:t>
      </w:r>
      <w:r w:rsidR="00CF2A03">
        <w:t xml:space="preserve">crab stock </w:t>
      </w:r>
      <w:r w:rsidR="00677010">
        <w:t xml:space="preserve">are </w:t>
      </w:r>
      <w:r w:rsidR="00AF53DC">
        <w:t>uncertain</w:t>
      </w:r>
      <w:r w:rsidR="002A06C1">
        <w:t xml:space="preserve">. </w:t>
      </w:r>
    </w:p>
    <w:p w:rsidR="009C53F0" w:rsidRDefault="0046661F" w:rsidP="00816B7F">
      <w:pPr>
        <w:spacing w:before="120"/>
        <w:jc w:val="both"/>
      </w:pPr>
      <w:r>
        <w:t xml:space="preserve"> </w:t>
      </w:r>
      <w:r w:rsidR="009C53F0">
        <w:t xml:space="preserve"> </w:t>
      </w:r>
    </w:p>
    <w:p w:rsidR="00FC076C" w:rsidRDefault="00E9543D" w:rsidP="00FC076C">
      <w:pPr>
        <w:spacing w:before="120"/>
        <w:jc w:val="both"/>
        <w:rPr>
          <w:spacing w:val="-3"/>
        </w:rPr>
      </w:pPr>
      <w:r>
        <w:rPr>
          <w:spacing w:val="-3"/>
        </w:rPr>
        <w:lastRenderedPageBreak/>
        <w:t>T</w:t>
      </w:r>
      <w:r w:rsidR="004017C0">
        <w:rPr>
          <w:spacing w:val="-3"/>
        </w:rPr>
        <w:t>ire 4 level and the OFL are</w:t>
      </w:r>
      <w:r>
        <w:rPr>
          <w:spacing w:val="-3"/>
        </w:rPr>
        <w:t xml:space="preserve"> </w:t>
      </w:r>
      <w:r w:rsidR="004017C0">
        <w:rPr>
          <w:spacing w:val="-3"/>
        </w:rPr>
        <w:t xml:space="preserve">determined </w:t>
      </w:r>
      <w:r>
        <w:rPr>
          <w:spacing w:val="-3"/>
        </w:rPr>
        <w:t xml:space="preserve">by the </w:t>
      </w:r>
      <w:r w:rsidRPr="00E9543D">
        <w:rPr>
          <w:i/>
          <w:spacing w:val="-3"/>
        </w:rPr>
        <w:t>F</w:t>
      </w:r>
      <w:r>
        <w:rPr>
          <w:i/>
          <w:spacing w:val="-3"/>
          <w:vertAlign w:val="subscript"/>
        </w:rPr>
        <w:t>MSY</w:t>
      </w:r>
      <w:r w:rsidR="00610FE8">
        <w:rPr>
          <w:spacing w:val="-3"/>
        </w:rPr>
        <w:t xml:space="preserve"> </w:t>
      </w:r>
      <w:r>
        <w:rPr>
          <w:spacing w:val="-3"/>
        </w:rPr>
        <w:t>proxy</w:t>
      </w:r>
      <w:r w:rsidR="007A502A">
        <w:rPr>
          <w:spacing w:val="-3"/>
        </w:rPr>
        <w:t xml:space="preserve">, </w:t>
      </w:r>
      <w:r w:rsidR="007A502A" w:rsidRPr="007A502A">
        <w:rPr>
          <w:i/>
          <w:spacing w:val="-3"/>
        </w:rPr>
        <w:t>B</w:t>
      </w:r>
      <w:r w:rsidR="007A502A" w:rsidRPr="007A502A">
        <w:rPr>
          <w:i/>
          <w:spacing w:val="-3"/>
          <w:vertAlign w:val="subscript"/>
        </w:rPr>
        <w:t>MSY</w:t>
      </w:r>
      <w:r w:rsidR="007A502A">
        <w:rPr>
          <w:spacing w:val="-3"/>
        </w:rPr>
        <w:t xml:space="preserve"> proxy,</w:t>
      </w:r>
      <w:r>
        <w:rPr>
          <w:spacing w:val="-3"/>
        </w:rPr>
        <w:t xml:space="preserve"> and estimated legal male abundance and biomass: </w:t>
      </w:r>
    </w:p>
    <w:p w:rsidR="007E094B" w:rsidRDefault="007E094B" w:rsidP="00FC076C">
      <w:pPr>
        <w:spacing w:before="120"/>
        <w:jc w:val="both"/>
        <w:rPr>
          <w:spacing w:val="-3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1848"/>
        <w:gridCol w:w="5340"/>
      </w:tblGrid>
      <w:tr w:rsidR="002F543D" w:rsidRPr="007E0C7B" w:rsidTr="00BF2005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2F543D" w:rsidRPr="009F1122" w:rsidRDefault="003B0B6E" w:rsidP="007E0C7B">
            <w:pPr>
              <w:spacing w:before="120"/>
              <w:jc w:val="both"/>
            </w:pPr>
            <w:r>
              <w:t>L</w:t>
            </w:r>
            <w:r w:rsidR="002F543D">
              <w:t>evel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:rsidR="002F543D" w:rsidRPr="009F1122" w:rsidRDefault="002F543D" w:rsidP="007E0C7B">
            <w:pPr>
              <w:spacing w:before="120"/>
              <w:jc w:val="both"/>
            </w:pPr>
            <w:r>
              <w:t>Criteria</w:t>
            </w:r>
          </w:p>
        </w:tc>
        <w:tc>
          <w:tcPr>
            <w:tcW w:w="5340" w:type="dxa"/>
            <w:tcBorders>
              <w:top w:val="single" w:sz="4" w:space="0" w:color="auto"/>
              <w:bottom w:val="single" w:sz="4" w:space="0" w:color="auto"/>
            </w:tcBorders>
          </w:tcPr>
          <w:p w:rsidR="002F543D" w:rsidRPr="002F543D" w:rsidRDefault="002F543D" w:rsidP="007E0C7B">
            <w:pPr>
              <w:spacing w:before="120"/>
              <w:jc w:val="both"/>
              <w:rPr>
                <w:i/>
              </w:rPr>
            </w:pPr>
            <w:r w:rsidRPr="002F543D">
              <w:rPr>
                <w:i/>
              </w:rPr>
              <w:t>F</w:t>
            </w:r>
            <w:r w:rsidRPr="002F543D">
              <w:rPr>
                <w:i/>
                <w:vertAlign w:val="subscript"/>
              </w:rPr>
              <w:t>OFL</w:t>
            </w:r>
          </w:p>
        </w:tc>
      </w:tr>
      <w:tr w:rsidR="002F543D" w:rsidRPr="007E0C7B" w:rsidTr="00BF2005">
        <w:tc>
          <w:tcPr>
            <w:tcW w:w="918" w:type="dxa"/>
            <w:tcBorders>
              <w:top w:val="single" w:sz="4" w:space="0" w:color="auto"/>
            </w:tcBorders>
          </w:tcPr>
          <w:p w:rsidR="002F543D" w:rsidRPr="009F1122" w:rsidRDefault="00BF2005" w:rsidP="007E0C7B">
            <w:pPr>
              <w:spacing w:before="120"/>
              <w:jc w:val="both"/>
            </w:pPr>
            <w:r>
              <w:t>a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2F543D" w:rsidRPr="009F1122" w:rsidRDefault="002F543D" w:rsidP="007E0C7B">
            <w:pPr>
              <w:spacing w:before="120"/>
              <w:jc w:val="both"/>
            </w:pPr>
            <w:r w:rsidRPr="00CC4567">
              <w:rPr>
                <w:position w:val="-14"/>
              </w:rPr>
              <w:object w:dxaOrig="1380" w:dyaOrig="380">
                <v:shape id="_x0000_i1028" type="#_x0000_t75" style="width:69.5pt;height:19.85pt" o:ole="">
                  <v:imagedata r:id="rId18" o:title=""/>
                </v:shape>
                <o:OLEObject Type="Embed" ProgID="Equation.3" ShapeID="_x0000_i1028" DrawAspect="Content" ObjectID="_1609879031" r:id="rId19"/>
              </w:object>
            </w:r>
          </w:p>
        </w:tc>
        <w:tc>
          <w:tcPr>
            <w:tcW w:w="5340" w:type="dxa"/>
            <w:tcBorders>
              <w:top w:val="single" w:sz="4" w:space="0" w:color="auto"/>
            </w:tcBorders>
          </w:tcPr>
          <w:p w:rsidR="002F543D" w:rsidRPr="007E0C7B" w:rsidRDefault="002F543D" w:rsidP="007E0C7B">
            <w:pPr>
              <w:spacing w:before="120"/>
              <w:jc w:val="both"/>
              <w:rPr>
                <w:spacing w:val="-3"/>
              </w:rPr>
            </w:pPr>
            <w:r w:rsidRPr="004017C0">
              <w:rPr>
                <w:position w:val="-12"/>
              </w:rPr>
              <w:object w:dxaOrig="1180" w:dyaOrig="360">
                <v:shape id="_x0000_i1029" type="#_x0000_t75" style="width:57.95pt;height:16.15pt" o:ole="">
                  <v:imagedata r:id="rId20" o:title=""/>
                </v:shape>
                <o:OLEObject Type="Embed" ProgID="Equation.3" ShapeID="_x0000_i1029" DrawAspect="Content" ObjectID="_1609879032" r:id="rId21"/>
              </w:object>
            </w:r>
          </w:p>
        </w:tc>
      </w:tr>
      <w:tr w:rsidR="002F543D" w:rsidRPr="007E0C7B" w:rsidTr="00BF2005">
        <w:tc>
          <w:tcPr>
            <w:tcW w:w="918" w:type="dxa"/>
          </w:tcPr>
          <w:p w:rsidR="002F543D" w:rsidRPr="009F1122" w:rsidRDefault="00BF2005" w:rsidP="007E0C7B">
            <w:pPr>
              <w:spacing w:before="120"/>
              <w:jc w:val="both"/>
            </w:pPr>
            <w:r>
              <w:t>b</w:t>
            </w:r>
          </w:p>
        </w:tc>
        <w:tc>
          <w:tcPr>
            <w:tcW w:w="1848" w:type="dxa"/>
          </w:tcPr>
          <w:p w:rsidR="002F543D" w:rsidRPr="009F1122" w:rsidRDefault="002F543D" w:rsidP="007E0C7B">
            <w:pPr>
              <w:spacing w:before="120"/>
              <w:jc w:val="both"/>
            </w:pPr>
            <w:r w:rsidRPr="00CC4567">
              <w:rPr>
                <w:position w:val="-14"/>
              </w:rPr>
              <w:object w:dxaOrig="1840" w:dyaOrig="380">
                <v:shape id="_x0000_i1030" type="#_x0000_t75" style="width:76.55pt;height:16.15pt" o:ole="">
                  <v:imagedata r:id="rId22" o:title=""/>
                </v:shape>
                <o:OLEObject Type="Embed" ProgID="Equation.3" ShapeID="_x0000_i1030" DrawAspect="Content" ObjectID="_1609879033" r:id="rId23"/>
              </w:object>
            </w:r>
          </w:p>
        </w:tc>
        <w:tc>
          <w:tcPr>
            <w:tcW w:w="5340" w:type="dxa"/>
          </w:tcPr>
          <w:p w:rsidR="002F543D" w:rsidRPr="007E0C7B" w:rsidRDefault="002F543D" w:rsidP="007E0C7B">
            <w:pPr>
              <w:spacing w:before="120"/>
              <w:jc w:val="both"/>
              <w:rPr>
                <w:spacing w:val="-3"/>
              </w:rPr>
            </w:pPr>
            <w:r w:rsidRPr="009F1122">
              <w:rPr>
                <w:position w:val="-14"/>
              </w:rPr>
              <w:object w:dxaOrig="3500" w:dyaOrig="380">
                <v:shape id="_x0000_i1031" type="#_x0000_t75" style="width:175.45pt;height:16.15pt" o:ole="">
                  <v:imagedata r:id="rId24" o:title=""/>
                </v:shape>
                <o:OLEObject Type="Embed" ProgID="Equation.3" ShapeID="_x0000_i1031" DrawAspect="Content" ObjectID="_1609879034" r:id="rId25"/>
              </w:object>
            </w:r>
          </w:p>
        </w:tc>
      </w:tr>
      <w:tr w:rsidR="002F543D" w:rsidRPr="007E0C7B" w:rsidTr="00BF2005">
        <w:tc>
          <w:tcPr>
            <w:tcW w:w="918" w:type="dxa"/>
          </w:tcPr>
          <w:p w:rsidR="002F543D" w:rsidRPr="009F1122" w:rsidRDefault="00BF2005" w:rsidP="007E0C7B">
            <w:pPr>
              <w:spacing w:before="120"/>
              <w:jc w:val="both"/>
            </w:pPr>
            <w:r>
              <w:t>c</w:t>
            </w:r>
          </w:p>
        </w:tc>
        <w:tc>
          <w:tcPr>
            <w:tcW w:w="1848" w:type="dxa"/>
          </w:tcPr>
          <w:p w:rsidR="002F543D" w:rsidRPr="009F1122" w:rsidRDefault="002F543D" w:rsidP="007E0C7B">
            <w:pPr>
              <w:spacing w:before="120"/>
              <w:jc w:val="both"/>
            </w:pPr>
            <w:r w:rsidRPr="00CC4567">
              <w:rPr>
                <w:position w:val="-14"/>
              </w:rPr>
              <w:object w:dxaOrig="1500" w:dyaOrig="380">
                <v:shape id="_x0000_i1032" type="#_x0000_t75" style="width:74.5pt;height:19.85pt" o:ole="">
                  <v:imagedata r:id="rId26" o:title=""/>
                </v:shape>
                <o:OLEObject Type="Embed" ProgID="Equation.3" ShapeID="_x0000_i1032" DrawAspect="Content" ObjectID="_1609879035" r:id="rId27"/>
              </w:object>
            </w:r>
          </w:p>
        </w:tc>
        <w:tc>
          <w:tcPr>
            <w:tcW w:w="5340" w:type="dxa"/>
          </w:tcPr>
          <w:p w:rsidR="002F543D" w:rsidRPr="007E0C7B" w:rsidRDefault="002F543D" w:rsidP="007E0C7B">
            <w:pPr>
              <w:spacing w:before="120"/>
              <w:jc w:val="both"/>
              <w:rPr>
                <w:spacing w:val="-3"/>
              </w:rPr>
            </w:pPr>
            <w:r w:rsidRPr="002F543D">
              <w:rPr>
                <w:position w:val="-12"/>
              </w:rPr>
              <w:object w:dxaOrig="4840" w:dyaOrig="360">
                <v:shape id="_x0000_i1033" type="#_x0000_t75" style="width:242.9pt;height:16.15pt" o:ole="">
                  <v:imagedata r:id="rId28" o:title=""/>
                </v:shape>
                <o:OLEObject Type="Embed" ProgID="Equation.3" ShapeID="_x0000_i1033" DrawAspect="Content" ObjectID="_1609879036" r:id="rId29"/>
              </w:object>
            </w:r>
          </w:p>
        </w:tc>
      </w:tr>
    </w:tbl>
    <w:p w:rsidR="00C9565F" w:rsidRDefault="00C9565F" w:rsidP="007E094B">
      <w:pPr>
        <w:spacing w:before="120"/>
        <w:jc w:val="both"/>
        <w:rPr>
          <w:spacing w:val="-3"/>
        </w:rPr>
      </w:pPr>
    </w:p>
    <w:p w:rsidR="00D242A1" w:rsidRDefault="00CF2A03" w:rsidP="007E094B">
      <w:pPr>
        <w:spacing w:before="120"/>
        <w:jc w:val="both"/>
        <w:rPr>
          <w:spacing w:val="-3"/>
        </w:rPr>
      </w:pPr>
      <w:r>
        <w:rPr>
          <w:spacing w:val="-3"/>
        </w:rPr>
        <w:t>w</w:t>
      </w:r>
      <w:r w:rsidR="00AD32F4">
        <w:rPr>
          <w:spacing w:val="-3"/>
        </w:rPr>
        <w:t xml:space="preserve">here </w:t>
      </w:r>
      <w:r w:rsidR="00AD32F4" w:rsidRPr="00CF2A03">
        <w:rPr>
          <w:i/>
          <w:spacing w:val="-3"/>
        </w:rPr>
        <w:t>B</w:t>
      </w:r>
      <w:r w:rsidR="00AD32F4">
        <w:rPr>
          <w:spacing w:val="-3"/>
        </w:rPr>
        <w:t xml:space="preserve"> is a mature male biomass</w:t>
      </w:r>
      <w:r w:rsidR="00AC139B">
        <w:rPr>
          <w:spacing w:val="-3"/>
        </w:rPr>
        <w:t xml:space="preserve"> (MMB)</w:t>
      </w:r>
      <w:r w:rsidR="00AD32F4">
        <w:rPr>
          <w:spacing w:val="-3"/>
        </w:rPr>
        <w:t xml:space="preserve">, </w:t>
      </w:r>
      <w:r w:rsidR="00AD32F4" w:rsidRPr="00CF2A03">
        <w:rPr>
          <w:i/>
          <w:spacing w:val="-3"/>
        </w:rPr>
        <w:t>B</w:t>
      </w:r>
      <w:r w:rsidR="00AD32F4" w:rsidRPr="00090375">
        <w:rPr>
          <w:i/>
          <w:spacing w:val="-3"/>
          <w:vertAlign w:val="subscript"/>
        </w:rPr>
        <w:t>MSY</w:t>
      </w:r>
      <w:r w:rsidR="007E094B">
        <w:rPr>
          <w:spacing w:val="-3"/>
        </w:rPr>
        <w:t xml:space="preserve"> proxy </w:t>
      </w:r>
      <w:r w:rsidR="00AD32F4">
        <w:rPr>
          <w:spacing w:val="-3"/>
        </w:rPr>
        <w:t>is average mature male bioma</w:t>
      </w:r>
      <w:r w:rsidR="002F543D">
        <w:rPr>
          <w:spacing w:val="-3"/>
        </w:rPr>
        <w:t xml:space="preserve">ss over a specified time </w:t>
      </w:r>
      <w:proofErr w:type="gramStart"/>
      <w:r w:rsidR="002F543D">
        <w:rPr>
          <w:spacing w:val="-3"/>
        </w:rPr>
        <w:t xml:space="preserve">period, </w:t>
      </w:r>
      <w:r w:rsidR="00C9565F">
        <w:rPr>
          <w:spacing w:val="-3"/>
        </w:rPr>
        <w:t xml:space="preserve"> </w:t>
      </w:r>
      <w:r w:rsidR="007E094B" w:rsidRPr="00DD042E">
        <w:rPr>
          <w:i/>
          <w:spacing w:val="-3"/>
        </w:rPr>
        <w:t>M</w:t>
      </w:r>
      <w:proofErr w:type="gramEnd"/>
      <w:r w:rsidR="007E094B">
        <w:rPr>
          <w:spacing w:val="-3"/>
        </w:rPr>
        <w:t xml:space="preserve"> = 0.18</w:t>
      </w:r>
      <w:r w:rsidR="002F543D">
        <w:rPr>
          <w:spacing w:val="-3"/>
        </w:rPr>
        <w:t xml:space="preserve">, </w:t>
      </w:r>
      <w:r w:rsidR="007E094B" w:rsidRPr="00E33369">
        <w:rPr>
          <w:i/>
          <w:iCs/>
          <w:color w:val="000000"/>
        </w:rPr>
        <w:sym w:font="Symbol" w:char="F067"/>
      </w:r>
      <w:r w:rsidR="007E094B">
        <w:rPr>
          <w:color w:val="000000"/>
        </w:rPr>
        <w:t xml:space="preserve"> = 1</w:t>
      </w:r>
      <w:r w:rsidR="002F543D">
        <w:rPr>
          <w:spacing w:val="-3"/>
        </w:rPr>
        <w:t xml:space="preserve">, </w:t>
      </w:r>
      <w:r w:rsidR="002F543D" w:rsidRPr="002F543D">
        <w:rPr>
          <w:i/>
          <w:spacing w:val="-3"/>
        </w:rPr>
        <w:t>α</w:t>
      </w:r>
      <w:r w:rsidR="002F543D">
        <w:rPr>
          <w:spacing w:val="-3"/>
        </w:rPr>
        <w:t xml:space="preserve"> = 0.1, and </w:t>
      </w:r>
      <w:r w:rsidR="002F543D" w:rsidRPr="002F543D">
        <w:rPr>
          <w:i/>
          <w:spacing w:val="-3"/>
        </w:rPr>
        <w:t>β</w:t>
      </w:r>
      <w:r w:rsidR="002F543D">
        <w:rPr>
          <w:spacing w:val="-3"/>
        </w:rPr>
        <w:t xml:space="preserve"> = 0.25</w:t>
      </w:r>
    </w:p>
    <w:p w:rsidR="002F543D" w:rsidRDefault="002F543D" w:rsidP="007E094B">
      <w:pPr>
        <w:spacing w:before="120"/>
        <w:jc w:val="both"/>
        <w:rPr>
          <w:spacing w:val="-3"/>
        </w:rPr>
      </w:pPr>
    </w:p>
    <w:p w:rsidR="00E65CE7" w:rsidRDefault="00441114" w:rsidP="007E094B">
      <w:pPr>
        <w:spacing w:before="120"/>
        <w:jc w:val="both"/>
        <w:rPr>
          <w:spacing w:val="-3"/>
        </w:rPr>
      </w:pPr>
      <w:r>
        <w:rPr>
          <w:spacing w:val="-3"/>
        </w:rPr>
        <w:t>For Norton Sound red king crab, MMB is defined as</w:t>
      </w:r>
      <w:r w:rsidR="002D1CF8">
        <w:rPr>
          <w:spacing w:val="-3"/>
        </w:rPr>
        <w:t xml:space="preserve"> the biomass of males</w:t>
      </w:r>
      <w:r>
        <w:rPr>
          <w:spacing w:val="-3"/>
        </w:rPr>
        <w:t xml:space="preserve"> &gt; 94 mm</w:t>
      </w:r>
      <w:r w:rsidR="002D1CF8">
        <w:rPr>
          <w:spacing w:val="-3"/>
        </w:rPr>
        <w:t xml:space="preserve"> CL</w:t>
      </w:r>
      <w:r w:rsidR="00D242A1">
        <w:rPr>
          <w:spacing w:val="-3"/>
        </w:rPr>
        <w:t xml:space="preserve"> </w:t>
      </w:r>
      <w:r w:rsidR="00D242A1" w:rsidRPr="00F20248">
        <w:rPr>
          <w:spacing w:val="-3"/>
        </w:rPr>
        <w:t>on February 01</w:t>
      </w:r>
      <w:r w:rsidR="002F543D">
        <w:rPr>
          <w:b/>
          <w:spacing w:val="-3"/>
        </w:rPr>
        <w:t xml:space="preserve"> </w:t>
      </w:r>
      <w:r w:rsidR="002F543D" w:rsidRPr="002F543D">
        <w:rPr>
          <w:spacing w:val="-3"/>
        </w:rPr>
        <w:t>(Appendix A)</w:t>
      </w:r>
      <w:r w:rsidR="006C4C54">
        <w:rPr>
          <w:b/>
          <w:spacing w:val="-3"/>
        </w:rPr>
        <w:t xml:space="preserve">. </w:t>
      </w:r>
      <w:r w:rsidR="00D242A1">
        <w:rPr>
          <w:spacing w:val="-3"/>
        </w:rPr>
        <w:t xml:space="preserve"> </w:t>
      </w:r>
      <w:r w:rsidRPr="00CF2A03">
        <w:rPr>
          <w:i/>
          <w:spacing w:val="-3"/>
        </w:rPr>
        <w:t>B</w:t>
      </w:r>
      <w:r w:rsidRPr="00090375">
        <w:rPr>
          <w:i/>
          <w:spacing w:val="-3"/>
          <w:vertAlign w:val="subscript"/>
        </w:rPr>
        <w:t>MSY</w:t>
      </w:r>
      <w:r>
        <w:rPr>
          <w:spacing w:val="-3"/>
        </w:rPr>
        <w:t xml:space="preserve"> proxy</w:t>
      </w:r>
      <w:r w:rsidR="00D242A1">
        <w:rPr>
          <w:spacing w:val="-3"/>
        </w:rPr>
        <w:t xml:space="preserve"> is</w:t>
      </w:r>
      <w:r>
        <w:rPr>
          <w:spacing w:val="-3"/>
        </w:rPr>
        <w:t xml:space="preserve"> </w:t>
      </w:r>
    </w:p>
    <w:p w:rsidR="002F543D" w:rsidRDefault="002F543D" w:rsidP="007E094B">
      <w:pPr>
        <w:spacing w:before="120"/>
        <w:jc w:val="both"/>
        <w:rPr>
          <w:spacing w:val="-3"/>
        </w:rPr>
      </w:pPr>
    </w:p>
    <w:p w:rsidR="00441114" w:rsidRDefault="00441114" w:rsidP="00441114">
      <w:pPr>
        <w:spacing w:before="120"/>
        <w:ind w:firstLine="720"/>
        <w:jc w:val="both"/>
        <w:rPr>
          <w:spacing w:val="-3"/>
        </w:rPr>
      </w:pPr>
      <w:r w:rsidRPr="00CF2A03">
        <w:rPr>
          <w:i/>
          <w:spacing w:val="-3"/>
        </w:rPr>
        <w:t>B</w:t>
      </w:r>
      <w:r w:rsidRPr="00090375">
        <w:rPr>
          <w:i/>
          <w:spacing w:val="-3"/>
          <w:vertAlign w:val="subscript"/>
        </w:rPr>
        <w:t>MSY</w:t>
      </w:r>
      <w:r>
        <w:rPr>
          <w:spacing w:val="-3"/>
        </w:rPr>
        <w:t xml:space="preserve"> proxy = average mo</w:t>
      </w:r>
      <w:r w:rsidR="00760A14">
        <w:rPr>
          <w:spacing w:val="-3"/>
        </w:rPr>
        <w:t>del estimated MMB from 1980-201</w:t>
      </w:r>
      <w:r w:rsidR="003B0B6E">
        <w:rPr>
          <w:spacing w:val="-3"/>
        </w:rPr>
        <w:t>9</w:t>
      </w:r>
    </w:p>
    <w:p w:rsidR="00BF2005" w:rsidRPr="00BF2005" w:rsidRDefault="00BF2005" w:rsidP="00BF2005">
      <w:pPr>
        <w:spacing w:before="120"/>
        <w:ind w:firstLine="720"/>
        <w:jc w:val="both"/>
        <w:rPr>
          <w:b/>
        </w:rPr>
      </w:pPr>
      <w:r w:rsidRPr="00BF2005">
        <w:rPr>
          <w:b/>
        </w:rPr>
        <w:t xml:space="preserve">Estimated </w:t>
      </w:r>
      <w:r w:rsidRPr="00BF2005">
        <w:rPr>
          <w:b/>
          <w:i/>
        </w:rPr>
        <w:t>B</w:t>
      </w:r>
      <w:r w:rsidRPr="00BF2005">
        <w:rPr>
          <w:b/>
          <w:i/>
          <w:vertAlign w:val="subscript"/>
        </w:rPr>
        <w:t>MSY</w:t>
      </w:r>
      <w:r w:rsidRPr="00BF2005">
        <w:rPr>
          <w:b/>
        </w:rPr>
        <w:t xml:space="preserve"> proxy is:  </w:t>
      </w:r>
      <w:r w:rsidRPr="00BF2005">
        <w:rPr>
          <w:b/>
          <w:spacing w:val="-3"/>
        </w:rPr>
        <w:t xml:space="preserve"> </w:t>
      </w:r>
      <w:proofErr w:type="gramStart"/>
      <w:r w:rsidRPr="00BF2005">
        <w:rPr>
          <w:b/>
          <w:spacing w:val="-3"/>
        </w:rPr>
        <w:t>4.5</w:t>
      </w:r>
      <w:r w:rsidR="007534DA">
        <w:rPr>
          <w:b/>
          <w:spacing w:val="-3"/>
        </w:rPr>
        <w:t>7</w:t>
      </w:r>
      <w:r w:rsidRPr="00BF2005">
        <w:rPr>
          <w:b/>
          <w:spacing w:val="-3"/>
        </w:rPr>
        <w:t xml:space="preserve">  million</w:t>
      </w:r>
      <w:proofErr w:type="gramEnd"/>
      <w:r w:rsidRPr="00BF2005">
        <w:rPr>
          <w:b/>
          <w:spacing w:val="-3"/>
        </w:rPr>
        <w:t xml:space="preserve"> lb.  </w:t>
      </w:r>
    </w:p>
    <w:p w:rsidR="00BF2005" w:rsidRDefault="00BF2005" w:rsidP="004017C0">
      <w:pPr>
        <w:spacing w:before="120"/>
        <w:jc w:val="both"/>
        <w:rPr>
          <w:spacing w:val="-3"/>
        </w:rPr>
      </w:pPr>
    </w:p>
    <w:p w:rsidR="004017C0" w:rsidRPr="009931BE" w:rsidRDefault="004017C0" w:rsidP="004017C0">
      <w:pPr>
        <w:spacing w:before="120"/>
        <w:jc w:val="both"/>
        <w:rPr>
          <w:spacing w:val="-3"/>
        </w:rPr>
      </w:pPr>
      <w:r w:rsidRPr="009931BE">
        <w:rPr>
          <w:spacing w:val="-3"/>
        </w:rPr>
        <w:t>Predi</w:t>
      </w:r>
      <w:r w:rsidR="00963700" w:rsidRPr="009931BE">
        <w:rPr>
          <w:spacing w:val="-3"/>
        </w:rPr>
        <w:t>cted mature male biomass in 201</w:t>
      </w:r>
      <w:r w:rsidR="003B0B6E">
        <w:rPr>
          <w:spacing w:val="-3"/>
        </w:rPr>
        <w:t>9</w:t>
      </w:r>
      <w:r w:rsidR="00F20248" w:rsidRPr="009931BE">
        <w:rPr>
          <w:spacing w:val="-3"/>
        </w:rPr>
        <w:t xml:space="preserve"> </w:t>
      </w:r>
      <w:r w:rsidR="00DD2E51">
        <w:rPr>
          <w:spacing w:val="-3"/>
        </w:rPr>
        <w:t>on</w:t>
      </w:r>
      <w:r w:rsidR="00816780" w:rsidRPr="009931BE">
        <w:rPr>
          <w:spacing w:val="-3"/>
        </w:rPr>
        <w:t xml:space="preserve"> February 01</w:t>
      </w:r>
      <w:r w:rsidR="002F543D" w:rsidRPr="009931BE">
        <w:rPr>
          <w:spacing w:val="-3"/>
        </w:rPr>
        <w:t xml:space="preserve"> </w:t>
      </w:r>
      <w:r w:rsidR="00C915B7">
        <w:rPr>
          <w:spacing w:val="-3"/>
        </w:rPr>
        <w:t xml:space="preserve"> </w:t>
      </w:r>
    </w:p>
    <w:p w:rsidR="004017C0" w:rsidRPr="009931BE" w:rsidRDefault="004017C0" w:rsidP="002F543D">
      <w:pPr>
        <w:jc w:val="both"/>
        <w:rPr>
          <w:spacing w:val="-3"/>
        </w:rPr>
      </w:pPr>
    </w:p>
    <w:p w:rsidR="004017C0" w:rsidRPr="00BF2005" w:rsidRDefault="004017C0" w:rsidP="004017C0">
      <w:pPr>
        <w:spacing w:before="120"/>
        <w:ind w:firstLine="720"/>
        <w:jc w:val="both"/>
        <w:rPr>
          <w:b/>
          <w:spacing w:val="-3"/>
        </w:rPr>
      </w:pPr>
      <w:r w:rsidRPr="00BF2005">
        <w:rPr>
          <w:b/>
          <w:spacing w:val="-3"/>
        </w:rPr>
        <w:t xml:space="preserve">Mature male </w:t>
      </w:r>
      <w:proofErr w:type="gramStart"/>
      <w:r w:rsidRPr="00BF2005">
        <w:rPr>
          <w:b/>
          <w:spacing w:val="-3"/>
        </w:rPr>
        <w:t>biomass</w:t>
      </w:r>
      <w:r w:rsidR="00816780" w:rsidRPr="00BF2005">
        <w:rPr>
          <w:b/>
          <w:spacing w:val="-3"/>
        </w:rPr>
        <w:t xml:space="preserve"> </w:t>
      </w:r>
      <w:r w:rsidRPr="00BF2005">
        <w:rPr>
          <w:b/>
          <w:spacing w:val="-3"/>
        </w:rPr>
        <w:t>:</w:t>
      </w:r>
      <w:proofErr w:type="gramEnd"/>
      <w:r w:rsidRPr="00BF2005">
        <w:rPr>
          <w:b/>
          <w:spacing w:val="-3"/>
        </w:rPr>
        <w:t xml:space="preserve">  </w:t>
      </w:r>
      <w:r w:rsidR="00D8634E" w:rsidRPr="00BF2005">
        <w:rPr>
          <w:b/>
          <w:spacing w:val="-3"/>
        </w:rPr>
        <w:t>3.1</w:t>
      </w:r>
      <w:r w:rsidR="007534DA">
        <w:rPr>
          <w:b/>
          <w:spacing w:val="-3"/>
        </w:rPr>
        <w:t>2</w:t>
      </w:r>
      <w:r w:rsidR="00760A14" w:rsidRPr="00BF2005">
        <w:rPr>
          <w:b/>
          <w:spacing w:val="-3"/>
        </w:rPr>
        <w:t xml:space="preserve"> </w:t>
      </w:r>
      <w:r w:rsidR="00C915B7" w:rsidRPr="00BF2005">
        <w:rPr>
          <w:b/>
          <w:spacing w:val="-3"/>
        </w:rPr>
        <w:t xml:space="preserve"> </w:t>
      </w:r>
      <w:r w:rsidR="008068E8" w:rsidRPr="00BF2005">
        <w:rPr>
          <w:b/>
          <w:spacing w:val="-3"/>
        </w:rPr>
        <w:t>(S</w:t>
      </w:r>
      <w:r w:rsidR="00D8634E" w:rsidRPr="00BF2005">
        <w:rPr>
          <w:b/>
          <w:spacing w:val="-3"/>
        </w:rPr>
        <w:t xml:space="preserve">E 0.39 </w:t>
      </w:r>
      <w:r w:rsidR="008068E8" w:rsidRPr="00BF2005">
        <w:rPr>
          <w:b/>
          <w:spacing w:val="-3"/>
        </w:rPr>
        <w:t xml:space="preserve"> ) </w:t>
      </w:r>
      <w:r w:rsidRPr="00BF2005">
        <w:rPr>
          <w:b/>
          <w:spacing w:val="-3"/>
        </w:rPr>
        <w:t xml:space="preserve">million lb. </w:t>
      </w:r>
    </w:p>
    <w:p w:rsidR="004017C0" w:rsidRPr="009931BE" w:rsidRDefault="004017C0" w:rsidP="00BF2005">
      <w:pPr>
        <w:spacing w:before="120"/>
        <w:jc w:val="both"/>
        <w:rPr>
          <w:spacing w:val="-3"/>
        </w:rPr>
      </w:pPr>
    </w:p>
    <w:p w:rsidR="00BF2005" w:rsidRDefault="004B4146" w:rsidP="00BF2005">
      <w:pPr>
        <w:spacing w:before="120"/>
        <w:jc w:val="both"/>
      </w:pPr>
      <w:r>
        <w:t xml:space="preserve">Since projected MMB is less </w:t>
      </w:r>
      <w:r w:rsidR="002F543D" w:rsidRPr="009931BE">
        <w:t xml:space="preserve">than </w:t>
      </w:r>
      <w:r w:rsidR="002F543D" w:rsidRPr="009931BE">
        <w:rPr>
          <w:i/>
        </w:rPr>
        <w:t>B</w:t>
      </w:r>
      <w:r w:rsidR="002F543D" w:rsidRPr="009931BE">
        <w:rPr>
          <w:i/>
          <w:vertAlign w:val="subscript"/>
        </w:rPr>
        <w:t>MSY</w:t>
      </w:r>
      <w:r w:rsidR="002F543D" w:rsidRPr="009931BE">
        <w:t xml:space="preserve"> proxy</w:t>
      </w:r>
      <w:r w:rsidR="00875412" w:rsidRPr="009931BE">
        <w:t xml:space="preserve">, </w:t>
      </w:r>
    </w:p>
    <w:p w:rsidR="00BF2005" w:rsidRDefault="00BF2005" w:rsidP="00BF2005">
      <w:pPr>
        <w:spacing w:before="120"/>
        <w:jc w:val="both"/>
        <w:rPr>
          <w:b/>
        </w:rPr>
      </w:pPr>
      <w:r>
        <w:rPr>
          <w:b/>
        </w:rPr>
        <w:t xml:space="preserve">          </w:t>
      </w:r>
      <w:r w:rsidR="00875412" w:rsidRPr="009931BE">
        <w:rPr>
          <w:b/>
        </w:rPr>
        <w:t>Norton Sound red king crab stock status is</w:t>
      </w:r>
      <w:r w:rsidR="004B4146">
        <w:rPr>
          <w:b/>
        </w:rPr>
        <w:t xml:space="preserve"> Tier 4</w:t>
      </w:r>
      <w:r w:rsidR="001071B0">
        <w:rPr>
          <w:b/>
        </w:rPr>
        <w:t>b</w:t>
      </w:r>
      <w:r w:rsidR="00D8634E">
        <w:rPr>
          <w:b/>
        </w:rPr>
        <w:t xml:space="preserve"> </w:t>
      </w:r>
    </w:p>
    <w:p w:rsidR="00D06BE4" w:rsidRDefault="00BF2005" w:rsidP="00BF2005">
      <w:pPr>
        <w:spacing w:before="120"/>
        <w:ind w:firstLine="720"/>
        <w:jc w:val="both"/>
      </w:pPr>
      <w:proofErr w:type="spellStart"/>
      <w:r>
        <w:t>Whee</w:t>
      </w:r>
      <w:proofErr w:type="spellEnd"/>
      <w:r>
        <w:t xml:space="preserve"> FOFL is calculated </w:t>
      </w:r>
      <w:r w:rsidR="00D06BE4">
        <w:t>by</w:t>
      </w:r>
    </w:p>
    <w:p w:rsidR="00BF2005" w:rsidRDefault="00BF2005" w:rsidP="00BF2005">
      <w:pPr>
        <w:spacing w:before="120"/>
        <w:ind w:firstLine="720"/>
        <w:jc w:val="both"/>
        <w:rPr>
          <w:b/>
        </w:rPr>
      </w:pPr>
      <w:r>
        <w:t xml:space="preserve"> </w:t>
      </w:r>
      <w:r w:rsidR="00D06BE4" w:rsidRPr="009F1122">
        <w:rPr>
          <w:position w:val="-14"/>
        </w:rPr>
        <w:object w:dxaOrig="3500" w:dyaOrig="380">
          <v:shape id="_x0000_i1034" type="#_x0000_t75" style="width:227.15pt;height:20.7pt" o:ole="">
            <v:imagedata r:id="rId24" o:title=""/>
          </v:shape>
          <o:OLEObject Type="Embed" ProgID="Equation.3" ShapeID="_x0000_i1034" DrawAspect="Content" ObjectID="_1609879037" r:id="rId30"/>
        </w:object>
      </w:r>
      <w:r w:rsidR="00D06BE4">
        <w:t xml:space="preserve"> </w:t>
      </w:r>
    </w:p>
    <w:p w:rsidR="004017C0" w:rsidRDefault="00D8634E" w:rsidP="00BF2005">
      <w:pPr>
        <w:spacing w:before="120"/>
        <w:ind w:firstLine="720"/>
        <w:jc w:val="both"/>
        <w:rPr>
          <w:b/>
        </w:rPr>
      </w:pPr>
      <w:r>
        <w:rPr>
          <w:b/>
        </w:rPr>
        <w:t>FOFL of 0.118</w:t>
      </w:r>
      <w:r w:rsidR="00BF2005">
        <w:rPr>
          <w:b/>
        </w:rPr>
        <w:t xml:space="preserve"> for all length classes </w:t>
      </w:r>
    </w:p>
    <w:p w:rsidR="00760A14" w:rsidRPr="009931BE" w:rsidRDefault="00760A14" w:rsidP="002F543D">
      <w:pPr>
        <w:spacing w:before="120"/>
        <w:jc w:val="both"/>
        <w:rPr>
          <w:spacing w:val="-3"/>
        </w:rPr>
      </w:pPr>
    </w:p>
    <w:p w:rsidR="00441114" w:rsidRDefault="00875412" w:rsidP="004F27CE">
      <w:pPr>
        <w:pStyle w:val="ListParagraph"/>
        <w:numPr>
          <w:ilvl w:val="1"/>
          <w:numId w:val="4"/>
        </w:numPr>
        <w:spacing w:before="120"/>
        <w:ind w:left="360"/>
        <w:jc w:val="both"/>
      </w:pPr>
      <w:r>
        <w:t>Calculation of OFL</w:t>
      </w:r>
      <w:r w:rsidR="004017C0">
        <w:t>.</w:t>
      </w:r>
    </w:p>
    <w:p w:rsidR="004017C0" w:rsidRDefault="004017C0" w:rsidP="006462FB">
      <w:pPr>
        <w:spacing w:before="120"/>
        <w:jc w:val="both"/>
        <w:rPr>
          <w:spacing w:val="-3"/>
        </w:rPr>
      </w:pPr>
    </w:p>
    <w:p w:rsidR="00E92D41" w:rsidRDefault="00E65CE7" w:rsidP="006462FB">
      <w:pPr>
        <w:spacing w:before="120"/>
        <w:jc w:val="both"/>
        <w:rPr>
          <w:spacing w:val="-3"/>
        </w:rPr>
      </w:pPr>
      <w:r w:rsidRPr="00B625C4">
        <w:rPr>
          <w:spacing w:val="-3"/>
        </w:rPr>
        <w:t xml:space="preserve">OFL was calculated for </w:t>
      </w:r>
      <w:r w:rsidR="00D242A1" w:rsidRPr="00B625C4">
        <w:rPr>
          <w:spacing w:val="-3"/>
        </w:rPr>
        <w:t>retained</w:t>
      </w:r>
      <w:r w:rsidR="00D000F1">
        <w:rPr>
          <w:spacing w:val="-3"/>
        </w:rPr>
        <w:t xml:space="preserve"> (</w:t>
      </w:r>
      <w:r w:rsidR="00D000F1" w:rsidRPr="00D000F1">
        <w:rPr>
          <w:i/>
          <w:spacing w:val="-3"/>
        </w:rPr>
        <w:t>OFL</w:t>
      </w:r>
      <w:r w:rsidR="00D000F1" w:rsidRPr="00D000F1">
        <w:rPr>
          <w:i/>
          <w:spacing w:val="-3"/>
          <w:vertAlign w:val="subscript"/>
        </w:rPr>
        <w:t>r</w:t>
      </w:r>
      <w:r w:rsidR="00D000F1">
        <w:rPr>
          <w:spacing w:val="-3"/>
        </w:rPr>
        <w:t>)</w:t>
      </w:r>
      <w:r w:rsidR="00D242A1" w:rsidRPr="00B625C4">
        <w:rPr>
          <w:spacing w:val="-3"/>
        </w:rPr>
        <w:t>, un</w:t>
      </w:r>
      <w:r w:rsidR="00904076">
        <w:rPr>
          <w:spacing w:val="-3"/>
        </w:rPr>
        <w:t>-</w:t>
      </w:r>
      <w:r w:rsidR="00D242A1" w:rsidRPr="00B625C4">
        <w:rPr>
          <w:spacing w:val="-3"/>
        </w:rPr>
        <w:t>retained</w:t>
      </w:r>
      <w:r w:rsidR="00D000F1">
        <w:rPr>
          <w:spacing w:val="-3"/>
        </w:rPr>
        <w:t xml:space="preserve"> (</w:t>
      </w:r>
      <w:r w:rsidR="00D000F1" w:rsidRPr="00D000F1">
        <w:rPr>
          <w:i/>
          <w:spacing w:val="-3"/>
        </w:rPr>
        <w:t>OFL</w:t>
      </w:r>
      <w:r w:rsidR="00D000F1" w:rsidRPr="00D000F1">
        <w:rPr>
          <w:i/>
          <w:spacing w:val="-3"/>
          <w:vertAlign w:val="subscript"/>
        </w:rPr>
        <w:t>ur</w:t>
      </w:r>
      <w:r w:rsidR="00D000F1">
        <w:rPr>
          <w:spacing w:val="-3"/>
        </w:rPr>
        <w:t>)</w:t>
      </w:r>
      <w:r w:rsidR="00D242A1" w:rsidRPr="00B625C4">
        <w:rPr>
          <w:spacing w:val="-3"/>
        </w:rPr>
        <w:t>,</w:t>
      </w:r>
      <w:r w:rsidR="00E92D41">
        <w:rPr>
          <w:spacing w:val="-3"/>
        </w:rPr>
        <w:t xml:space="preserve"> and total </w:t>
      </w:r>
      <w:r w:rsidR="00D000F1">
        <w:rPr>
          <w:spacing w:val="-3"/>
        </w:rPr>
        <w:t>(</w:t>
      </w:r>
      <w:r w:rsidR="00D000F1" w:rsidRPr="00D000F1">
        <w:rPr>
          <w:i/>
          <w:spacing w:val="-3"/>
        </w:rPr>
        <w:t>OFL</w:t>
      </w:r>
      <w:r w:rsidR="00D000F1" w:rsidRPr="00D000F1">
        <w:rPr>
          <w:i/>
          <w:spacing w:val="-3"/>
          <w:vertAlign w:val="subscript"/>
        </w:rPr>
        <w:t>T</w:t>
      </w:r>
      <w:r w:rsidR="00D000F1">
        <w:rPr>
          <w:spacing w:val="-3"/>
        </w:rPr>
        <w:t xml:space="preserve">) for </w:t>
      </w:r>
      <w:r w:rsidR="00E92D41">
        <w:rPr>
          <w:spacing w:val="-3"/>
        </w:rPr>
        <w:t xml:space="preserve">legal sized crab, </w:t>
      </w:r>
      <w:r w:rsidR="00E92D41" w:rsidRPr="00E92D41">
        <w:rPr>
          <w:i/>
          <w:spacing w:val="-3"/>
        </w:rPr>
        <w:t>Legal_B</w:t>
      </w:r>
      <w:r w:rsidR="00E92D41">
        <w:rPr>
          <w:spacing w:val="-3"/>
        </w:rPr>
        <w:t xml:space="preserve">, </w:t>
      </w:r>
      <w:r w:rsidR="00D000F1">
        <w:rPr>
          <w:spacing w:val="-3"/>
        </w:rPr>
        <w:t xml:space="preserve">by </w:t>
      </w:r>
      <w:r w:rsidR="00E92D41">
        <w:rPr>
          <w:spacing w:val="-3"/>
        </w:rPr>
        <w:t xml:space="preserve">applying </w:t>
      </w:r>
      <w:r w:rsidR="00E92D41" w:rsidRPr="00E92D41">
        <w:rPr>
          <w:i/>
          <w:spacing w:val="-3"/>
        </w:rPr>
        <w:t>F</w:t>
      </w:r>
      <w:r w:rsidR="00E92D41" w:rsidRPr="00E92D41">
        <w:rPr>
          <w:i/>
          <w:spacing w:val="-3"/>
          <w:vertAlign w:val="subscript"/>
        </w:rPr>
        <w:t>OFL</w:t>
      </w:r>
      <w:r w:rsidR="00E92D41">
        <w:rPr>
          <w:spacing w:val="-3"/>
        </w:rPr>
        <w:t xml:space="preserve">. </w:t>
      </w:r>
    </w:p>
    <w:p w:rsidR="00E92D41" w:rsidRDefault="00E92D41" w:rsidP="006462FB">
      <w:pPr>
        <w:spacing w:before="120"/>
        <w:jc w:val="both"/>
        <w:rPr>
          <w:spacing w:val="-3"/>
        </w:rPr>
      </w:pPr>
    </w:p>
    <w:p w:rsidR="00E92D41" w:rsidRDefault="00E92D41" w:rsidP="00E92D41">
      <w:pPr>
        <w:spacing w:before="120"/>
        <w:jc w:val="both"/>
        <w:rPr>
          <w:spacing w:val="-3"/>
        </w:rPr>
      </w:pPr>
      <w:r w:rsidRPr="00E92D41">
        <w:rPr>
          <w:i/>
          <w:spacing w:val="-3"/>
        </w:rPr>
        <w:lastRenderedPageBreak/>
        <w:t>Legal_B</w:t>
      </w:r>
      <w:r>
        <w:rPr>
          <w:spacing w:val="-3"/>
        </w:rPr>
        <w:t xml:space="preserve"> is a </w:t>
      </w:r>
      <w:r w:rsidRPr="00E92D41">
        <w:rPr>
          <w:spacing w:val="-3"/>
        </w:rPr>
        <w:t xml:space="preserve">biomass of legal crab subject to fisheries </w:t>
      </w:r>
      <w:r w:rsidR="003904EB">
        <w:rPr>
          <w:spacing w:val="-3"/>
        </w:rPr>
        <w:t xml:space="preserve">and </w:t>
      </w:r>
      <w:r w:rsidRPr="00E92D41">
        <w:rPr>
          <w:spacing w:val="-3"/>
        </w:rPr>
        <w:t xml:space="preserve">is calculated as: Projected abundance by length crab × fishing selectivity by length </w:t>
      </w:r>
      <w:r w:rsidR="003904EB">
        <w:rPr>
          <w:spacing w:val="-3"/>
        </w:rPr>
        <w:t>class</w:t>
      </w:r>
      <w:r w:rsidRPr="00E92D41">
        <w:rPr>
          <w:spacing w:val="-3"/>
        </w:rPr>
        <w:t xml:space="preserve"> × Proportion of legal crab per length class</w:t>
      </w:r>
      <w:r>
        <w:rPr>
          <w:spacing w:val="-3"/>
        </w:rPr>
        <w:t xml:space="preserve"> × Average lb per length class.</w:t>
      </w:r>
    </w:p>
    <w:p w:rsidR="00412A2F" w:rsidRDefault="00412A2F" w:rsidP="00E92D41">
      <w:pPr>
        <w:spacing w:before="120"/>
        <w:jc w:val="both"/>
        <w:rPr>
          <w:spacing w:val="-3"/>
        </w:rPr>
      </w:pPr>
      <w:r>
        <w:rPr>
          <w:spacing w:val="-3"/>
        </w:rPr>
        <w:t xml:space="preserve">For the Norton Sound red king crab assessment, </w:t>
      </w:r>
      <w:r w:rsidRPr="004D04DB">
        <w:rPr>
          <w:i/>
          <w:spacing w:val="-3"/>
        </w:rPr>
        <w:t>Legal_B</w:t>
      </w:r>
      <w:r>
        <w:rPr>
          <w:spacing w:val="-3"/>
        </w:rPr>
        <w:t xml:space="preserve"> was defined as winter </w:t>
      </w:r>
      <w:r w:rsidR="004D04DB">
        <w:rPr>
          <w:spacing w:val="-3"/>
        </w:rPr>
        <w:t xml:space="preserve">biomass catchable to summer commercial pot fishery gear </w:t>
      </w:r>
      <w:r w:rsidRPr="004D04DB">
        <w:rPr>
          <w:i/>
          <w:spacing w:val="-3"/>
        </w:rPr>
        <w:t>Legal_B</w:t>
      </w:r>
      <w:r w:rsidR="004D04DB" w:rsidRPr="004D04DB">
        <w:rPr>
          <w:i/>
          <w:spacing w:val="-3"/>
          <w:vertAlign w:val="subscript"/>
        </w:rPr>
        <w:t>w</w:t>
      </w:r>
      <w:r w:rsidR="004D04DB">
        <w:rPr>
          <w:spacing w:val="-3"/>
        </w:rPr>
        <w:t xml:space="preserve">, as </w:t>
      </w:r>
      <w:r>
        <w:rPr>
          <w:spacing w:val="-3"/>
        </w:rPr>
        <w:t xml:space="preserve"> </w:t>
      </w:r>
    </w:p>
    <w:p w:rsidR="00E92D41" w:rsidRDefault="004D04DB" w:rsidP="00E92D41">
      <w:pPr>
        <w:spacing w:before="120"/>
        <w:jc w:val="both"/>
        <w:rPr>
          <w:spacing w:val="-3"/>
        </w:rPr>
      </w:pPr>
      <w:r w:rsidRPr="008F33F0">
        <w:rPr>
          <w:spacing w:val="-3"/>
          <w:position w:val="-28"/>
        </w:rPr>
        <w:object w:dxaOrig="3900" w:dyaOrig="540">
          <v:shape id="_x0000_i1035" type="#_x0000_t75" style="width:207.3pt;height:29.4pt" o:ole="">
            <v:imagedata r:id="rId31" o:title=""/>
          </v:shape>
          <o:OLEObject Type="Embed" ProgID="Equation.3" ShapeID="_x0000_i1035" DrawAspect="Content" ObjectID="_1609879038" r:id="rId32"/>
        </w:object>
      </w:r>
    </w:p>
    <w:p w:rsidR="00D000F1" w:rsidRDefault="003904EB" w:rsidP="00D000F1">
      <w:pPr>
        <w:spacing w:before="120"/>
        <w:jc w:val="both"/>
        <w:rPr>
          <w:spacing w:val="-3"/>
        </w:rPr>
      </w:pPr>
      <w:r>
        <w:rPr>
          <w:spacing w:val="-3"/>
        </w:rPr>
        <w:t xml:space="preserve">The </w:t>
      </w:r>
      <w:r w:rsidR="00E92D41">
        <w:rPr>
          <w:spacing w:val="-3"/>
        </w:rPr>
        <w:t xml:space="preserve">Norton Sound red king crab fishery consists of two distinct fisheries: winter and summer.  </w:t>
      </w:r>
      <w:r w:rsidR="00D000F1">
        <w:rPr>
          <w:spacing w:val="-3"/>
        </w:rPr>
        <w:t xml:space="preserve">The two fisheries are discontinuous with 5 months between the two fisheries during which natural mortalities occur.  To incorporate this fishery, </w:t>
      </w:r>
      <w:r>
        <w:rPr>
          <w:spacing w:val="-3"/>
        </w:rPr>
        <w:t xml:space="preserve">the </w:t>
      </w:r>
      <w:r w:rsidR="00D000F1">
        <w:rPr>
          <w:spacing w:val="-3"/>
        </w:rPr>
        <w:t xml:space="preserve">CPT in 2016 recommended </w:t>
      </w:r>
      <w:r>
        <w:rPr>
          <w:spacing w:val="-3"/>
        </w:rPr>
        <w:t xml:space="preserve">the </w:t>
      </w:r>
      <w:r w:rsidR="00D000F1">
        <w:rPr>
          <w:spacing w:val="-3"/>
        </w:rPr>
        <w:t>following formula</w:t>
      </w:r>
      <w:r>
        <w:rPr>
          <w:spacing w:val="-3"/>
        </w:rPr>
        <w:t>:</w:t>
      </w:r>
      <w:r w:rsidR="00D000F1">
        <w:rPr>
          <w:spacing w:val="-3"/>
        </w:rPr>
        <w:t xml:space="preserve"> </w:t>
      </w:r>
    </w:p>
    <w:p w:rsidR="00E92D41" w:rsidRPr="00D000F1" w:rsidRDefault="00E92D41" w:rsidP="00D000F1">
      <w:pPr>
        <w:spacing w:before="120"/>
        <w:jc w:val="both"/>
        <w:rPr>
          <w:spacing w:val="-3"/>
        </w:rPr>
      </w:pPr>
      <w:r>
        <w:tab/>
      </w:r>
      <w:r w:rsidRPr="0077208B">
        <w:rPr>
          <w:spacing w:val="-3"/>
          <w:position w:val="-12"/>
        </w:rPr>
        <w:object w:dxaOrig="4760" w:dyaOrig="380">
          <v:shape id="_x0000_i1036" type="#_x0000_t75" style="width:252pt;height:19.85pt" o:ole="">
            <v:imagedata r:id="rId33" o:title=""/>
          </v:shape>
          <o:OLEObject Type="Embed" ProgID="Equation.3" ShapeID="_x0000_i1036" DrawAspect="Content" ObjectID="_1609879039" r:id="rId34"/>
        </w:object>
      </w:r>
    </w:p>
    <w:p w:rsidR="00E92D41" w:rsidRDefault="00E92D41" w:rsidP="00E92D41">
      <w:pPr>
        <w:spacing w:after="120"/>
        <w:ind w:firstLine="720"/>
        <w:jc w:val="both"/>
      </w:pPr>
      <w:r w:rsidRPr="0077208B">
        <w:rPr>
          <w:position w:val="-12"/>
        </w:rPr>
        <w:object w:dxaOrig="4120" w:dyaOrig="360">
          <v:shape id="_x0000_i1037" type="#_x0000_t75" style="width:206.5pt;height:18.2pt" o:ole="">
            <v:imagedata r:id="rId35" o:title=""/>
          </v:shape>
          <o:OLEObject Type="Embed" ProgID="Equation.3" ShapeID="_x0000_i1037" DrawAspect="Content" ObjectID="_1609879040" r:id="rId36"/>
        </w:object>
      </w:r>
    </w:p>
    <w:p w:rsidR="00E92D41" w:rsidRDefault="00E92D41" w:rsidP="00E92D41">
      <w:pPr>
        <w:spacing w:after="120"/>
        <w:jc w:val="both"/>
      </w:pPr>
      <w:r>
        <w:t xml:space="preserve">And </w:t>
      </w:r>
      <w:r w:rsidR="007D643D">
        <w:t xml:space="preserve"> </w:t>
      </w:r>
      <w:r w:rsidRPr="0077208B">
        <w:rPr>
          <w:position w:val="-30"/>
        </w:rPr>
        <w:object w:dxaOrig="3360" w:dyaOrig="680">
          <v:shape id="_x0000_i1038" type="#_x0000_t75" style="width:167.15pt;height:33.95pt" o:ole="">
            <v:imagedata r:id="rId37" o:title=""/>
          </v:shape>
          <o:OLEObject Type="Embed" ProgID="Equation.3" ShapeID="_x0000_i1038" DrawAspect="Content" ObjectID="_1609879041" r:id="rId38"/>
        </w:object>
      </w:r>
    </w:p>
    <w:p w:rsidR="00412A2F" w:rsidRDefault="00E92D41" w:rsidP="00E92D41">
      <w:pPr>
        <w:spacing w:after="120"/>
        <w:jc w:val="both"/>
      </w:pPr>
      <w:r>
        <w:t xml:space="preserve">Where </w:t>
      </w:r>
      <w:r w:rsidRPr="006276DA">
        <w:rPr>
          <w:i/>
        </w:rPr>
        <w:t>p</w:t>
      </w:r>
      <w:r>
        <w:t xml:space="preserve"> is a specific proportion of winter crab harvest to total </w:t>
      </w:r>
      <w:r w:rsidR="00D000F1">
        <w:t xml:space="preserve">(winter + summer) </w:t>
      </w:r>
      <w:r>
        <w:t xml:space="preserve">harvest. </w:t>
      </w:r>
    </w:p>
    <w:p w:rsidR="004D04DB" w:rsidRPr="004D04DB" w:rsidRDefault="004D04DB" w:rsidP="00E92D41">
      <w:pPr>
        <w:spacing w:after="120"/>
        <w:jc w:val="both"/>
      </w:pPr>
    </w:p>
    <w:p w:rsidR="00E92D41" w:rsidRPr="00A50537" w:rsidRDefault="00E92D41" w:rsidP="00E92D41">
      <w:pPr>
        <w:spacing w:after="120"/>
        <w:jc w:val="both"/>
        <w:rPr>
          <w:spacing w:val="-3"/>
        </w:rPr>
      </w:pPr>
      <w:r>
        <w:rPr>
          <w:spacing w:val="-3"/>
        </w:rPr>
        <w:t xml:space="preserve">Solving </w:t>
      </w:r>
      <w:r w:rsidRPr="006276DA">
        <w:rPr>
          <w:i/>
          <w:spacing w:val="-3"/>
        </w:rPr>
        <w:t>x</w:t>
      </w:r>
      <w:r>
        <w:rPr>
          <w:spacing w:val="-3"/>
        </w:rPr>
        <w:t xml:space="preserve"> of the above, a revised retained OFL is </w:t>
      </w:r>
    </w:p>
    <w:p w:rsidR="00E92D41" w:rsidRDefault="004D04DB" w:rsidP="00E92D41">
      <w:pPr>
        <w:spacing w:before="120"/>
        <w:jc w:val="both"/>
      </w:pPr>
      <w:r w:rsidRPr="00A061A4">
        <w:rPr>
          <w:position w:val="-34"/>
        </w:rPr>
        <w:object w:dxaOrig="7220" w:dyaOrig="800">
          <v:shape id="_x0000_i1039" type="#_x0000_t75" style="width:361.25pt;height:40.55pt" o:ole="">
            <v:imagedata r:id="rId39" o:title=""/>
          </v:shape>
          <o:OLEObject Type="Embed" ProgID="Equation.3" ShapeID="_x0000_i1039" DrawAspect="Content" ObjectID="_1609879042" r:id="rId40"/>
        </w:object>
      </w:r>
    </w:p>
    <w:p w:rsidR="00760A14" w:rsidRDefault="00760A14" w:rsidP="00E92D41">
      <w:pPr>
        <w:spacing w:before="120"/>
        <w:jc w:val="both"/>
      </w:pPr>
    </w:p>
    <w:p w:rsidR="00760A14" w:rsidRPr="00A061A4" w:rsidRDefault="00760A14" w:rsidP="00E92D41">
      <w:pPr>
        <w:spacing w:before="120"/>
        <w:jc w:val="both"/>
      </w:pPr>
      <w:r>
        <w:t xml:space="preserve">Accounting for </w:t>
      </w:r>
      <w:r w:rsidR="00A061A4">
        <w:t xml:space="preserve">difference in </w:t>
      </w:r>
      <w:r>
        <w:t>length specific natural mortality</w:t>
      </w:r>
    </w:p>
    <w:p w:rsidR="00760A14" w:rsidRDefault="004D04DB" w:rsidP="00D000F1">
      <w:pPr>
        <w:spacing w:before="120"/>
        <w:jc w:val="both"/>
        <w:rPr>
          <w:spacing w:val="-3"/>
        </w:rPr>
      </w:pPr>
      <w:r w:rsidRPr="00A061A4">
        <w:rPr>
          <w:position w:val="-38"/>
        </w:rPr>
        <w:object w:dxaOrig="8140" w:dyaOrig="880">
          <v:shape id="_x0000_i1040" type="#_x0000_t75" style="width:409.25pt;height:45.5pt" o:ole="">
            <v:imagedata r:id="rId41" o:title=""/>
          </v:shape>
          <o:OLEObject Type="Embed" ProgID="Equation.3" ShapeID="_x0000_i1040" DrawAspect="Content" ObjectID="_1609879043" r:id="rId42"/>
        </w:object>
      </w:r>
    </w:p>
    <w:p w:rsidR="00760A14" w:rsidRDefault="00760A14" w:rsidP="00D000F1">
      <w:pPr>
        <w:spacing w:before="120"/>
        <w:jc w:val="both"/>
        <w:rPr>
          <w:spacing w:val="-3"/>
        </w:rPr>
      </w:pPr>
    </w:p>
    <w:p w:rsidR="00D000F1" w:rsidRPr="00E92D41" w:rsidRDefault="00D000F1" w:rsidP="00D000F1">
      <w:pPr>
        <w:spacing w:before="120"/>
        <w:jc w:val="both"/>
        <w:rPr>
          <w:spacing w:val="-3"/>
        </w:rPr>
      </w:pPr>
      <w:r>
        <w:rPr>
          <w:spacing w:val="-3"/>
        </w:rPr>
        <w:t>U</w:t>
      </w:r>
      <w:r w:rsidRPr="00E92D41">
        <w:rPr>
          <w:spacing w:val="-3"/>
        </w:rPr>
        <w:t xml:space="preserve">nretained OFL </w:t>
      </w:r>
      <w:r>
        <w:rPr>
          <w:spacing w:val="-3"/>
        </w:rPr>
        <w:t>(</w:t>
      </w:r>
      <w:r w:rsidRPr="00D000F1">
        <w:rPr>
          <w:i/>
          <w:spacing w:val="-3"/>
        </w:rPr>
        <w:t>OFL</w:t>
      </w:r>
      <w:r w:rsidRPr="00D000F1">
        <w:rPr>
          <w:i/>
          <w:spacing w:val="-3"/>
          <w:vertAlign w:val="subscript"/>
        </w:rPr>
        <w:t>ur</w:t>
      </w:r>
      <w:r>
        <w:rPr>
          <w:spacing w:val="-3"/>
        </w:rPr>
        <w:t xml:space="preserve">) </w:t>
      </w:r>
      <w:r w:rsidRPr="00E92D41">
        <w:rPr>
          <w:spacing w:val="-3"/>
        </w:rPr>
        <w:t>is a sub-legal crab biomass catchable to summer commercial pot fisheries calculated as: Projected legal abundance (Feb 1st) × Commercial pot selectivity × Proportion of sub-legal crab per length class × Average lb per leng</w:t>
      </w:r>
      <w:r w:rsidR="00760A14">
        <w:rPr>
          <w:spacing w:val="-3"/>
        </w:rPr>
        <w:t>th class × handling mortality (</w:t>
      </w:r>
      <w:r w:rsidR="00760A14" w:rsidRPr="00760A14">
        <w:rPr>
          <w:i/>
          <w:spacing w:val="-3"/>
        </w:rPr>
        <w:t>hm</w:t>
      </w:r>
      <w:r w:rsidR="00760A14">
        <w:rPr>
          <w:spacing w:val="-3"/>
        </w:rPr>
        <w:t xml:space="preserve"> =0.2)</w:t>
      </w:r>
    </w:p>
    <w:p w:rsidR="00D000F1" w:rsidRDefault="00D000F1" w:rsidP="00E92D41">
      <w:pPr>
        <w:spacing w:before="120"/>
        <w:jc w:val="both"/>
        <w:rPr>
          <w:position w:val="-12"/>
        </w:rPr>
      </w:pPr>
    </w:p>
    <w:p w:rsidR="00760A14" w:rsidRDefault="004D04DB" w:rsidP="00E92D41">
      <w:pPr>
        <w:spacing w:before="120"/>
        <w:jc w:val="both"/>
        <w:rPr>
          <w:position w:val="-12"/>
        </w:rPr>
      </w:pPr>
      <w:r w:rsidRPr="00AE0FBD">
        <w:rPr>
          <w:position w:val="-38"/>
        </w:rPr>
        <w:object w:dxaOrig="9160" w:dyaOrig="880">
          <v:shape id="_x0000_i1041" type="#_x0000_t75" style="width:458.5pt;height:44.7pt" o:ole="">
            <v:imagedata r:id="rId43" o:title=""/>
          </v:shape>
          <o:OLEObject Type="Embed" ProgID="Equation.3" ShapeID="_x0000_i1041" DrawAspect="Content" ObjectID="_1609879044" r:id="rId44"/>
        </w:object>
      </w:r>
    </w:p>
    <w:p w:rsidR="00760A14" w:rsidRDefault="00760A14" w:rsidP="00E92D41">
      <w:pPr>
        <w:spacing w:before="120"/>
        <w:jc w:val="both"/>
        <w:rPr>
          <w:position w:val="-12"/>
        </w:rPr>
      </w:pPr>
    </w:p>
    <w:p w:rsidR="00E92D41" w:rsidRPr="00B625C4" w:rsidRDefault="00E92D41" w:rsidP="00E92D41">
      <w:pPr>
        <w:spacing w:before="120"/>
        <w:jc w:val="both"/>
        <w:rPr>
          <w:position w:val="-12"/>
        </w:rPr>
      </w:pPr>
      <w:r w:rsidRPr="00B625C4">
        <w:rPr>
          <w:position w:val="-12"/>
        </w:rPr>
        <w:t xml:space="preserve">The total male OFL is </w:t>
      </w:r>
    </w:p>
    <w:p w:rsidR="009F3EE6" w:rsidRPr="00412A2F" w:rsidRDefault="00E92D41" w:rsidP="000C7D45">
      <w:pPr>
        <w:spacing w:before="120"/>
        <w:jc w:val="both"/>
        <w:rPr>
          <w:spacing w:val="-3"/>
        </w:rPr>
      </w:pPr>
      <w:r w:rsidRPr="00B625C4">
        <w:rPr>
          <w:spacing w:val="-3"/>
          <w:position w:val="-28"/>
        </w:rPr>
        <w:lastRenderedPageBreak/>
        <w:t xml:space="preserve">                                    </w:t>
      </w:r>
      <w:r w:rsidR="00D000F1" w:rsidRPr="00B625C4">
        <w:rPr>
          <w:spacing w:val="-3"/>
          <w:position w:val="-12"/>
        </w:rPr>
        <w:object w:dxaOrig="2180" w:dyaOrig="360">
          <v:shape id="_x0000_i1042" type="#_x0000_t75" style="width:118.75pt;height:19.85pt" o:ole="">
            <v:imagedata r:id="rId45" o:title=""/>
          </v:shape>
          <o:OLEObject Type="Embed" ProgID="Equation.3" ShapeID="_x0000_i1042" DrawAspect="Content" ObjectID="_1609879045" r:id="rId46"/>
        </w:object>
      </w:r>
    </w:p>
    <w:p w:rsidR="00412A2F" w:rsidRPr="00B625C4" w:rsidRDefault="00412A2F" w:rsidP="000C7D45">
      <w:pPr>
        <w:spacing w:before="120"/>
        <w:jc w:val="both"/>
      </w:pPr>
    </w:p>
    <w:p w:rsidR="00412A2F" w:rsidRDefault="00760A14" w:rsidP="00412A2F">
      <w:pPr>
        <w:spacing w:before="120"/>
        <w:jc w:val="both"/>
      </w:pPr>
      <w:r>
        <w:t>For calculation of the OFL 201</w:t>
      </w:r>
      <w:r w:rsidR="00F2319E">
        <w:t>9</w:t>
      </w:r>
      <w:r w:rsidR="00412A2F">
        <w:t xml:space="preserve">, we specified </w:t>
      </w:r>
      <w:r w:rsidR="00412A2F" w:rsidRPr="00117D29">
        <w:rPr>
          <w:i/>
        </w:rPr>
        <w:t>p</w:t>
      </w:r>
      <w:r w:rsidR="00412A2F">
        <w:t xml:space="preserve"> = 0.16.  </w:t>
      </w:r>
    </w:p>
    <w:p w:rsidR="003402D1" w:rsidRPr="009931BE" w:rsidRDefault="003402D1" w:rsidP="000C7D45">
      <w:pPr>
        <w:spacing w:before="120"/>
        <w:jc w:val="both"/>
      </w:pPr>
    </w:p>
    <w:p w:rsidR="00A831F7" w:rsidRPr="009931BE" w:rsidRDefault="00AE1BE4" w:rsidP="00A831F7">
      <w:pPr>
        <w:spacing w:before="120"/>
        <w:ind w:firstLine="720"/>
        <w:jc w:val="both"/>
        <w:rPr>
          <w:spacing w:val="-3"/>
        </w:rPr>
      </w:pPr>
      <w:r w:rsidRPr="009931BE">
        <w:rPr>
          <w:spacing w:val="-3"/>
        </w:rPr>
        <w:t>Legal male biomass</w:t>
      </w:r>
      <w:r w:rsidR="003A4402">
        <w:rPr>
          <w:spacing w:val="-3"/>
        </w:rPr>
        <w:t xml:space="preserve"> </w:t>
      </w:r>
      <w:r w:rsidR="008068E8">
        <w:rPr>
          <w:spacing w:val="-3"/>
        </w:rPr>
        <w:t xml:space="preserve">catchable to fishery </w:t>
      </w:r>
      <w:r w:rsidR="003A4402">
        <w:rPr>
          <w:spacing w:val="-3"/>
        </w:rPr>
        <w:t xml:space="preserve">(Feb </w:t>
      </w:r>
      <w:r w:rsidR="00EA4218" w:rsidRPr="009931BE">
        <w:rPr>
          <w:spacing w:val="-3"/>
        </w:rPr>
        <w:t>01)</w:t>
      </w:r>
      <w:r w:rsidR="00D816C3">
        <w:rPr>
          <w:spacing w:val="-3"/>
        </w:rPr>
        <w:t xml:space="preserve">:  </w:t>
      </w:r>
      <w:r w:rsidR="008068E8">
        <w:rPr>
          <w:spacing w:val="-3"/>
        </w:rPr>
        <w:t xml:space="preserve"> </w:t>
      </w:r>
      <w:r w:rsidR="00D8634E">
        <w:rPr>
          <w:spacing w:val="-3"/>
        </w:rPr>
        <w:t xml:space="preserve">2.49 (SE: 0.37) </w:t>
      </w:r>
      <w:r w:rsidR="000C7D45" w:rsidRPr="009931BE">
        <w:rPr>
          <w:spacing w:val="-3"/>
        </w:rPr>
        <w:t xml:space="preserve">million </w:t>
      </w:r>
      <w:proofErr w:type="spellStart"/>
      <w:r w:rsidR="000C7D45" w:rsidRPr="009931BE">
        <w:rPr>
          <w:spacing w:val="-3"/>
        </w:rPr>
        <w:t>lb</w:t>
      </w:r>
      <w:proofErr w:type="spellEnd"/>
    </w:p>
    <w:p w:rsidR="00A54E85" w:rsidRPr="00BF2005" w:rsidRDefault="0026063D" w:rsidP="003402D1">
      <w:pPr>
        <w:ind w:firstLine="720"/>
        <w:jc w:val="both"/>
        <w:rPr>
          <w:b/>
          <w:spacing w:val="-3"/>
        </w:rPr>
      </w:pPr>
      <w:proofErr w:type="spellStart"/>
      <w:r w:rsidRPr="00BF2005">
        <w:rPr>
          <w:b/>
          <w:spacing w:val="-3"/>
        </w:rPr>
        <w:t>OFL</w:t>
      </w:r>
      <w:r w:rsidR="00A54E85" w:rsidRPr="00BF2005">
        <w:rPr>
          <w:b/>
          <w:spacing w:val="-3"/>
          <w:vertAlign w:val="subscript"/>
        </w:rPr>
        <w:t>r</w:t>
      </w:r>
      <w:proofErr w:type="spellEnd"/>
      <w:r w:rsidRPr="00BF2005">
        <w:rPr>
          <w:b/>
          <w:spacing w:val="-3"/>
        </w:rPr>
        <w:t xml:space="preserve"> = </w:t>
      </w:r>
      <w:r w:rsidR="00500F5D" w:rsidRPr="00BF2005">
        <w:rPr>
          <w:b/>
          <w:spacing w:val="-3"/>
        </w:rPr>
        <w:t xml:space="preserve"> </w:t>
      </w:r>
      <w:r w:rsidR="002C75F5" w:rsidRPr="00BF2005">
        <w:rPr>
          <w:b/>
          <w:spacing w:val="-3"/>
        </w:rPr>
        <w:t xml:space="preserve"> </w:t>
      </w:r>
      <w:r w:rsidR="008068E8" w:rsidRPr="00BF2005">
        <w:rPr>
          <w:b/>
          <w:spacing w:val="-3"/>
        </w:rPr>
        <w:t xml:space="preserve"> </w:t>
      </w:r>
      <w:r w:rsidR="00D8634E" w:rsidRPr="00BF2005">
        <w:rPr>
          <w:b/>
          <w:spacing w:val="-3"/>
        </w:rPr>
        <w:t xml:space="preserve">0.24 </w:t>
      </w:r>
      <w:r w:rsidR="002C75F5" w:rsidRPr="00BF2005">
        <w:rPr>
          <w:b/>
          <w:spacing w:val="-3"/>
        </w:rPr>
        <w:t xml:space="preserve">million </w:t>
      </w:r>
      <w:r w:rsidR="005C0E62" w:rsidRPr="00BF2005">
        <w:rPr>
          <w:b/>
          <w:spacing w:val="-3"/>
        </w:rPr>
        <w:t>lb</w:t>
      </w:r>
      <w:r w:rsidR="002A06C1" w:rsidRPr="00BF2005">
        <w:rPr>
          <w:b/>
          <w:spacing w:val="-3"/>
        </w:rPr>
        <w:t xml:space="preserve">. </w:t>
      </w:r>
      <w:r w:rsidR="00EE0EBD" w:rsidRPr="00BF2005">
        <w:rPr>
          <w:b/>
          <w:spacing w:val="-3"/>
        </w:rPr>
        <w:t xml:space="preserve"> or   </w:t>
      </w:r>
      <w:r w:rsidR="00D8634E" w:rsidRPr="00BF2005">
        <w:rPr>
          <w:b/>
          <w:spacing w:val="-3"/>
        </w:rPr>
        <w:t xml:space="preserve">0.11 </w:t>
      </w:r>
      <w:proofErr w:type="spellStart"/>
      <w:r w:rsidR="00EE0EBD" w:rsidRPr="00BF2005">
        <w:rPr>
          <w:b/>
          <w:spacing w:val="-3"/>
        </w:rPr>
        <w:t>kMT</w:t>
      </w:r>
      <w:proofErr w:type="spellEnd"/>
    </w:p>
    <w:p w:rsidR="00A54E85" w:rsidRPr="00BF2005" w:rsidRDefault="00A54E85" w:rsidP="003402D1">
      <w:pPr>
        <w:ind w:firstLine="720"/>
        <w:jc w:val="both"/>
        <w:rPr>
          <w:b/>
          <w:spacing w:val="-3"/>
        </w:rPr>
      </w:pPr>
      <w:proofErr w:type="spellStart"/>
      <w:r w:rsidRPr="00BF2005">
        <w:rPr>
          <w:b/>
          <w:spacing w:val="-3"/>
        </w:rPr>
        <w:t>OFL</w:t>
      </w:r>
      <w:r w:rsidRPr="00BF2005">
        <w:rPr>
          <w:b/>
          <w:spacing w:val="-3"/>
          <w:vertAlign w:val="subscript"/>
        </w:rPr>
        <w:t>nr</w:t>
      </w:r>
      <w:proofErr w:type="spellEnd"/>
      <w:r w:rsidR="00057899" w:rsidRPr="00BF2005">
        <w:rPr>
          <w:b/>
          <w:spacing w:val="-3"/>
        </w:rPr>
        <w:t xml:space="preserve"> =  </w:t>
      </w:r>
      <w:r w:rsidR="008068E8" w:rsidRPr="00BF2005">
        <w:rPr>
          <w:b/>
          <w:spacing w:val="-3"/>
        </w:rPr>
        <w:t xml:space="preserve"> </w:t>
      </w:r>
      <w:r w:rsidR="00D8634E" w:rsidRPr="00BF2005">
        <w:rPr>
          <w:b/>
          <w:spacing w:val="-3"/>
        </w:rPr>
        <w:t xml:space="preserve">0.07 </w:t>
      </w:r>
      <w:r w:rsidRPr="00BF2005">
        <w:rPr>
          <w:b/>
          <w:spacing w:val="-3"/>
        </w:rPr>
        <w:t xml:space="preserve">million </w:t>
      </w:r>
      <w:r w:rsidR="005C0E62" w:rsidRPr="00BF2005">
        <w:rPr>
          <w:b/>
          <w:spacing w:val="-3"/>
        </w:rPr>
        <w:t>lb</w:t>
      </w:r>
      <w:r w:rsidR="002A06C1" w:rsidRPr="00BF2005">
        <w:rPr>
          <w:b/>
          <w:spacing w:val="-3"/>
        </w:rPr>
        <w:t xml:space="preserve">. </w:t>
      </w:r>
      <w:r w:rsidR="00EE0EBD" w:rsidRPr="00BF2005">
        <w:rPr>
          <w:b/>
          <w:spacing w:val="-3"/>
        </w:rPr>
        <w:t xml:space="preserve"> or  </w:t>
      </w:r>
      <w:r w:rsidR="00D8634E" w:rsidRPr="00BF2005">
        <w:rPr>
          <w:b/>
          <w:spacing w:val="-3"/>
        </w:rPr>
        <w:t xml:space="preserve"> 0.</w:t>
      </w:r>
      <w:r w:rsidR="00EE0EBD" w:rsidRPr="00BF2005">
        <w:rPr>
          <w:b/>
          <w:spacing w:val="-3"/>
        </w:rPr>
        <w:t xml:space="preserve"> </w:t>
      </w:r>
      <w:r w:rsidR="00D8634E" w:rsidRPr="00BF2005">
        <w:rPr>
          <w:b/>
          <w:spacing w:val="-3"/>
        </w:rPr>
        <w:t xml:space="preserve">03 </w:t>
      </w:r>
      <w:proofErr w:type="spellStart"/>
      <w:r w:rsidR="00EE0EBD" w:rsidRPr="00BF2005">
        <w:rPr>
          <w:b/>
          <w:spacing w:val="-3"/>
        </w:rPr>
        <w:t>kMT</w:t>
      </w:r>
      <w:proofErr w:type="spellEnd"/>
    </w:p>
    <w:p w:rsidR="005D3BD2" w:rsidRPr="00BF2005" w:rsidRDefault="00A54E85" w:rsidP="007A7C95">
      <w:pPr>
        <w:ind w:firstLine="720"/>
        <w:jc w:val="both"/>
        <w:rPr>
          <w:b/>
          <w:spacing w:val="-3"/>
        </w:rPr>
      </w:pPr>
      <w:r w:rsidRPr="00BF2005">
        <w:rPr>
          <w:b/>
          <w:spacing w:val="-3"/>
        </w:rPr>
        <w:t>OFL</w:t>
      </w:r>
      <w:r w:rsidRPr="00BF2005">
        <w:rPr>
          <w:b/>
          <w:spacing w:val="-3"/>
          <w:vertAlign w:val="subscript"/>
        </w:rPr>
        <w:t>T</w:t>
      </w:r>
      <w:r w:rsidRPr="00BF2005">
        <w:rPr>
          <w:b/>
          <w:spacing w:val="-3"/>
        </w:rPr>
        <w:t xml:space="preserve"> =   </w:t>
      </w:r>
      <w:r w:rsidR="008068E8" w:rsidRPr="00BF2005">
        <w:rPr>
          <w:b/>
          <w:spacing w:val="-3"/>
        </w:rPr>
        <w:t xml:space="preserve"> </w:t>
      </w:r>
      <w:r w:rsidR="00D8634E" w:rsidRPr="00BF2005">
        <w:rPr>
          <w:b/>
          <w:spacing w:val="-3"/>
        </w:rPr>
        <w:t xml:space="preserve">0.31 </w:t>
      </w:r>
      <w:r w:rsidRPr="00BF2005">
        <w:rPr>
          <w:b/>
          <w:spacing w:val="-3"/>
        </w:rPr>
        <w:t xml:space="preserve">million </w:t>
      </w:r>
      <w:r w:rsidR="005C0E62" w:rsidRPr="00BF2005">
        <w:rPr>
          <w:b/>
          <w:spacing w:val="-3"/>
        </w:rPr>
        <w:t>lb</w:t>
      </w:r>
      <w:r w:rsidRPr="00BF2005">
        <w:rPr>
          <w:b/>
          <w:spacing w:val="-3"/>
        </w:rPr>
        <w:t>.</w:t>
      </w:r>
      <w:r w:rsidR="00EE0EBD" w:rsidRPr="00BF2005">
        <w:rPr>
          <w:b/>
          <w:spacing w:val="-3"/>
        </w:rPr>
        <w:t xml:space="preserve">  or   </w:t>
      </w:r>
      <w:r w:rsidR="00D8634E" w:rsidRPr="00BF2005">
        <w:rPr>
          <w:b/>
          <w:spacing w:val="-3"/>
        </w:rPr>
        <w:t xml:space="preserve">0.14 </w:t>
      </w:r>
      <w:proofErr w:type="spellStart"/>
      <w:r w:rsidR="00EE0EBD" w:rsidRPr="00BF2005">
        <w:rPr>
          <w:b/>
          <w:spacing w:val="-3"/>
        </w:rPr>
        <w:t>kMT</w:t>
      </w:r>
      <w:proofErr w:type="spellEnd"/>
    </w:p>
    <w:p w:rsidR="00C816FC" w:rsidRPr="00CA4BD3" w:rsidRDefault="00C816FC" w:rsidP="00CA4BD3">
      <w:pPr>
        <w:spacing w:line="360" w:lineRule="auto"/>
        <w:rPr>
          <w:b/>
          <w:i/>
          <w:sz w:val="28"/>
          <w:szCs w:val="28"/>
        </w:rPr>
      </w:pPr>
    </w:p>
    <w:p w:rsidR="009B2BD9" w:rsidRDefault="003F4C80" w:rsidP="004F27CE">
      <w:pPr>
        <w:pStyle w:val="ListParagraph"/>
        <w:numPr>
          <w:ilvl w:val="0"/>
          <w:numId w:val="21"/>
        </w:numPr>
        <w:spacing w:line="360" w:lineRule="auto"/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Calculation of the ABC </w:t>
      </w:r>
    </w:p>
    <w:p w:rsidR="000C7D45" w:rsidRDefault="000C7D45" w:rsidP="000C7D45">
      <w:pPr>
        <w:pStyle w:val="ListParagraph"/>
        <w:spacing w:line="360" w:lineRule="auto"/>
        <w:ind w:left="360"/>
        <w:rPr>
          <w:b/>
          <w:i/>
          <w:sz w:val="28"/>
          <w:szCs w:val="28"/>
        </w:rPr>
      </w:pPr>
    </w:p>
    <w:p w:rsidR="00F60A24" w:rsidRDefault="00F60A24" w:rsidP="00F60A24">
      <w:pPr>
        <w:pStyle w:val="ListParagraph"/>
        <w:spacing w:line="360" w:lineRule="auto"/>
        <w:ind w:left="360"/>
      </w:pPr>
      <w:r>
        <w:t>1</w:t>
      </w:r>
      <w:r w:rsidR="002A06C1">
        <w:t xml:space="preserve">. </w:t>
      </w:r>
      <w:r>
        <w:t xml:space="preserve">Specification of the probability distribution of the OFL. </w:t>
      </w:r>
    </w:p>
    <w:p w:rsidR="00C021C3" w:rsidRDefault="00C5086C" w:rsidP="0032030A">
      <w:pPr>
        <w:pStyle w:val="ListParagraph"/>
        <w:ind w:left="360"/>
      </w:pPr>
      <w:r>
        <w:t>Probability distribution of the OFL was determined based on the CPT recommendation in J</w:t>
      </w:r>
      <w:r w:rsidR="00C021C3">
        <w:t>anuary 2015 of 20% buffer</w:t>
      </w:r>
      <w:r>
        <w:t xml:space="preserve">: </w:t>
      </w:r>
    </w:p>
    <w:p w:rsidR="00500F5D" w:rsidRPr="009931BE" w:rsidRDefault="00C021C3" w:rsidP="00161DEB">
      <w:pPr>
        <w:spacing w:before="120"/>
        <w:ind w:firstLine="360"/>
        <w:jc w:val="both"/>
        <w:rPr>
          <w:spacing w:val="-3"/>
        </w:rPr>
      </w:pPr>
      <w:r>
        <w:t>R</w:t>
      </w:r>
      <w:r w:rsidR="00315995" w:rsidRPr="00E13052">
        <w:t>et</w:t>
      </w:r>
      <w:r w:rsidR="00E13052">
        <w:t>ained ABC for legal male crab is</w:t>
      </w:r>
      <w:r w:rsidR="00315995" w:rsidRPr="00E13052">
        <w:t xml:space="preserve"> </w:t>
      </w:r>
      <w:r>
        <w:t>8</w:t>
      </w:r>
      <w:r w:rsidR="001F596F">
        <w:t>0% of OFL</w:t>
      </w:r>
    </w:p>
    <w:p w:rsidR="000C7D45" w:rsidRPr="009931BE" w:rsidRDefault="000C7D45" w:rsidP="00500F5D">
      <w:pPr>
        <w:ind w:firstLine="360"/>
        <w:jc w:val="both"/>
        <w:rPr>
          <w:spacing w:val="-3"/>
        </w:rPr>
      </w:pPr>
    </w:p>
    <w:p w:rsidR="00F93EC8" w:rsidRPr="00BF2005" w:rsidRDefault="000D198D" w:rsidP="00F93EC8">
      <w:pPr>
        <w:ind w:firstLine="360"/>
        <w:jc w:val="both"/>
        <w:rPr>
          <w:b/>
          <w:spacing w:val="-3"/>
        </w:rPr>
      </w:pPr>
      <w:r w:rsidRPr="00BF2005">
        <w:rPr>
          <w:b/>
          <w:spacing w:val="-3"/>
        </w:rPr>
        <w:t xml:space="preserve">ABC = </w:t>
      </w:r>
      <w:r w:rsidR="00760A14" w:rsidRPr="00BF2005">
        <w:rPr>
          <w:b/>
          <w:spacing w:val="-3"/>
        </w:rPr>
        <w:t xml:space="preserve"> </w:t>
      </w:r>
      <w:r w:rsidR="008068E8" w:rsidRPr="00BF2005">
        <w:rPr>
          <w:b/>
          <w:spacing w:val="-3"/>
        </w:rPr>
        <w:t xml:space="preserve"> </w:t>
      </w:r>
      <w:r w:rsidR="0016613A" w:rsidRPr="00BF2005">
        <w:rPr>
          <w:b/>
          <w:spacing w:val="-3"/>
        </w:rPr>
        <w:t xml:space="preserve">0.19 </w:t>
      </w:r>
      <w:r w:rsidR="00057899" w:rsidRPr="00BF2005">
        <w:rPr>
          <w:b/>
          <w:spacing w:val="-3"/>
        </w:rPr>
        <w:t xml:space="preserve">million </w:t>
      </w:r>
      <w:proofErr w:type="spellStart"/>
      <w:proofErr w:type="gramStart"/>
      <w:r w:rsidR="00057899" w:rsidRPr="00BF2005">
        <w:rPr>
          <w:b/>
          <w:spacing w:val="-3"/>
        </w:rPr>
        <w:t>lb</w:t>
      </w:r>
      <w:proofErr w:type="spellEnd"/>
      <w:r w:rsidR="004D04DB" w:rsidRPr="00BF2005">
        <w:rPr>
          <w:b/>
          <w:spacing w:val="-3"/>
        </w:rPr>
        <w:t xml:space="preserve">  or</w:t>
      </w:r>
      <w:proofErr w:type="gramEnd"/>
      <w:r w:rsidR="004D04DB" w:rsidRPr="00BF2005">
        <w:rPr>
          <w:b/>
          <w:spacing w:val="-3"/>
        </w:rPr>
        <w:t xml:space="preserve">  </w:t>
      </w:r>
      <w:r w:rsidR="00EE0EBD" w:rsidRPr="00BF2005">
        <w:rPr>
          <w:b/>
          <w:spacing w:val="-3"/>
        </w:rPr>
        <w:t xml:space="preserve"> </w:t>
      </w:r>
      <w:r w:rsidR="0016613A" w:rsidRPr="00BF2005">
        <w:rPr>
          <w:b/>
          <w:spacing w:val="-3"/>
        </w:rPr>
        <w:t xml:space="preserve">0.09 </w:t>
      </w:r>
      <w:proofErr w:type="spellStart"/>
      <w:r w:rsidR="00EE0EBD" w:rsidRPr="00BF2005">
        <w:rPr>
          <w:b/>
          <w:spacing w:val="-3"/>
        </w:rPr>
        <w:t>kMT</w:t>
      </w:r>
      <w:proofErr w:type="spellEnd"/>
      <w:r w:rsidR="00DB7B64" w:rsidRPr="00BF2005">
        <w:rPr>
          <w:b/>
          <w:spacing w:val="-3"/>
        </w:rPr>
        <w:t xml:space="preserve"> </w:t>
      </w:r>
    </w:p>
    <w:p w:rsidR="00A705D2" w:rsidRDefault="00A705D2" w:rsidP="00161DEB"/>
    <w:p w:rsidR="004D04DB" w:rsidRPr="009931BE" w:rsidRDefault="004D04DB" w:rsidP="00161DEB"/>
    <w:p w:rsidR="003F4C80" w:rsidRDefault="00F226ED" w:rsidP="004F27CE">
      <w:pPr>
        <w:pStyle w:val="ListParagraph"/>
        <w:numPr>
          <w:ilvl w:val="0"/>
          <w:numId w:val="21"/>
        </w:numPr>
        <w:spacing w:line="360" w:lineRule="auto"/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Rebuilding Analyses </w:t>
      </w:r>
    </w:p>
    <w:p w:rsidR="009B2BD9" w:rsidRDefault="009B2BD9" w:rsidP="009B2BD9">
      <w:pPr>
        <w:pStyle w:val="ListParagraph"/>
        <w:spacing w:line="360" w:lineRule="auto"/>
        <w:ind w:left="360"/>
        <w:rPr>
          <w:spacing w:val="-3"/>
        </w:rPr>
      </w:pPr>
      <w:r w:rsidRPr="009B2BD9">
        <w:rPr>
          <w:spacing w:val="-3"/>
        </w:rPr>
        <w:t>Not applicable</w:t>
      </w:r>
    </w:p>
    <w:p w:rsidR="001E3466" w:rsidRDefault="001E3466" w:rsidP="009B2BD9">
      <w:pPr>
        <w:pStyle w:val="ListParagraph"/>
        <w:spacing w:line="360" w:lineRule="auto"/>
        <w:ind w:left="360"/>
        <w:rPr>
          <w:spacing w:val="-3"/>
        </w:rPr>
      </w:pPr>
    </w:p>
    <w:p w:rsidR="0009675C" w:rsidRDefault="009B2BD9" w:rsidP="004F27CE">
      <w:pPr>
        <w:pStyle w:val="ListParagraph"/>
        <w:numPr>
          <w:ilvl w:val="0"/>
          <w:numId w:val="21"/>
        </w:numPr>
        <w:ind w:left="360"/>
        <w:rPr>
          <w:b/>
          <w:i/>
          <w:sz w:val="28"/>
          <w:szCs w:val="28"/>
        </w:rPr>
      </w:pPr>
      <w:r w:rsidRPr="009B2BD9">
        <w:rPr>
          <w:b/>
          <w:i/>
          <w:sz w:val="28"/>
          <w:szCs w:val="28"/>
        </w:rPr>
        <w:t>Data Gaps and Research Priorities</w:t>
      </w:r>
    </w:p>
    <w:p w:rsidR="00AC0B6A" w:rsidRDefault="00AC0B6A" w:rsidP="0009675C">
      <w:pPr>
        <w:pStyle w:val="ListParagraph"/>
        <w:ind w:left="0"/>
      </w:pPr>
      <w:bookmarkStart w:id="2" w:name="_GoBack"/>
      <w:bookmarkEnd w:id="2"/>
    </w:p>
    <w:p w:rsidR="0079225E" w:rsidRPr="0009675C" w:rsidRDefault="001F596F" w:rsidP="0009675C">
      <w:pPr>
        <w:pStyle w:val="ListParagraph"/>
        <w:ind w:left="0"/>
      </w:pPr>
      <w:r>
        <w:t xml:space="preserve">The major data gap is </w:t>
      </w:r>
      <w:r w:rsidR="00424BAE">
        <w:t xml:space="preserve">the fate of crab greater than 123 mm.  </w:t>
      </w:r>
    </w:p>
    <w:p w:rsidR="0009675C" w:rsidRDefault="0009675C" w:rsidP="00C31747">
      <w:pPr>
        <w:pStyle w:val="ListParagraph"/>
        <w:ind w:left="360"/>
      </w:pPr>
      <w:r w:rsidRPr="0009675C">
        <w:t xml:space="preserve"> </w:t>
      </w:r>
    </w:p>
    <w:p w:rsidR="00C31747" w:rsidRPr="00C31747" w:rsidRDefault="00C31747" w:rsidP="00C31747">
      <w:pPr>
        <w:pStyle w:val="ListParagraph"/>
        <w:ind w:left="360"/>
      </w:pPr>
    </w:p>
    <w:p w:rsidR="00E31A95" w:rsidRPr="009B2BD9" w:rsidRDefault="00E31A95" w:rsidP="009B2BD9">
      <w:pPr>
        <w:spacing w:line="360" w:lineRule="auto"/>
        <w:jc w:val="center"/>
        <w:rPr>
          <w:b/>
          <w:sz w:val="28"/>
          <w:szCs w:val="28"/>
        </w:rPr>
      </w:pPr>
      <w:r w:rsidRPr="009B2BD9">
        <w:rPr>
          <w:b/>
          <w:sz w:val="28"/>
          <w:szCs w:val="28"/>
        </w:rPr>
        <w:t>Acknowledgments</w:t>
      </w:r>
    </w:p>
    <w:p w:rsidR="007627E3" w:rsidRDefault="00E31A95" w:rsidP="002237E0">
      <w:pPr>
        <w:tabs>
          <w:tab w:val="left" w:pos="-720"/>
        </w:tabs>
        <w:suppressAutoHyphens/>
        <w:jc w:val="both"/>
      </w:pPr>
      <w:r>
        <w:t xml:space="preserve">We thank </w:t>
      </w:r>
      <w:r w:rsidR="00C46BB1">
        <w:t xml:space="preserve">all CPT </w:t>
      </w:r>
      <w:r w:rsidR="00424BAE">
        <w:t xml:space="preserve">members for all </w:t>
      </w:r>
      <w:r w:rsidR="002237E0">
        <w:t>review of the assessment model and suggestions for improvements and diagnoses</w:t>
      </w:r>
      <w:r w:rsidR="006C4C54">
        <w:t>.</w:t>
      </w:r>
      <w:r w:rsidR="004D04DB">
        <w:t xml:space="preserve">  We also thank Dr. Shareef Siddeek for critical review of draft.  </w:t>
      </w:r>
    </w:p>
    <w:p w:rsidR="00816B7F" w:rsidRDefault="006C4C54" w:rsidP="002237E0">
      <w:pPr>
        <w:tabs>
          <w:tab w:val="left" w:pos="-720"/>
        </w:tabs>
        <w:suppressAutoHyphens/>
        <w:jc w:val="both"/>
      </w:pPr>
      <w:r>
        <w:t xml:space="preserve"> </w:t>
      </w:r>
    </w:p>
    <w:p w:rsidR="002237E0" w:rsidRDefault="002237E0" w:rsidP="00816B7F">
      <w:pPr>
        <w:tabs>
          <w:tab w:val="left" w:pos="-720"/>
        </w:tabs>
        <w:suppressAutoHyphens/>
        <w:spacing w:line="360" w:lineRule="auto"/>
        <w:jc w:val="both"/>
      </w:pPr>
    </w:p>
    <w:p w:rsidR="009D3C4B" w:rsidRDefault="00444865" w:rsidP="004D04DB">
      <w:pPr>
        <w:spacing w:line="360" w:lineRule="auto"/>
        <w:rPr>
          <w:b/>
          <w:sz w:val="28"/>
          <w:szCs w:val="28"/>
        </w:rPr>
      </w:pPr>
      <w:r w:rsidRPr="009B2BD9">
        <w:rPr>
          <w:b/>
          <w:sz w:val="28"/>
          <w:szCs w:val="28"/>
        </w:rPr>
        <w:t>References</w:t>
      </w:r>
    </w:p>
    <w:p w:rsidR="004D04DB" w:rsidRPr="004D04DB" w:rsidRDefault="004D04DB" w:rsidP="004D04DB">
      <w:pPr>
        <w:spacing w:line="360" w:lineRule="auto"/>
        <w:rPr>
          <w:b/>
          <w:sz w:val="28"/>
          <w:szCs w:val="28"/>
        </w:rPr>
      </w:pPr>
    </w:p>
    <w:p w:rsidR="00F87C2C" w:rsidRPr="00CE3D80" w:rsidRDefault="00F87C2C" w:rsidP="00E13052">
      <w:pPr>
        <w:widowControl w:val="0"/>
        <w:tabs>
          <w:tab w:val="left" w:pos="-720"/>
          <w:tab w:val="left" w:pos="0"/>
        </w:tabs>
        <w:suppressAutoHyphens/>
        <w:spacing w:after="240"/>
        <w:ind w:left="720" w:hanging="720"/>
        <w:jc w:val="both"/>
        <w:rPr>
          <w:spacing w:val="-3"/>
        </w:rPr>
      </w:pPr>
      <w:r w:rsidRPr="003A4061">
        <w:rPr>
          <w:spacing w:val="-3"/>
        </w:rPr>
        <w:t>Fournier, D., and C.P. Archibald. 1982. A general theory for analyzing catch at age data. Can.</w:t>
      </w:r>
      <w:r w:rsidRPr="00653611">
        <w:rPr>
          <w:spacing w:val="-3"/>
        </w:rPr>
        <w:t xml:space="preserve"> J. Fish. Aquat. Sci. 39:1195-1207.</w:t>
      </w:r>
      <w:r w:rsidRPr="00203DD6">
        <w:rPr>
          <w:spacing w:val="-3"/>
        </w:rPr>
        <w:t xml:space="preserve"> </w:t>
      </w:r>
    </w:p>
    <w:p w:rsidR="005C0E62" w:rsidRPr="003A4061" w:rsidRDefault="005C0E62" w:rsidP="00E13052">
      <w:pPr>
        <w:widowControl w:val="0"/>
        <w:tabs>
          <w:tab w:val="left" w:pos="-720"/>
          <w:tab w:val="left" w:pos="0"/>
        </w:tabs>
        <w:suppressAutoHyphens/>
        <w:spacing w:after="240"/>
        <w:ind w:left="720" w:hanging="720"/>
        <w:jc w:val="both"/>
        <w:rPr>
          <w:spacing w:val="-3"/>
        </w:rPr>
      </w:pPr>
      <w:r w:rsidRPr="003A4061">
        <w:rPr>
          <w:spacing w:val="-3"/>
        </w:rPr>
        <w:lastRenderedPageBreak/>
        <w:t>Fournier, D.A., H.J. Skaug, J. Ancheta, J. Ianelli, A. Magnusson, M.N. Maunder, A. Nielsen, and J. Sibert. 2012. AD Model Builder: using automatic differentiation for statistical inference of highly parameterized complex nonlinear models. Optim. Methods Softw. 27:233-249.</w:t>
      </w:r>
    </w:p>
    <w:p w:rsidR="0058349E" w:rsidRPr="003A4061" w:rsidRDefault="0058349E" w:rsidP="00E13052">
      <w:pPr>
        <w:widowControl w:val="0"/>
        <w:tabs>
          <w:tab w:val="left" w:pos="-720"/>
          <w:tab w:val="left" w:pos="0"/>
        </w:tabs>
        <w:suppressAutoHyphens/>
        <w:spacing w:after="240"/>
        <w:ind w:left="720" w:hanging="720"/>
        <w:jc w:val="both"/>
        <w:rPr>
          <w:spacing w:val="-3"/>
        </w:rPr>
      </w:pPr>
      <w:r w:rsidRPr="003A4061">
        <w:rPr>
          <w:spacing w:val="-3"/>
        </w:rPr>
        <w:t xml:space="preserve">Menard, J., J. Soong, and S. </w:t>
      </w:r>
      <w:proofErr w:type="gramStart"/>
      <w:r w:rsidRPr="003A4061">
        <w:rPr>
          <w:spacing w:val="-3"/>
        </w:rPr>
        <w:t>Kent  2011</w:t>
      </w:r>
      <w:proofErr w:type="gramEnd"/>
      <w:r w:rsidR="002A06C1" w:rsidRPr="003A4061">
        <w:rPr>
          <w:spacing w:val="-3"/>
        </w:rPr>
        <w:t xml:space="preserve">. </w:t>
      </w:r>
      <w:r w:rsidRPr="003A4061">
        <w:rPr>
          <w:spacing w:val="-3"/>
        </w:rPr>
        <w:t xml:space="preserve">2009 Annual Management Report Norton </w:t>
      </w:r>
      <w:proofErr w:type="gramStart"/>
      <w:r w:rsidRPr="003A4061">
        <w:rPr>
          <w:spacing w:val="-3"/>
        </w:rPr>
        <w:t>Sound,  Port</w:t>
      </w:r>
      <w:proofErr w:type="gramEnd"/>
      <w:r w:rsidRPr="003A4061">
        <w:rPr>
          <w:spacing w:val="-3"/>
        </w:rPr>
        <w:t xml:space="preserve"> Clarence, and Kotzebue</w:t>
      </w:r>
      <w:r w:rsidR="002A06C1" w:rsidRPr="003A4061">
        <w:rPr>
          <w:spacing w:val="-3"/>
        </w:rPr>
        <w:t xml:space="preserve">. </w:t>
      </w:r>
      <w:r w:rsidRPr="003A4061">
        <w:rPr>
          <w:spacing w:val="-3"/>
        </w:rPr>
        <w:t xml:space="preserve">Fishery Management Report No. 11-46. </w:t>
      </w:r>
    </w:p>
    <w:p w:rsidR="00EA5F16" w:rsidRDefault="00F87C2C" w:rsidP="006570AA">
      <w:pPr>
        <w:widowControl w:val="0"/>
        <w:suppressAutoHyphens/>
        <w:spacing w:after="240"/>
        <w:ind w:left="720" w:hanging="720"/>
        <w:jc w:val="both"/>
        <w:rPr>
          <w:spacing w:val="-3"/>
        </w:rPr>
      </w:pPr>
      <w:r w:rsidRPr="003A4061">
        <w:rPr>
          <w:spacing w:val="-3"/>
        </w:rPr>
        <w:t>Methot, R.D. 1989. Synthetic estimates of historical abundance and mortality for northern anchovy. Amer. Fish. Soc. Sym. 6:66-82.</w:t>
      </w:r>
    </w:p>
    <w:p w:rsidR="008A7BE1" w:rsidRDefault="008A7BE1" w:rsidP="006570AA">
      <w:pPr>
        <w:widowControl w:val="0"/>
        <w:suppressAutoHyphens/>
        <w:spacing w:after="240"/>
        <w:ind w:left="720" w:hanging="720"/>
        <w:jc w:val="both"/>
        <w:rPr>
          <w:spacing w:val="-3"/>
        </w:rPr>
      </w:pPr>
      <w:r>
        <w:rPr>
          <w:spacing w:val="-3"/>
        </w:rPr>
        <w:t>Mohn, R.  1999.  The retrospective problem in sequential population analysis: An investigation using cod fishery and simulated data.  ICES Journal of Marine Science, 56:473-488.</w:t>
      </w:r>
    </w:p>
    <w:p w:rsidR="009D3C4B" w:rsidRDefault="009D3C4B" w:rsidP="009D3C4B">
      <w:pPr>
        <w:rPr>
          <w:rFonts w:eastAsia="Times New Roman"/>
        </w:rPr>
      </w:pPr>
      <w:r w:rsidRPr="009D3C4B">
        <w:rPr>
          <w:rFonts w:eastAsia="Times New Roman"/>
        </w:rPr>
        <w:t>NPFMC</w:t>
      </w:r>
      <w:r>
        <w:rPr>
          <w:rFonts w:eastAsia="Times New Roman"/>
        </w:rPr>
        <w:t xml:space="preserve">  2011.  </w:t>
      </w:r>
      <w:r w:rsidRPr="009D3C4B">
        <w:rPr>
          <w:rFonts w:eastAsia="Times New Roman"/>
        </w:rPr>
        <w:t xml:space="preserve">Stock assessment and fishery evaluation report for the King and Tanner crab </w:t>
      </w:r>
    </w:p>
    <w:p w:rsidR="009D3C4B" w:rsidRDefault="009D3C4B" w:rsidP="009D3C4B">
      <w:pPr>
        <w:ind w:left="720"/>
        <w:rPr>
          <w:rFonts w:eastAsia="Times New Roman"/>
        </w:rPr>
      </w:pPr>
      <w:r w:rsidRPr="009D3C4B">
        <w:rPr>
          <w:rFonts w:eastAsia="Times New Roman"/>
        </w:rPr>
        <w:t>fisheries of the Bering Sea an</w:t>
      </w:r>
      <w:r>
        <w:rPr>
          <w:rFonts w:eastAsia="Times New Roman"/>
        </w:rPr>
        <w:t>d Aleutian Islands regions. 2011</w:t>
      </w:r>
      <w:r w:rsidRPr="009D3C4B">
        <w:rPr>
          <w:rFonts w:eastAsia="Times New Roman"/>
        </w:rPr>
        <w:t xml:space="preserve"> Crab SAFE</w:t>
      </w:r>
      <w:r>
        <w:rPr>
          <w:rFonts w:eastAsia="Times New Roman"/>
        </w:rPr>
        <w:t xml:space="preserve">. </w:t>
      </w:r>
      <w:r w:rsidRPr="009D3C4B">
        <w:rPr>
          <w:rFonts w:eastAsia="Times New Roman"/>
        </w:rPr>
        <w:t>North Pacific Fishery Management Council</w:t>
      </w:r>
      <w:r>
        <w:rPr>
          <w:rFonts w:eastAsia="Times New Roman"/>
        </w:rPr>
        <w:t xml:space="preserve">, </w:t>
      </w:r>
      <w:r w:rsidRPr="009D3C4B">
        <w:rPr>
          <w:rFonts w:eastAsia="Times New Roman"/>
        </w:rPr>
        <w:t>Anchorage, AK, USA</w:t>
      </w:r>
    </w:p>
    <w:p w:rsidR="009D3C4B" w:rsidRPr="009D3C4B" w:rsidRDefault="009D3C4B" w:rsidP="009D3C4B">
      <w:pPr>
        <w:ind w:left="720"/>
        <w:rPr>
          <w:rFonts w:eastAsia="Times New Roman"/>
        </w:rPr>
      </w:pPr>
    </w:p>
    <w:p w:rsidR="009D3C4B" w:rsidRDefault="009D3C4B" w:rsidP="009D3C4B">
      <w:pPr>
        <w:rPr>
          <w:rFonts w:eastAsia="Times New Roman"/>
        </w:rPr>
      </w:pPr>
      <w:r w:rsidRPr="009D3C4B">
        <w:rPr>
          <w:rFonts w:eastAsia="Times New Roman"/>
        </w:rPr>
        <w:t>NPFMC</w:t>
      </w:r>
      <w:r>
        <w:rPr>
          <w:rFonts w:eastAsia="Times New Roman"/>
        </w:rPr>
        <w:t xml:space="preserve">  2012.  </w:t>
      </w:r>
      <w:r w:rsidRPr="009D3C4B">
        <w:rPr>
          <w:rFonts w:eastAsia="Times New Roman"/>
        </w:rPr>
        <w:t xml:space="preserve">Stock assessment and fishery evaluation report for the King and Tanner crab </w:t>
      </w:r>
    </w:p>
    <w:p w:rsidR="009D3C4B" w:rsidRDefault="009D3C4B" w:rsidP="009D3C4B">
      <w:pPr>
        <w:ind w:left="720"/>
        <w:rPr>
          <w:rFonts w:eastAsia="Times New Roman"/>
        </w:rPr>
      </w:pPr>
      <w:r w:rsidRPr="009D3C4B">
        <w:rPr>
          <w:rFonts w:eastAsia="Times New Roman"/>
        </w:rPr>
        <w:t>fisheries of the Bering Sea an</w:t>
      </w:r>
      <w:r>
        <w:rPr>
          <w:rFonts w:eastAsia="Times New Roman"/>
        </w:rPr>
        <w:t>d Aleutian Islands regions. 2012</w:t>
      </w:r>
      <w:r w:rsidRPr="009D3C4B">
        <w:rPr>
          <w:rFonts w:eastAsia="Times New Roman"/>
        </w:rPr>
        <w:t xml:space="preserve"> Crab SAFE</w:t>
      </w:r>
      <w:r>
        <w:rPr>
          <w:rFonts w:eastAsia="Times New Roman"/>
        </w:rPr>
        <w:t xml:space="preserve">. </w:t>
      </w:r>
      <w:r w:rsidRPr="009D3C4B">
        <w:rPr>
          <w:rFonts w:eastAsia="Times New Roman"/>
        </w:rPr>
        <w:t>North Pacific Fishery Management Council</w:t>
      </w:r>
      <w:r>
        <w:rPr>
          <w:rFonts w:eastAsia="Times New Roman"/>
        </w:rPr>
        <w:t xml:space="preserve">, </w:t>
      </w:r>
      <w:r w:rsidRPr="009D3C4B">
        <w:rPr>
          <w:rFonts w:eastAsia="Times New Roman"/>
        </w:rPr>
        <w:t>Anchorage, AK, USA</w:t>
      </w:r>
    </w:p>
    <w:p w:rsidR="009D3C4B" w:rsidRPr="009D3C4B" w:rsidRDefault="009D3C4B" w:rsidP="009D3C4B">
      <w:pPr>
        <w:ind w:left="720"/>
        <w:rPr>
          <w:rFonts w:eastAsia="Times New Roman"/>
        </w:rPr>
      </w:pPr>
    </w:p>
    <w:p w:rsidR="009D3C4B" w:rsidRDefault="009D3C4B" w:rsidP="009D3C4B">
      <w:pPr>
        <w:rPr>
          <w:rFonts w:eastAsia="Times New Roman"/>
        </w:rPr>
      </w:pPr>
      <w:r w:rsidRPr="009D3C4B">
        <w:rPr>
          <w:rFonts w:eastAsia="Times New Roman"/>
        </w:rPr>
        <w:t>NPFMC</w:t>
      </w:r>
      <w:r>
        <w:rPr>
          <w:rFonts w:eastAsia="Times New Roman"/>
        </w:rPr>
        <w:t xml:space="preserve">  2013.  </w:t>
      </w:r>
      <w:r w:rsidRPr="009D3C4B">
        <w:rPr>
          <w:rFonts w:eastAsia="Times New Roman"/>
        </w:rPr>
        <w:t xml:space="preserve">Stock assessment and fishery evaluation report for the King and Tanner crab </w:t>
      </w:r>
    </w:p>
    <w:p w:rsidR="009D3C4B" w:rsidRDefault="009D3C4B" w:rsidP="009D3C4B">
      <w:pPr>
        <w:ind w:left="720"/>
        <w:rPr>
          <w:rFonts w:eastAsia="Times New Roman"/>
        </w:rPr>
      </w:pPr>
      <w:r w:rsidRPr="009D3C4B">
        <w:rPr>
          <w:rFonts w:eastAsia="Times New Roman"/>
        </w:rPr>
        <w:t>fisheries of the Bering Sea an</w:t>
      </w:r>
      <w:r>
        <w:rPr>
          <w:rFonts w:eastAsia="Times New Roman"/>
        </w:rPr>
        <w:t>d Aleutian Islands regions. 2013</w:t>
      </w:r>
      <w:r w:rsidRPr="009D3C4B">
        <w:rPr>
          <w:rFonts w:eastAsia="Times New Roman"/>
        </w:rPr>
        <w:t xml:space="preserve"> Crab SAFE</w:t>
      </w:r>
      <w:r>
        <w:rPr>
          <w:rFonts w:eastAsia="Times New Roman"/>
        </w:rPr>
        <w:t xml:space="preserve">. </w:t>
      </w:r>
      <w:r w:rsidRPr="009D3C4B">
        <w:rPr>
          <w:rFonts w:eastAsia="Times New Roman"/>
        </w:rPr>
        <w:t>North Pacific Fishery Management Council</w:t>
      </w:r>
      <w:r>
        <w:rPr>
          <w:rFonts w:eastAsia="Times New Roman"/>
        </w:rPr>
        <w:t xml:space="preserve">, </w:t>
      </w:r>
      <w:r w:rsidRPr="009D3C4B">
        <w:rPr>
          <w:rFonts w:eastAsia="Times New Roman"/>
        </w:rPr>
        <w:t>Anchorage, AK, USA</w:t>
      </w:r>
    </w:p>
    <w:p w:rsidR="009D3C4B" w:rsidRPr="009D3C4B" w:rsidRDefault="009D3C4B" w:rsidP="009D3C4B">
      <w:pPr>
        <w:ind w:left="720"/>
        <w:rPr>
          <w:rFonts w:eastAsia="Times New Roman"/>
        </w:rPr>
      </w:pPr>
    </w:p>
    <w:p w:rsidR="009D3C4B" w:rsidRDefault="009D3C4B" w:rsidP="009D3C4B">
      <w:pPr>
        <w:rPr>
          <w:rFonts w:eastAsia="Times New Roman"/>
        </w:rPr>
      </w:pPr>
      <w:r w:rsidRPr="009D3C4B">
        <w:rPr>
          <w:rFonts w:eastAsia="Times New Roman"/>
        </w:rPr>
        <w:t>NPFMC</w:t>
      </w:r>
      <w:r>
        <w:rPr>
          <w:rFonts w:eastAsia="Times New Roman"/>
        </w:rPr>
        <w:t xml:space="preserve">  2014.  </w:t>
      </w:r>
      <w:r w:rsidRPr="009D3C4B">
        <w:rPr>
          <w:rFonts w:eastAsia="Times New Roman"/>
        </w:rPr>
        <w:t xml:space="preserve">Stock assessment and fishery evaluation report for the King and Tanner crab </w:t>
      </w:r>
    </w:p>
    <w:p w:rsidR="009D3C4B" w:rsidRDefault="009D3C4B" w:rsidP="009D3C4B">
      <w:pPr>
        <w:ind w:left="720"/>
        <w:rPr>
          <w:rFonts w:eastAsia="Times New Roman"/>
        </w:rPr>
      </w:pPr>
      <w:r w:rsidRPr="009D3C4B">
        <w:rPr>
          <w:rFonts w:eastAsia="Times New Roman"/>
        </w:rPr>
        <w:t>fisheries of the Bering Sea an</w:t>
      </w:r>
      <w:r>
        <w:rPr>
          <w:rFonts w:eastAsia="Times New Roman"/>
        </w:rPr>
        <w:t>d Aleutian Islands regions. 2014</w:t>
      </w:r>
      <w:r w:rsidRPr="009D3C4B">
        <w:rPr>
          <w:rFonts w:eastAsia="Times New Roman"/>
        </w:rPr>
        <w:t xml:space="preserve"> Crab SAFE</w:t>
      </w:r>
      <w:r>
        <w:rPr>
          <w:rFonts w:eastAsia="Times New Roman"/>
        </w:rPr>
        <w:t xml:space="preserve">. </w:t>
      </w:r>
      <w:r w:rsidRPr="009D3C4B">
        <w:rPr>
          <w:rFonts w:eastAsia="Times New Roman"/>
        </w:rPr>
        <w:t>North Pacific Fishery Management Council</w:t>
      </w:r>
      <w:r>
        <w:rPr>
          <w:rFonts w:eastAsia="Times New Roman"/>
        </w:rPr>
        <w:t xml:space="preserve">, </w:t>
      </w:r>
      <w:r w:rsidRPr="009D3C4B">
        <w:rPr>
          <w:rFonts w:eastAsia="Times New Roman"/>
        </w:rPr>
        <w:t>Anchorage, AK, USA</w:t>
      </w:r>
    </w:p>
    <w:p w:rsidR="009D3C4B" w:rsidRPr="009D3C4B" w:rsidRDefault="009D3C4B" w:rsidP="009D3C4B">
      <w:pPr>
        <w:ind w:left="720"/>
        <w:rPr>
          <w:rFonts w:eastAsia="Times New Roman"/>
        </w:rPr>
      </w:pPr>
    </w:p>
    <w:p w:rsidR="009D3C4B" w:rsidRDefault="009D3C4B" w:rsidP="009D3C4B">
      <w:pPr>
        <w:rPr>
          <w:rFonts w:eastAsia="Times New Roman"/>
        </w:rPr>
      </w:pPr>
      <w:r w:rsidRPr="009D3C4B">
        <w:rPr>
          <w:rFonts w:eastAsia="Times New Roman"/>
        </w:rPr>
        <w:t>NPFMC</w:t>
      </w:r>
      <w:r>
        <w:rPr>
          <w:rFonts w:eastAsia="Times New Roman"/>
        </w:rPr>
        <w:t xml:space="preserve">  2015.  </w:t>
      </w:r>
      <w:r w:rsidRPr="009D3C4B">
        <w:rPr>
          <w:rFonts w:eastAsia="Times New Roman"/>
        </w:rPr>
        <w:t xml:space="preserve">Stock assessment and fishery evaluation report for the King and Tanner crab </w:t>
      </w:r>
    </w:p>
    <w:p w:rsidR="009D3C4B" w:rsidRDefault="009D3C4B" w:rsidP="009D3C4B">
      <w:pPr>
        <w:ind w:left="720"/>
        <w:rPr>
          <w:rFonts w:eastAsia="Times New Roman"/>
        </w:rPr>
      </w:pPr>
      <w:r w:rsidRPr="009D3C4B">
        <w:rPr>
          <w:rFonts w:eastAsia="Times New Roman"/>
        </w:rPr>
        <w:t>fisheries of the Bering Sea an</w:t>
      </w:r>
      <w:r>
        <w:rPr>
          <w:rFonts w:eastAsia="Times New Roman"/>
        </w:rPr>
        <w:t>d Aleutian Islands regions. 2015</w:t>
      </w:r>
      <w:r w:rsidRPr="009D3C4B">
        <w:rPr>
          <w:rFonts w:eastAsia="Times New Roman"/>
        </w:rPr>
        <w:t xml:space="preserve"> Crab SAFE</w:t>
      </w:r>
      <w:r>
        <w:rPr>
          <w:rFonts w:eastAsia="Times New Roman"/>
        </w:rPr>
        <w:t xml:space="preserve">. </w:t>
      </w:r>
      <w:r w:rsidRPr="009D3C4B">
        <w:rPr>
          <w:rFonts w:eastAsia="Times New Roman"/>
        </w:rPr>
        <w:t>North Pacific Fishery Management Council</w:t>
      </w:r>
      <w:r>
        <w:rPr>
          <w:rFonts w:eastAsia="Times New Roman"/>
        </w:rPr>
        <w:t xml:space="preserve">, </w:t>
      </w:r>
      <w:r w:rsidRPr="009D3C4B">
        <w:rPr>
          <w:rFonts w:eastAsia="Times New Roman"/>
        </w:rPr>
        <w:t>Anchorage, AK, USA</w:t>
      </w:r>
    </w:p>
    <w:p w:rsidR="009D3C4B" w:rsidRPr="009D3C4B" w:rsidRDefault="009D3C4B" w:rsidP="009D3C4B">
      <w:pPr>
        <w:ind w:left="720"/>
        <w:rPr>
          <w:rFonts w:eastAsia="Times New Roman"/>
        </w:rPr>
      </w:pPr>
    </w:p>
    <w:p w:rsidR="009D3C4B" w:rsidRDefault="009D3C4B" w:rsidP="009D3C4B">
      <w:pPr>
        <w:rPr>
          <w:rFonts w:eastAsia="Times New Roman"/>
        </w:rPr>
      </w:pPr>
      <w:r w:rsidRPr="009D3C4B">
        <w:rPr>
          <w:rFonts w:eastAsia="Times New Roman"/>
        </w:rPr>
        <w:t>NPFMC</w:t>
      </w:r>
      <w:r>
        <w:rPr>
          <w:rFonts w:eastAsia="Times New Roman"/>
        </w:rPr>
        <w:t xml:space="preserve">  2016.  </w:t>
      </w:r>
      <w:r w:rsidRPr="009D3C4B">
        <w:rPr>
          <w:rFonts w:eastAsia="Times New Roman"/>
        </w:rPr>
        <w:t xml:space="preserve">Stock assessment and fishery evaluation report for the King and Tanner crab </w:t>
      </w:r>
    </w:p>
    <w:p w:rsidR="009D3C4B" w:rsidRDefault="009D3C4B" w:rsidP="009D3C4B">
      <w:pPr>
        <w:ind w:left="720"/>
        <w:rPr>
          <w:rFonts w:eastAsia="Times New Roman"/>
        </w:rPr>
      </w:pPr>
      <w:r w:rsidRPr="009D3C4B">
        <w:rPr>
          <w:rFonts w:eastAsia="Times New Roman"/>
        </w:rPr>
        <w:t>fisheries of the Bering Sea an</w:t>
      </w:r>
      <w:r>
        <w:rPr>
          <w:rFonts w:eastAsia="Times New Roman"/>
        </w:rPr>
        <w:t>d Aleutian Islands regions. 2016</w:t>
      </w:r>
      <w:r w:rsidRPr="009D3C4B">
        <w:rPr>
          <w:rFonts w:eastAsia="Times New Roman"/>
        </w:rPr>
        <w:t xml:space="preserve"> Crab SAFE</w:t>
      </w:r>
      <w:r>
        <w:rPr>
          <w:rFonts w:eastAsia="Times New Roman"/>
        </w:rPr>
        <w:t xml:space="preserve">. </w:t>
      </w:r>
      <w:r w:rsidRPr="009D3C4B">
        <w:rPr>
          <w:rFonts w:eastAsia="Times New Roman"/>
        </w:rPr>
        <w:t>North Pacific Fishery Management Council</w:t>
      </w:r>
      <w:r>
        <w:rPr>
          <w:rFonts w:eastAsia="Times New Roman"/>
        </w:rPr>
        <w:t xml:space="preserve">, </w:t>
      </w:r>
      <w:r w:rsidRPr="009D3C4B">
        <w:rPr>
          <w:rFonts w:eastAsia="Times New Roman"/>
        </w:rPr>
        <w:t>Anchorage, AK, USA</w:t>
      </w:r>
    </w:p>
    <w:p w:rsidR="009D3C4B" w:rsidRPr="009D3C4B" w:rsidRDefault="009D3C4B" w:rsidP="009D3C4B">
      <w:pPr>
        <w:ind w:left="720"/>
        <w:rPr>
          <w:rFonts w:eastAsia="Times New Roman"/>
        </w:rPr>
      </w:pPr>
    </w:p>
    <w:p w:rsidR="009D3C4B" w:rsidRDefault="009D3C4B" w:rsidP="009D3C4B">
      <w:pPr>
        <w:rPr>
          <w:rFonts w:eastAsia="Times New Roman"/>
        </w:rPr>
      </w:pPr>
      <w:r w:rsidRPr="009D3C4B">
        <w:rPr>
          <w:rFonts w:eastAsia="Times New Roman"/>
        </w:rPr>
        <w:t>NPFMC</w:t>
      </w:r>
      <w:r>
        <w:rPr>
          <w:rFonts w:eastAsia="Times New Roman"/>
        </w:rPr>
        <w:t xml:space="preserve">  2017.  </w:t>
      </w:r>
      <w:r w:rsidRPr="009D3C4B">
        <w:rPr>
          <w:rFonts w:eastAsia="Times New Roman"/>
        </w:rPr>
        <w:t xml:space="preserve">Stock assessment and fishery evaluation report for the King and Tanner crab </w:t>
      </w:r>
    </w:p>
    <w:p w:rsidR="009D3C4B" w:rsidRDefault="009D3C4B" w:rsidP="00162B5E">
      <w:pPr>
        <w:ind w:left="720"/>
        <w:rPr>
          <w:rFonts w:eastAsia="Times New Roman"/>
        </w:rPr>
      </w:pPr>
      <w:r w:rsidRPr="009D3C4B">
        <w:rPr>
          <w:rFonts w:eastAsia="Times New Roman"/>
        </w:rPr>
        <w:t>fisheries of the Bering Sea an</w:t>
      </w:r>
      <w:r>
        <w:rPr>
          <w:rFonts w:eastAsia="Times New Roman"/>
        </w:rPr>
        <w:t>d Aleutian Islands regions. 2017</w:t>
      </w:r>
      <w:r w:rsidRPr="009D3C4B">
        <w:rPr>
          <w:rFonts w:eastAsia="Times New Roman"/>
        </w:rPr>
        <w:t xml:space="preserve"> Crab SAFE</w:t>
      </w:r>
      <w:r>
        <w:rPr>
          <w:rFonts w:eastAsia="Times New Roman"/>
        </w:rPr>
        <w:t xml:space="preserve">. </w:t>
      </w:r>
      <w:r w:rsidRPr="009D3C4B">
        <w:rPr>
          <w:rFonts w:eastAsia="Times New Roman"/>
        </w:rPr>
        <w:t>North Pacific Fishery Management Council</w:t>
      </w:r>
      <w:r>
        <w:rPr>
          <w:rFonts w:eastAsia="Times New Roman"/>
        </w:rPr>
        <w:t xml:space="preserve">, </w:t>
      </w:r>
      <w:r w:rsidRPr="009D3C4B">
        <w:rPr>
          <w:rFonts w:eastAsia="Times New Roman"/>
        </w:rPr>
        <w:t>Anchorage, AK, USA</w:t>
      </w:r>
    </w:p>
    <w:p w:rsidR="001071B0" w:rsidRDefault="001071B0" w:rsidP="00162B5E">
      <w:pPr>
        <w:ind w:left="720"/>
        <w:rPr>
          <w:rFonts w:eastAsia="Times New Roman"/>
        </w:rPr>
      </w:pPr>
    </w:p>
    <w:p w:rsidR="001071B0" w:rsidRDefault="001071B0" w:rsidP="001071B0">
      <w:pPr>
        <w:rPr>
          <w:rFonts w:eastAsia="Times New Roman"/>
        </w:rPr>
      </w:pPr>
      <w:r w:rsidRPr="009D3C4B">
        <w:rPr>
          <w:rFonts w:eastAsia="Times New Roman"/>
        </w:rPr>
        <w:t>NPFMC</w:t>
      </w:r>
      <w:r>
        <w:rPr>
          <w:rFonts w:eastAsia="Times New Roman"/>
        </w:rPr>
        <w:t xml:space="preserve">  2018.  </w:t>
      </w:r>
      <w:r w:rsidRPr="009D3C4B">
        <w:rPr>
          <w:rFonts w:eastAsia="Times New Roman"/>
        </w:rPr>
        <w:t xml:space="preserve">Stock assessment and fishery evaluation report for the King and Tanner crab </w:t>
      </w:r>
    </w:p>
    <w:p w:rsidR="001071B0" w:rsidRDefault="001071B0" w:rsidP="001071B0">
      <w:pPr>
        <w:ind w:left="720"/>
        <w:rPr>
          <w:rFonts w:eastAsia="Times New Roman"/>
        </w:rPr>
      </w:pPr>
      <w:r w:rsidRPr="009D3C4B">
        <w:rPr>
          <w:rFonts w:eastAsia="Times New Roman"/>
        </w:rPr>
        <w:t>fisheries of the Bering Sea an</w:t>
      </w:r>
      <w:r>
        <w:rPr>
          <w:rFonts w:eastAsia="Times New Roman"/>
        </w:rPr>
        <w:t>d Aleutian Islands regions. 2018</w:t>
      </w:r>
      <w:r w:rsidRPr="009D3C4B">
        <w:rPr>
          <w:rFonts w:eastAsia="Times New Roman"/>
        </w:rPr>
        <w:t xml:space="preserve"> Crab SAFE</w:t>
      </w:r>
      <w:r>
        <w:rPr>
          <w:rFonts w:eastAsia="Times New Roman"/>
        </w:rPr>
        <w:t xml:space="preserve">. </w:t>
      </w:r>
      <w:r w:rsidRPr="009D3C4B">
        <w:rPr>
          <w:rFonts w:eastAsia="Times New Roman"/>
        </w:rPr>
        <w:t>North Pacific Fishery Management Council</w:t>
      </w:r>
      <w:r>
        <w:rPr>
          <w:rFonts w:eastAsia="Times New Roman"/>
        </w:rPr>
        <w:t xml:space="preserve">, </w:t>
      </w:r>
      <w:r w:rsidRPr="009D3C4B">
        <w:rPr>
          <w:rFonts w:eastAsia="Times New Roman"/>
        </w:rPr>
        <w:t>Anchorage, AK, USA</w:t>
      </w:r>
    </w:p>
    <w:p w:rsidR="00162B5E" w:rsidRPr="00162B5E" w:rsidRDefault="00162B5E" w:rsidP="00162B5E">
      <w:pPr>
        <w:ind w:left="720"/>
        <w:rPr>
          <w:rFonts w:eastAsia="Times New Roman"/>
        </w:rPr>
      </w:pPr>
    </w:p>
    <w:p w:rsidR="00F87C2C" w:rsidRDefault="00F87C2C" w:rsidP="00E13052">
      <w:pPr>
        <w:widowControl w:val="0"/>
        <w:tabs>
          <w:tab w:val="left" w:pos="-720"/>
          <w:tab w:val="left" w:pos="0"/>
        </w:tabs>
        <w:suppressAutoHyphens/>
        <w:spacing w:after="240"/>
        <w:ind w:left="720" w:hanging="720"/>
        <w:jc w:val="both"/>
        <w:rPr>
          <w:spacing w:val="-3"/>
        </w:rPr>
      </w:pPr>
      <w:r w:rsidRPr="00DF6C0F">
        <w:rPr>
          <w:spacing w:val="-3"/>
        </w:rPr>
        <w:t>Powell</w:t>
      </w:r>
      <w:r>
        <w:rPr>
          <w:spacing w:val="-3"/>
        </w:rPr>
        <w:t xml:space="preserve">, G.C., R. Peterson, and L. Schwarz. 1983. The red king crab, </w:t>
      </w:r>
      <w:r>
        <w:rPr>
          <w:i/>
          <w:spacing w:val="-3"/>
        </w:rPr>
        <w:t>Paralithodes camtschatica</w:t>
      </w:r>
      <w:r>
        <w:rPr>
          <w:spacing w:val="-3"/>
        </w:rPr>
        <w:t xml:space="preserve"> (Tilesius), in Norton Sound, Alaska: History of biological research and resource utilization </w:t>
      </w:r>
      <w:r>
        <w:rPr>
          <w:spacing w:val="-3"/>
        </w:rPr>
        <w:lastRenderedPageBreak/>
        <w:t>through 1982. Alaska Dept. Fish and Game, Inf. Leafl. 222. 103 pp.</w:t>
      </w:r>
    </w:p>
    <w:p w:rsidR="000E2008" w:rsidRDefault="00C741F4" w:rsidP="00E13052">
      <w:pPr>
        <w:widowControl w:val="0"/>
        <w:tabs>
          <w:tab w:val="left" w:pos="-720"/>
          <w:tab w:val="left" w:pos="0"/>
        </w:tabs>
        <w:suppressAutoHyphens/>
        <w:spacing w:after="240"/>
        <w:ind w:left="720" w:hanging="720"/>
        <w:jc w:val="both"/>
        <w:rPr>
          <w:spacing w:val="-3"/>
        </w:rPr>
      </w:pPr>
      <w:r w:rsidRPr="00C741F4">
        <w:rPr>
          <w:spacing w:val="-3"/>
        </w:rPr>
        <w:t xml:space="preserve">Zheng, J., G.H. Kruse, and L. Fair. 1998. Use of multiple data sets to assess red king crab, </w:t>
      </w:r>
      <w:r w:rsidRPr="00C741F4">
        <w:rPr>
          <w:i/>
          <w:spacing w:val="-3"/>
        </w:rPr>
        <w:t>Paralithodes camtschaticus</w:t>
      </w:r>
      <w:r w:rsidRPr="00C741F4">
        <w:rPr>
          <w:spacing w:val="-3"/>
        </w:rPr>
        <w:t>, in Norton Sound, Alaska: A length-based stock synthesis approach</w:t>
      </w:r>
      <w:r w:rsidR="002A06C1">
        <w:rPr>
          <w:spacing w:val="-3"/>
        </w:rPr>
        <w:t xml:space="preserve">. </w:t>
      </w:r>
      <w:r w:rsidRPr="00C741F4">
        <w:rPr>
          <w:spacing w:val="-3"/>
        </w:rPr>
        <w:t xml:space="preserve">Pages 591-612 </w:t>
      </w:r>
      <w:r w:rsidRPr="00C741F4">
        <w:rPr>
          <w:i/>
          <w:spacing w:val="-3"/>
        </w:rPr>
        <w:t>In</w:t>
      </w:r>
      <w:r w:rsidRPr="00C741F4">
        <w:rPr>
          <w:spacing w:val="-3"/>
        </w:rPr>
        <w:t xml:space="preserve"> Fishery Stock Assessment Models, edited by F. Funk, T.J. Quinn II, J. Heifetz, J.N. Ianelli, J.E. Powers, J.F. Schweigert, P.J. Sullivan, and C.-I. Zhang, Alaska Sea Grant College Program Report No. AK-SG-98-01,</w:t>
      </w:r>
      <w:r w:rsidR="005B6826">
        <w:rPr>
          <w:spacing w:val="-3"/>
        </w:rPr>
        <w:t xml:space="preserve"> University of Alaska Fairbanks</w:t>
      </w:r>
    </w:p>
    <w:sectPr w:rsidR="000E2008" w:rsidSect="00EE6C69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2240" w:h="15840" w:code="1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08B" w:rsidRDefault="001D008B" w:rsidP="00715E21">
      <w:r>
        <w:separator/>
      </w:r>
    </w:p>
  </w:endnote>
  <w:endnote w:type="continuationSeparator" w:id="0">
    <w:p w:rsidR="001D008B" w:rsidRDefault="001D008B" w:rsidP="0071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F8B" w:rsidRDefault="00AD3F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10603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4D47" w:rsidRDefault="00AA4D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A4D47" w:rsidRDefault="00AA4D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F8B" w:rsidRDefault="00AD3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08B" w:rsidRDefault="001D008B" w:rsidP="00715E21">
      <w:r>
        <w:separator/>
      </w:r>
    </w:p>
  </w:footnote>
  <w:footnote w:type="continuationSeparator" w:id="0">
    <w:p w:rsidR="001D008B" w:rsidRDefault="001D008B" w:rsidP="00715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F8B" w:rsidRDefault="00AD3F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D47" w:rsidRDefault="00AA4D47" w:rsidP="00BA1C2D">
    <w:pPr>
      <w:pStyle w:val="Header"/>
      <w:rPr>
        <w:i/>
        <w:sz w:val="20"/>
        <w:szCs w:val="20"/>
      </w:rPr>
    </w:pPr>
    <w:r>
      <w:rPr>
        <w:i/>
        <w:sz w:val="20"/>
        <w:szCs w:val="20"/>
      </w:rPr>
      <w:t xml:space="preserve">Final </w:t>
    </w:r>
    <w:r w:rsidRPr="00CF6038">
      <w:rPr>
        <w:i/>
        <w:sz w:val="20"/>
        <w:szCs w:val="20"/>
      </w:rPr>
      <w:t>- Norton Sound Red Kin</w:t>
    </w:r>
    <w:r>
      <w:rPr>
        <w:i/>
        <w:sz w:val="20"/>
        <w:szCs w:val="20"/>
      </w:rPr>
      <w:t>g Crab Stock Assessment Jan 2</w:t>
    </w:r>
    <w:r w:rsidR="00AD3F8B">
      <w:rPr>
        <w:i/>
        <w:sz w:val="20"/>
        <w:szCs w:val="20"/>
      </w:rPr>
      <w:t>4</w:t>
    </w:r>
    <w:r>
      <w:rPr>
        <w:i/>
        <w:sz w:val="20"/>
        <w:szCs w:val="20"/>
      </w:rPr>
      <w:t xml:space="preserve"> 2019 </w:t>
    </w:r>
  </w:p>
  <w:p w:rsidR="00AA4D47" w:rsidRPr="00CD658F" w:rsidRDefault="00AA4D47" w:rsidP="00865964">
    <w:pPr>
      <w:pStyle w:val="Header"/>
      <w:jc w:val="center"/>
      <w:rPr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F8B" w:rsidRDefault="00AD3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D30E7"/>
    <w:multiLevelType w:val="hybridMultilevel"/>
    <w:tmpl w:val="B754B7C4"/>
    <w:lvl w:ilvl="0" w:tplc="0F14C646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55322"/>
    <w:multiLevelType w:val="hybridMultilevel"/>
    <w:tmpl w:val="52E2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0AD6"/>
    <w:multiLevelType w:val="hybridMultilevel"/>
    <w:tmpl w:val="718C966A"/>
    <w:lvl w:ilvl="0" w:tplc="1BF4A5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884C6C"/>
    <w:multiLevelType w:val="multilevel"/>
    <w:tmpl w:val="F7483AA6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ascii="Times New Roman" w:eastAsia="MS Mincho" w:hAnsi="Times New Roman" w:cs="Times New Roman"/>
      </w:rPr>
    </w:lvl>
    <w:lvl w:ilvl="2">
      <w:numFmt w:val="bullet"/>
      <w:lvlText w:val="-"/>
      <w:lvlJc w:val="left"/>
      <w:pPr>
        <w:ind w:left="3060" w:hanging="360"/>
      </w:pPr>
      <w:rPr>
        <w:rFonts w:ascii="Times New Roman" w:eastAsia="MS Mincho" w:hAnsi="Times New Roman" w:cs="Times New Roman" w:hint="default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>
      <w:start w:val="2016"/>
      <w:numFmt w:val="decimal"/>
      <w:lvlText w:val="%5"/>
      <w:lvlJc w:val="left"/>
      <w:pPr>
        <w:ind w:left="4440" w:hanging="48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136B0F"/>
    <w:multiLevelType w:val="hybridMultilevel"/>
    <w:tmpl w:val="9AB21226"/>
    <w:lvl w:ilvl="0" w:tplc="4B067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D610B5"/>
    <w:multiLevelType w:val="hybridMultilevel"/>
    <w:tmpl w:val="74622DEE"/>
    <w:lvl w:ilvl="0" w:tplc="B5088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8D14AA"/>
    <w:multiLevelType w:val="hybridMultilevel"/>
    <w:tmpl w:val="4BDEE3BE"/>
    <w:lvl w:ilvl="0" w:tplc="BFE8B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44A0D"/>
    <w:multiLevelType w:val="hybridMultilevel"/>
    <w:tmpl w:val="B944E2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F841CF"/>
    <w:multiLevelType w:val="hybridMultilevel"/>
    <w:tmpl w:val="A69E783C"/>
    <w:lvl w:ilvl="0" w:tplc="0C09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A6965"/>
    <w:multiLevelType w:val="hybridMultilevel"/>
    <w:tmpl w:val="1788046A"/>
    <w:lvl w:ilvl="0" w:tplc="2496E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DA125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576793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3B06C6B0">
      <w:start w:val="6"/>
      <w:numFmt w:val="lowerLetter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B27D1"/>
    <w:multiLevelType w:val="hybridMultilevel"/>
    <w:tmpl w:val="0774702E"/>
    <w:lvl w:ilvl="0" w:tplc="1F5EC130">
      <w:start w:val="1"/>
      <w:numFmt w:val="lowerLetter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color w:val="000000" w:themeColor="text1"/>
      </w:rPr>
    </w:lvl>
    <w:lvl w:ilvl="1" w:tplc="0D7E01AA">
      <w:start w:val="1"/>
      <w:numFmt w:val="decimal"/>
      <w:lvlText w:val="%2."/>
      <w:lvlJc w:val="left"/>
      <w:pPr>
        <w:ind w:left="1440" w:hanging="360"/>
      </w:pPr>
      <w:rPr>
        <w:rFonts w:ascii="Times New Roman" w:eastAsia="MS Mincho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F3E1E"/>
    <w:multiLevelType w:val="multilevel"/>
    <w:tmpl w:val="197E63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Zero"/>
      <w:isLgl/>
      <w:lvlText w:val="%1.%2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51EE5F4B"/>
    <w:multiLevelType w:val="hybridMultilevel"/>
    <w:tmpl w:val="42369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A25CC">
      <w:numFmt w:val="bullet"/>
      <w:lvlText w:val="•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D5D3C"/>
    <w:multiLevelType w:val="hybridMultilevel"/>
    <w:tmpl w:val="B25852A6"/>
    <w:lvl w:ilvl="0" w:tplc="D89C6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5634A8"/>
    <w:multiLevelType w:val="hybridMultilevel"/>
    <w:tmpl w:val="738C41B4"/>
    <w:lvl w:ilvl="0" w:tplc="15000BCC">
      <w:start w:val="1"/>
      <w:numFmt w:val="lowerRoman"/>
      <w:lvlText w:val="%1."/>
      <w:lvlJc w:val="right"/>
      <w:pPr>
        <w:ind w:left="1440" w:hanging="360"/>
      </w:pPr>
      <w:rPr>
        <w:rFonts w:hint="default"/>
        <w:sz w:val="24"/>
        <w:szCs w:val="24"/>
      </w:rPr>
    </w:lvl>
    <w:lvl w:ilvl="1" w:tplc="EEA009F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BB043C"/>
    <w:multiLevelType w:val="hybridMultilevel"/>
    <w:tmpl w:val="C2C20522"/>
    <w:lvl w:ilvl="0" w:tplc="C2164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B13B87"/>
    <w:multiLevelType w:val="multilevel"/>
    <w:tmpl w:val="F7483AA6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ascii="Times New Roman" w:eastAsia="MS Mincho" w:hAnsi="Times New Roman" w:cs="Times New Roman"/>
      </w:rPr>
    </w:lvl>
    <w:lvl w:ilvl="2">
      <w:numFmt w:val="bullet"/>
      <w:lvlText w:val="-"/>
      <w:lvlJc w:val="left"/>
      <w:pPr>
        <w:ind w:left="3060" w:hanging="360"/>
      </w:pPr>
      <w:rPr>
        <w:rFonts w:ascii="Times New Roman" w:eastAsia="MS Mincho" w:hAnsi="Times New Roman" w:cs="Times New Roman" w:hint="default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>
      <w:start w:val="2016"/>
      <w:numFmt w:val="decimal"/>
      <w:lvlText w:val="%5"/>
      <w:lvlJc w:val="left"/>
      <w:pPr>
        <w:ind w:left="4440" w:hanging="48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035B8C"/>
    <w:multiLevelType w:val="hybridMultilevel"/>
    <w:tmpl w:val="75443D62"/>
    <w:lvl w:ilvl="0" w:tplc="E33629B0">
      <w:start w:val="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EEA009F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023664"/>
    <w:multiLevelType w:val="hybridMultilevel"/>
    <w:tmpl w:val="0774702E"/>
    <w:lvl w:ilvl="0" w:tplc="1F5EC130">
      <w:start w:val="1"/>
      <w:numFmt w:val="lowerLetter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color w:val="000000" w:themeColor="text1"/>
      </w:rPr>
    </w:lvl>
    <w:lvl w:ilvl="1" w:tplc="0D7E01AA">
      <w:start w:val="1"/>
      <w:numFmt w:val="decimal"/>
      <w:lvlText w:val="%2."/>
      <w:lvlJc w:val="left"/>
      <w:pPr>
        <w:ind w:left="1440" w:hanging="360"/>
      </w:pPr>
      <w:rPr>
        <w:rFonts w:ascii="Times New Roman" w:eastAsia="MS Mincho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62D6B"/>
    <w:multiLevelType w:val="hybridMultilevel"/>
    <w:tmpl w:val="335487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783C8D"/>
    <w:multiLevelType w:val="hybridMultilevel"/>
    <w:tmpl w:val="68C0F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14235"/>
    <w:multiLevelType w:val="hybridMultilevel"/>
    <w:tmpl w:val="39746DDA"/>
    <w:lvl w:ilvl="0" w:tplc="2496E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FE3C2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21"/>
  </w:num>
  <w:num w:numId="5">
    <w:abstractNumId w:val="19"/>
  </w:num>
  <w:num w:numId="6">
    <w:abstractNumId w:val="17"/>
  </w:num>
  <w:num w:numId="7">
    <w:abstractNumId w:val="18"/>
  </w:num>
  <w:num w:numId="8">
    <w:abstractNumId w:val="20"/>
  </w:num>
  <w:num w:numId="9">
    <w:abstractNumId w:val="14"/>
  </w:num>
  <w:num w:numId="10">
    <w:abstractNumId w:val="6"/>
  </w:num>
  <w:num w:numId="11">
    <w:abstractNumId w:val="0"/>
  </w:num>
  <w:num w:numId="12">
    <w:abstractNumId w:val="2"/>
  </w:num>
  <w:num w:numId="13">
    <w:abstractNumId w:val="8"/>
  </w:num>
  <w:num w:numId="14">
    <w:abstractNumId w:val="4"/>
  </w:num>
  <w:num w:numId="15">
    <w:abstractNumId w:val="11"/>
  </w:num>
  <w:num w:numId="16">
    <w:abstractNumId w:val="5"/>
  </w:num>
  <w:num w:numId="17">
    <w:abstractNumId w:val="13"/>
  </w:num>
  <w:num w:numId="18">
    <w:abstractNumId w:val="1"/>
  </w:num>
  <w:num w:numId="19">
    <w:abstractNumId w:val="15"/>
  </w:num>
  <w:num w:numId="20">
    <w:abstractNumId w:val="10"/>
  </w:num>
  <w:num w:numId="21">
    <w:abstractNumId w:val="16"/>
  </w:num>
  <w:num w:numId="22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8FE"/>
    <w:rsid w:val="00000423"/>
    <w:rsid w:val="00000DD7"/>
    <w:rsid w:val="000014F9"/>
    <w:rsid w:val="00001630"/>
    <w:rsid w:val="000022DA"/>
    <w:rsid w:val="00003605"/>
    <w:rsid w:val="00004979"/>
    <w:rsid w:val="00005CE2"/>
    <w:rsid w:val="0000706A"/>
    <w:rsid w:val="00010450"/>
    <w:rsid w:val="000109EF"/>
    <w:rsid w:val="00011678"/>
    <w:rsid w:val="00012402"/>
    <w:rsid w:val="0001286F"/>
    <w:rsid w:val="0001356B"/>
    <w:rsid w:val="00014949"/>
    <w:rsid w:val="0001502E"/>
    <w:rsid w:val="00015099"/>
    <w:rsid w:val="00016215"/>
    <w:rsid w:val="0001718E"/>
    <w:rsid w:val="00017705"/>
    <w:rsid w:val="00017808"/>
    <w:rsid w:val="0002039D"/>
    <w:rsid w:val="00020585"/>
    <w:rsid w:val="0002085E"/>
    <w:rsid w:val="00020F21"/>
    <w:rsid w:val="00021200"/>
    <w:rsid w:val="000217F9"/>
    <w:rsid w:val="00021F2C"/>
    <w:rsid w:val="00021F69"/>
    <w:rsid w:val="000223E2"/>
    <w:rsid w:val="00025338"/>
    <w:rsid w:val="000258B5"/>
    <w:rsid w:val="0002610B"/>
    <w:rsid w:val="000263D7"/>
    <w:rsid w:val="0002679F"/>
    <w:rsid w:val="000274DD"/>
    <w:rsid w:val="0002799A"/>
    <w:rsid w:val="00027FC7"/>
    <w:rsid w:val="00030162"/>
    <w:rsid w:val="000304F1"/>
    <w:rsid w:val="00030C84"/>
    <w:rsid w:val="00030FAF"/>
    <w:rsid w:val="00032367"/>
    <w:rsid w:val="00032661"/>
    <w:rsid w:val="000332FA"/>
    <w:rsid w:val="00033459"/>
    <w:rsid w:val="0003367F"/>
    <w:rsid w:val="00033856"/>
    <w:rsid w:val="00034150"/>
    <w:rsid w:val="000353B8"/>
    <w:rsid w:val="00036B7F"/>
    <w:rsid w:val="00036FD7"/>
    <w:rsid w:val="000370F0"/>
    <w:rsid w:val="0003785D"/>
    <w:rsid w:val="000404EA"/>
    <w:rsid w:val="0004057D"/>
    <w:rsid w:val="00040BFF"/>
    <w:rsid w:val="00040C89"/>
    <w:rsid w:val="00040DD8"/>
    <w:rsid w:val="00040EE8"/>
    <w:rsid w:val="0004194F"/>
    <w:rsid w:val="00041C2D"/>
    <w:rsid w:val="00041D81"/>
    <w:rsid w:val="0004251E"/>
    <w:rsid w:val="00043179"/>
    <w:rsid w:val="000434D9"/>
    <w:rsid w:val="00044623"/>
    <w:rsid w:val="00045D04"/>
    <w:rsid w:val="0004702E"/>
    <w:rsid w:val="000473A0"/>
    <w:rsid w:val="000479DE"/>
    <w:rsid w:val="00047A0C"/>
    <w:rsid w:val="00050844"/>
    <w:rsid w:val="00051A70"/>
    <w:rsid w:val="00051B82"/>
    <w:rsid w:val="00051EAA"/>
    <w:rsid w:val="00051F6A"/>
    <w:rsid w:val="00051FF8"/>
    <w:rsid w:val="000540A4"/>
    <w:rsid w:val="00054425"/>
    <w:rsid w:val="0005549A"/>
    <w:rsid w:val="00055F60"/>
    <w:rsid w:val="000561A6"/>
    <w:rsid w:val="00056D25"/>
    <w:rsid w:val="00057497"/>
    <w:rsid w:val="00057899"/>
    <w:rsid w:val="00060365"/>
    <w:rsid w:val="00060FAD"/>
    <w:rsid w:val="00061069"/>
    <w:rsid w:val="00061227"/>
    <w:rsid w:val="0006194B"/>
    <w:rsid w:val="00061D5A"/>
    <w:rsid w:val="000628BC"/>
    <w:rsid w:val="00062953"/>
    <w:rsid w:val="000639F2"/>
    <w:rsid w:val="00063C36"/>
    <w:rsid w:val="00064460"/>
    <w:rsid w:val="00065581"/>
    <w:rsid w:val="000667D3"/>
    <w:rsid w:val="0006697B"/>
    <w:rsid w:val="00066B79"/>
    <w:rsid w:val="00067B86"/>
    <w:rsid w:val="0007041F"/>
    <w:rsid w:val="00071E34"/>
    <w:rsid w:val="00072F82"/>
    <w:rsid w:val="000747B1"/>
    <w:rsid w:val="00076A1D"/>
    <w:rsid w:val="00076A92"/>
    <w:rsid w:val="000772AB"/>
    <w:rsid w:val="00077F62"/>
    <w:rsid w:val="00080498"/>
    <w:rsid w:val="00080755"/>
    <w:rsid w:val="00080B78"/>
    <w:rsid w:val="00080D41"/>
    <w:rsid w:val="00081224"/>
    <w:rsid w:val="00081D5B"/>
    <w:rsid w:val="000823B1"/>
    <w:rsid w:val="0008260E"/>
    <w:rsid w:val="000843E0"/>
    <w:rsid w:val="0008482A"/>
    <w:rsid w:val="00084D67"/>
    <w:rsid w:val="000865A5"/>
    <w:rsid w:val="00086C55"/>
    <w:rsid w:val="000875DD"/>
    <w:rsid w:val="00087B3D"/>
    <w:rsid w:val="00090375"/>
    <w:rsid w:val="000905EE"/>
    <w:rsid w:val="00092AA6"/>
    <w:rsid w:val="0009416F"/>
    <w:rsid w:val="00094B1C"/>
    <w:rsid w:val="0009675C"/>
    <w:rsid w:val="000969C5"/>
    <w:rsid w:val="00096B76"/>
    <w:rsid w:val="00097368"/>
    <w:rsid w:val="00097A53"/>
    <w:rsid w:val="00097C8A"/>
    <w:rsid w:val="000A00AA"/>
    <w:rsid w:val="000A01A4"/>
    <w:rsid w:val="000A03C9"/>
    <w:rsid w:val="000A076E"/>
    <w:rsid w:val="000A0F0C"/>
    <w:rsid w:val="000A14C3"/>
    <w:rsid w:val="000A19BB"/>
    <w:rsid w:val="000A1B08"/>
    <w:rsid w:val="000A20C6"/>
    <w:rsid w:val="000A262F"/>
    <w:rsid w:val="000A28E3"/>
    <w:rsid w:val="000A2F51"/>
    <w:rsid w:val="000A3211"/>
    <w:rsid w:val="000A35A9"/>
    <w:rsid w:val="000A3EF2"/>
    <w:rsid w:val="000A543D"/>
    <w:rsid w:val="000A5CEE"/>
    <w:rsid w:val="000A6638"/>
    <w:rsid w:val="000A6F7D"/>
    <w:rsid w:val="000A7132"/>
    <w:rsid w:val="000B0357"/>
    <w:rsid w:val="000B0517"/>
    <w:rsid w:val="000B062D"/>
    <w:rsid w:val="000B08EA"/>
    <w:rsid w:val="000B1634"/>
    <w:rsid w:val="000B1799"/>
    <w:rsid w:val="000B191A"/>
    <w:rsid w:val="000B1D74"/>
    <w:rsid w:val="000B2F6A"/>
    <w:rsid w:val="000B364D"/>
    <w:rsid w:val="000B3967"/>
    <w:rsid w:val="000B4170"/>
    <w:rsid w:val="000B4BB5"/>
    <w:rsid w:val="000B4DEE"/>
    <w:rsid w:val="000B54F2"/>
    <w:rsid w:val="000B5AD4"/>
    <w:rsid w:val="000B6BE5"/>
    <w:rsid w:val="000B6CA3"/>
    <w:rsid w:val="000B79D5"/>
    <w:rsid w:val="000C0B17"/>
    <w:rsid w:val="000C136E"/>
    <w:rsid w:val="000C1BB8"/>
    <w:rsid w:val="000C1EC4"/>
    <w:rsid w:val="000C2622"/>
    <w:rsid w:val="000C2755"/>
    <w:rsid w:val="000C322F"/>
    <w:rsid w:val="000C40C1"/>
    <w:rsid w:val="000C4C06"/>
    <w:rsid w:val="000C4D09"/>
    <w:rsid w:val="000C50D3"/>
    <w:rsid w:val="000C52CC"/>
    <w:rsid w:val="000C6BBB"/>
    <w:rsid w:val="000C7301"/>
    <w:rsid w:val="000C7D45"/>
    <w:rsid w:val="000D0814"/>
    <w:rsid w:val="000D115C"/>
    <w:rsid w:val="000D198D"/>
    <w:rsid w:val="000D1A49"/>
    <w:rsid w:val="000D1ABA"/>
    <w:rsid w:val="000D21BC"/>
    <w:rsid w:val="000D2D37"/>
    <w:rsid w:val="000D2D87"/>
    <w:rsid w:val="000D300F"/>
    <w:rsid w:val="000D4256"/>
    <w:rsid w:val="000D441B"/>
    <w:rsid w:val="000D45E5"/>
    <w:rsid w:val="000D6C48"/>
    <w:rsid w:val="000E0DA9"/>
    <w:rsid w:val="000E1AA9"/>
    <w:rsid w:val="000E1E54"/>
    <w:rsid w:val="000E1F4E"/>
    <w:rsid w:val="000E2008"/>
    <w:rsid w:val="000E26EF"/>
    <w:rsid w:val="000E2AFE"/>
    <w:rsid w:val="000E3C9F"/>
    <w:rsid w:val="000E4452"/>
    <w:rsid w:val="000E4B45"/>
    <w:rsid w:val="000E4E7A"/>
    <w:rsid w:val="000E4F3D"/>
    <w:rsid w:val="000E5002"/>
    <w:rsid w:val="000E50AD"/>
    <w:rsid w:val="000E5A5F"/>
    <w:rsid w:val="000E666C"/>
    <w:rsid w:val="000E6C12"/>
    <w:rsid w:val="000E7087"/>
    <w:rsid w:val="000E72C2"/>
    <w:rsid w:val="000E75E3"/>
    <w:rsid w:val="000E77DF"/>
    <w:rsid w:val="000F0C00"/>
    <w:rsid w:val="000F0C65"/>
    <w:rsid w:val="000F15CF"/>
    <w:rsid w:val="000F1EED"/>
    <w:rsid w:val="000F249A"/>
    <w:rsid w:val="000F2B0F"/>
    <w:rsid w:val="000F351B"/>
    <w:rsid w:val="000F3835"/>
    <w:rsid w:val="000F440F"/>
    <w:rsid w:val="000F4DA9"/>
    <w:rsid w:val="000F55CB"/>
    <w:rsid w:val="000F6028"/>
    <w:rsid w:val="000F70A7"/>
    <w:rsid w:val="000F7213"/>
    <w:rsid w:val="000F7CAE"/>
    <w:rsid w:val="0010033A"/>
    <w:rsid w:val="001012F8"/>
    <w:rsid w:val="00101AF4"/>
    <w:rsid w:val="00101EAB"/>
    <w:rsid w:val="0010393D"/>
    <w:rsid w:val="00103E37"/>
    <w:rsid w:val="001045F0"/>
    <w:rsid w:val="0010469B"/>
    <w:rsid w:val="00104E97"/>
    <w:rsid w:val="00105FFD"/>
    <w:rsid w:val="00106323"/>
    <w:rsid w:val="001071B0"/>
    <w:rsid w:val="0010753C"/>
    <w:rsid w:val="0010756D"/>
    <w:rsid w:val="001075CB"/>
    <w:rsid w:val="0010773D"/>
    <w:rsid w:val="00107EF7"/>
    <w:rsid w:val="0011024D"/>
    <w:rsid w:val="00110518"/>
    <w:rsid w:val="001113E8"/>
    <w:rsid w:val="001116CF"/>
    <w:rsid w:val="00111DD5"/>
    <w:rsid w:val="001121A9"/>
    <w:rsid w:val="001127F2"/>
    <w:rsid w:val="0011289F"/>
    <w:rsid w:val="001130CA"/>
    <w:rsid w:val="0011358D"/>
    <w:rsid w:val="00113995"/>
    <w:rsid w:val="00114632"/>
    <w:rsid w:val="0011513D"/>
    <w:rsid w:val="00115D30"/>
    <w:rsid w:val="00116AEB"/>
    <w:rsid w:val="00116DCE"/>
    <w:rsid w:val="00117063"/>
    <w:rsid w:val="0011726E"/>
    <w:rsid w:val="00117296"/>
    <w:rsid w:val="0012009F"/>
    <w:rsid w:val="00122D6C"/>
    <w:rsid w:val="00123392"/>
    <w:rsid w:val="0012386F"/>
    <w:rsid w:val="001241F1"/>
    <w:rsid w:val="00124583"/>
    <w:rsid w:val="001248C2"/>
    <w:rsid w:val="00124A4C"/>
    <w:rsid w:val="00124CFF"/>
    <w:rsid w:val="00126707"/>
    <w:rsid w:val="00126DB0"/>
    <w:rsid w:val="00126F94"/>
    <w:rsid w:val="00131101"/>
    <w:rsid w:val="001317FA"/>
    <w:rsid w:val="00131B19"/>
    <w:rsid w:val="001323D7"/>
    <w:rsid w:val="001324C1"/>
    <w:rsid w:val="00132A91"/>
    <w:rsid w:val="00132DC5"/>
    <w:rsid w:val="00132F31"/>
    <w:rsid w:val="00133283"/>
    <w:rsid w:val="00133662"/>
    <w:rsid w:val="00134980"/>
    <w:rsid w:val="00134B6F"/>
    <w:rsid w:val="00134D98"/>
    <w:rsid w:val="001351B7"/>
    <w:rsid w:val="0013520E"/>
    <w:rsid w:val="00135287"/>
    <w:rsid w:val="00135377"/>
    <w:rsid w:val="00135AC8"/>
    <w:rsid w:val="001361E9"/>
    <w:rsid w:val="001365E1"/>
    <w:rsid w:val="00137DD5"/>
    <w:rsid w:val="001403EA"/>
    <w:rsid w:val="00140D76"/>
    <w:rsid w:val="00140F96"/>
    <w:rsid w:val="00141648"/>
    <w:rsid w:val="00141773"/>
    <w:rsid w:val="00142E02"/>
    <w:rsid w:val="00143909"/>
    <w:rsid w:val="00144BAC"/>
    <w:rsid w:val="00145F4D"/>
    <w:rsid w:val="0014669D"/>
    <w:rsid w:val="0014694A"/>
    <w:rsid w:val="001469D0"/>
    <w:rsid w:val="001470D4"/>
    <w:rsid w:val="00147F2A"/>
    <w:rsid w:val="0015000E"/>
    <w:rsid w:val="001500A8"/>
    <w:rsid w:val="001505E6"/>
    <w:rsid w:val="00150719"/>
    <w:rsid w:val="00150FF0"/>
    <w:rsid w:val="00151DB7"/>
    <w:rsid w:val="001527F3"/>
    <w:rsid w:val="00152809"/>
    <w:rsid w:val="00152DCB"/>
    <w:rsid w:val="00152E21"/>
    <w:rsid w:val="00154343"/>
    <w:rsid w:val="00154F38"/>
    <w:rsid w:val="0015508D"/>
    <w:rsid w:val="001564D6"/>
    <w:rsid w:val="001568ED"/>
    <w:rsid w:val="001570DC"/>
    <w:rsid w:val="0015748A"/>
    <w:rsid w:val="00160A45"/>
    <w:rsid w:val="00160FBF"/>
    <w:rsid w:val="001611C0"/>
    <w:rsid w:val="0016158B"/>
    <w:rsid w:val="00161DEB"/>
    <w:rsid w:val="00162382"/>
    <w:rsid w:val="00162B5E"/>
    <w:rsid w:val="001633CD"/>
    <w:rsid w:val="00163F22"/>
    <w:rsid w:val="001647BC"/>
    <w:rsid w:val="00164834"/>
    <w:rsid w:val="00164923"/>
    <w:rsid w:val="00165609"/>
    <w:rsid w:val="00165DE7"/>
    <w:rsid w:val="0016613A"/>
    <w:rsid w:val="00167590"/>
    <w:rsid w:val="001675B0"/>
    <w:rsid w:val="00167647"/>
    <w:rsid w:val="00167B8C"/>
    <w:rsid w:val="00167E6C"/>
    <w:rsid w:val="00170235"/>
    <w:rsid w:val="0017161D"/>
    <w:rsid w:val="001717A5"/>
    <w:rsid w:val="001717AC"/>
    <w:rsid w:val="00171980"/>
    <w:rsid w:val="00171B73"/>
    <w:rsid w:val="00171C11"/>
    <w:rsid w:val="00171F83"/>
    <w:rsid w:val="00172669"/>
    <w:rsid w:val="001727A0"/>
    <w:rsid w:val="0017330E"/>
    <w:rsid w:val="0017391D"/>
    <w:rsid w:val="001757BB"/>
    <w:rsid w:val="00175C08"/>
    <w:rsid w:val="001764B9"/>
    <w:rsid w:val="0017702B"/>
    <w:rsid w:val="0017795D"/>
    <w:rsid w:val="00180302"/>
    <w:rsid w:val="00180385"/>
    <w:rsid w:val="00180BB8"/>
    <w:rsid w:val="00180C9A"/>
    <w:rsid w:val="00181637"/>
    <w:rsid w:val="0018168E"/>
    <w:rsid w:val="001819D9"/>
    <w:rsid w:val="00181B12"/>
    <w:rsid w:val="00181C23"/>
    <w:rsid w:val="00181EC0"/>
    <w:rsid w:val="00181F1B"/>
    <w:rsid w:val="001820EF"/>
    <w:rsid w:val="00185834"/>
    <w:rsid w:val="00185A39"/>
    <w:rsid w:val="0018626F"/>
    <w:rsid w:val="00190DF6"/>
    <w:rsid w:val="00191514"/>
    <w:rsid w:val="001916B3"/>
    <w:rsid w:val="00191D1A"/>
    <w:rsid w:val="0019286D"/>
    <w:rsid w:val="00192A56"/>
    <w:rsid w:val="00193209"/>
    <w:rsid w:val="0019379E"/>
    <w:rsid w:val="00193AAF"/>
    <w:rsid w:val="00193D12"/>
    <w:rsid w:val="001946BF"/>
    <w:rsid w:val="00194CE2"/>
    <w:rsid w:val="00195530"/>
    <w:rsid w:val="0019607C"/>
    <w:rsid w:val="00196627"/>
    <w:rsid w:val="001968D1"/>
    <w:rsid w:val="001969F8"/>
    <w:rsid w:val="00197024"/>
    <w:rsid w:val="00197B01"/>
    <w:rsid w:val="001A0A45"/>
    <w:rsid w:val="001A278D"/>
    <w:rsid w:val="001A2A28"/>
    <w:rsid w:val="001A2B39"/>
    <w:rsid w:val="001A2C82"/>
    <w:rsid w:val="001A32FC"/>
    <w:rsid w:val="001A3474"/>
    <w:rsid w:val="001A3492"/>
    <w:rsid w:val="001A3BBD"/>
    <w:rsid w:val="001A3DC2"/>
    <w:rsid w:val="001A3DDF"/>
    <w:rsid w:val="001A435C"/>
    <w:rsid w:val="001A5FF8"/>
    <w:rsid w:val="001A67C7"/>
    <w:rsid w:val="001A6AE8"/>
    <w:rsid w:val="001A6FAE"/>
    <w:rsid w:val="001A71F7"/>
    <w:rsid w:val="001A7986"/>
    <w:rsid w:val="001B0578"/>
    <w:rsid w:val="001B287D"/>
    <w:rsid w:val="001B2E46"/>
    <w:rsid w:val="001B3AC4"/>
    <w:rsid w:val="001B46C7"/>
    <w:rsid w:val="001B4D5F"/>
    <w:rsid w:val="001B511B"/>
    <w:rsid w:val="001B5360"/>
    <w:rsid w:val="001B56E2"/>
    <w:rsid w:val="001B7A8F"/>
    <w:rsid w:val="001B7B13"/>
    <w:rsid w:val="001B7B9C"/>
    <w:rsid w:val="001B7EC2"/>
    <w:rsid w:val="001C037C"/>
    <w:rsid w:val="001C0D70"/>
    <w:rsid w:val="001C1175"/>
    <w:rsid w:val="001C1B2B"/>
    <w:rsid w:val="001C27F6"/>
    <w:rsid w:val="001C29AD"/>
    <w:rsid w:val="001C2FE9"/>
    <w:rsid w:val="001C3422"/>
    <w:rsid w:val="001C45A6"/>
    <w:rsid w:val="001C499F"/>
    <w:rsid w:val="001C49A5"/>
    <w:rsid w:val="001C53AD"/>
    <w:rsid w:val="001C565B"/>
    <w:rsid w:val="001C56F8"/>
    <w:rsid w:val="001C6002"/>
    <w:rsid w:val="001C7D41"/>
    <w:rsid w:val="001D008B"/>
    <w:rsid w:val="001D08D5"/>
    <w:rsid w:val="001D0BED"/>
    <w:rsid w:val="001D1D62"/>
    <w:rsid w:val="001D2CF6"/>
    <w:rsid w:val="001D30D2"/>
    <w:rsid w:val="001D32C3"/>
    <w:rsid w:val="001D45E0"/>
    <w:rsid w:val="001D4721"/>
    <w:rsid w:val="001D52C5"/>
    <w:rsid w:val="001D5A4C"/>
    <w:rsid w:val="001D5ABC"/>
    <w:rsid w:val="001D6E94"/>
    <w:rsid w:val="001D7B7A"/>
    <w:rsid w:val="001E05A5"/>
    <w:rsid w:val="001E0998"/>
    <w:rsid w:val="001E09F7"/>
    <w:rsid w:val="001E250A"/>
    <w:rsid w:val="001E2F7B"/>
    <w:rsid w:val="001E3466"/>
    <w:rsid w:val="001E34AF"/>
    <w:rsid w:val="001E3E58"/>
    <w:rsid w:val="001E40F5"/>
    <w:rsid w:val="001E4845"/>
    <w:rsid w:val="001E55B3"/>
    <w:rsid w:val="001E56F1"/>
    <w:rsid w:val="001E66BE"/>
    <w:rsid w:val="001E6FE0"/>
    <w:rsid w:val="001E7681"/>
    <w:rsid w:val="001E7840"/>
    <w:rsid w:val="001E7D33"/>
    <w:rsid w:val="001F1094"/>
    <w:rsid w:val="001F1103"/>
    <w:rsid w:val="001F232C"/>
    <w:rsid w:val="001F447A"/>
    <w:rsid w:val="001F4CBB"/>
    <w:rsid w:val="001F58C6"/>
    <w:rsid w:val="001F596F"/>
    <w:rsid w:val="001F6168"/>
    <w:rsid w:val="001F61E6"/>
    <w:rsid w:val="001F75F1"/>
    <w:rsid w:val="001F7D7B"/>
    <w:rsid w:val="002000D6"/>
    <w:rsid w:val="002001F6"/>
    <w:rsid w:val="002003BB"/>
    <w:rsid w:val="002006CF"/>
    <w:rsid w:val="002007A9"/>
    <w:rsid w:val="00200BC6"/>
    <w:rsid w:val="002011F4"/>
    <w:rsid w:val="00202D11"/>
    <w:rsid w:val="00202E77"/>
    <w:rsid w:val="00203DD6"/>
    <w:rsid w:val="002046AC"/>
    <w:rsid w:val="00204BC1"/>
    <w:rsid w:val="002053DB"/>
    <w:rsid w:val="0020562F"/>
    <w:rsid w:val="00205715"/>
    <w:rsid w:val="00205F75"/>
    <w:rsid w:val="0020606D"/>
    <w:rsid w:val="00206AD5"/>
    <w:rsid w:val="00207271"/>
    <w:rsid w:val="0020753A"/>
    <w:rsid w:val="00207714"/>
    <w:rsid w:val="00207E86"/>
    <w:rsid w:val="00207F90"/>
    <w:rsid w:val="00210E81"/>
    <w:rsid w:val="00210EFB"/>
    <w:rsid w:val="002116FB"/>
    <w:rsid w:val="00211761"/>
    <w:rsid w:val="00213B76"/>
    <w:rsid w:val="00213E46"/>
    <w:rsid w:val="00214196"/>
    <w:rsid w:val="00214DEB"/>
    <w:rsid w:val="00215F1B"/>
    <w:rsid w:val="00215F23"/>
    <w:rsid w:val="002170D0"/>
    <w:rsid w:val="00217382"/>
    <w:rsid w:val="0021749D"/>
    <w:rsid w:val="002207CE"/>
    <w:rsid w:val="00220A31"/>
    <w:rsid w:val="0022191C"/>
    <w:rsid w:val="00222230"/>
    <w:rsid w:val="002228E6"/>
    <w:rsid w:val="00222C6B"/>
    <w:rsid w:val="00223340"/>
    <w:rsid w:val="00223756"/>
    <w:rsid w:val="002237E0"/>
    <w:rsid w:val="002242E9"/>
    <w:rsid w:val="0022441B"/>
    <w:rsid w:val="0022467C"/>
    <w:rsid w:val="00224E41"/>
    <w:rsid w:val="00225BF6"/>
    <w:rsid w:val="00225F80"/>
    <w:rsid w:val="0022607C"/>
    <w:rsid w:val="00226B99"/>
    <w:rsid w:val="00230F24"/>
    <w:rsid w:val="002313D2"/>
    <w:rsid w:val="00231717"/>
    <w:rsid w:val="00231757"/>
    <w:rsid w:val="00232921"/>
    <w:rsid w:val="002334C0"/>
    <w:rsid w:val="00233BDE"/>
    <w:rsid w:val="0023404D"/>
    <w:rsid w:val="00234E87"/>
    <w:rsid w:val="0023531C"/>
    <w:rsid w:val="00235752"/>
    <w:rsid w:val="00235D32"/>
    <w:rsid w:val="00236BE3"/>
    <w:rsid w:val="00236CF5"/>
    <w:rsid w:val="002401BC"/>
    <w:rsid w:val="00240A59"/>
    <w:rsid w:val="00240BAE"/>
    <w:rsid w:val="00240F23"/>
    <w:rsid w:val="00241A52"/>
    <w:rsid w:val="0024255C"/>
    <w:rsid w:val="0024290C"/>
    <w:rsid w:val="00242C99"/>
    <w:rsid w:val="00242FB8"/>
    <w:rsid w:val="00243D81"/>
    <w:rsid w:val="0024425B"/>
    <w:rsid w:val="0024436A"/>
    <w:rsid w:val="002443E4"/>
    <w:rsid w:val="002449F2"/>
    <w:rsid w:val="002453A1"/>
    <w:rsid w:val="0024713C"/>
    <w:rsid w:val="00247437"/>
    <w:rsid w:val="0024780A"/>
    <w:rsid w:val="0025032F"/>
    <w:rsid w:val="002508A5"/>
    <w:rsid w:val="00250C91"/>
    <w:rsid w:val="002511ED"/>
    <w:rsid w:val="00252909"/>
    <w:rsid w:val="00252DC0"/>
    <w:rsid w:val="00253601"/>
    <w:rsid w:val="002539EC"/>
    <w:rsid w:val="00253A77"/>
    <w:rsid w:val="00253BB2"/>
    <w:rsid w:val="00253C1C"/>
    <w:rsid w:val="00254FC1"/>
    <w:rsid w:val="00255C9A"/>
    <w:rsid w:val="00255CCE"/>
    <w:rsid w:val="00256209"/>
    <w:rsid w:val="00256377"/>
    <w:rsid w:val="00256E80"/>
    <w:rsid w:val="002578B6"/>
    <w:rsid w:val="00257B54"/>
    <w:rsid w:val="00257FE8"/>
    <w:rsid w:val="00260362"/>
    <w:rsid w:val="0026063D"/>
    <w:rsid w:val="0026073F"/>
    <w:rsid w:val="00260EF7"/>
    <w:rsid w:val="002612FE"/>
    <w:rsid w:val="0026138D"/>
    <w:rsid w:val="0026167C"/>
    <w:rsid w:val="00262590"/>
    <w:rsid w:val="00262B91"/>
    <w:rsid w:val="002634B9"/>
    <w:rsid w:val="00263A2B"/>
    <w:rsid w:val="00263A2E"/>
    <w:rsid w:val="00263EA6"/>
    <w:rsid w:val="00263ECD"/>
    <w:rsid w:val="0026416A"/>
    <w:rsid w:val="00265F36"/>
    <w:rsid w:val="00266916"/>
    <w:rsid w:val="002676B5"/>
    <w:rsid w:val="00271B7F"/>
    <w:rsid w:val="00271D41"/>
    <w:rsid w:val="002725E4"/>
    <w:rsid w:val="00272C55"/>
    <w:rsid w:val="00274223"/>
    <w:rsid w:val="002747BF"/>
    <w:rsid w:val="00274820"/>
    <w:rsid w:val="00274881"/>
    <w:rsid w:val="00275C82"/>
    <w:rsid w:val="00275DCB"/>
    <w:rsid w:val="00275DFD"/>
    <w:rsid w:val="00276A44"/>
    <w:rsid w:val="00276B07"/>
    <w:rsid w:val="00280E09"/>
    <w:rsid w:val="00280F47"/>
    <w:rsid w:val="002819CD"/>
    <w:rsid w:val="00281DCB"/>
    <w:rsid w:val="00281FF9"/>
    <w:rsid w:val="00282332"/>
    <w:rsid w:val="0028254D"/>
    <w:rsid w:val="00283072"/>
    <w:rsid w:val="00283A0A"/>
    <w:rsid w:val="00283C55"/>
    <w:rsid w:val="00284258"/>
    <w:rsid w:val="002842E7"/>
    <w:rsid w:val="002843E4"/>
    <w:rsid w:val="00284882"/>
    <w:rsid w:val="002854B8"/>
    <w:rsid w:val="00285BA6"/>
    <w:rsid w:val="002866C8"/>
    <w:rsid w:val="0028685B"/>
    <w:rsid w:val="002868F9"/>
    <w:rsid w:val="00286B0A"/>
    <w:rsid w:val="00286E20"/>
    <w:rsid w:val="00287FC6"/>
    <w:rsid w:val="00290C3F"/>
    <w:rsid w:val="002912F8"/>
    <w:rsid w:val="00291CD8"/>
    <w:rsid w:val="00292016"/>
    <w:rsid w:val="002923FC"/>
    <w:rsid w:val="00292874"/>
    <w:rsid w:val="00292E44"/>
    <w:rsid w:val="00293A81"/>
    <w:rsid w:val="00293FBB"/>
    <w:rsid w:val="002943FB"/>
    <w:rsid w:val="002945D8"/>
    <w:rsid w:val="00295726"/>
    <w:rsid w:val="002958DF"/>
    <w:rsid w:val="00295A22"/>
    <w:rsid w:val="0029645C"/>
    <w:rsid w:val="00296D7A"/>
    <w:rsid w:val="0029779C"/>
    <w:rsid w:val="002977E5"/>
    <w:rsid w:val="002A01E8"/>
    <w:rsid w:val="002A06C1"/>
    <w:rsid w:val="002A072D"/>
    <w:rsid w:val="002A0C8C"/>
    <w:rsid w:val="002A0DA5"/>
    <w:rsid w:val="002A1F39"/>
    <w:rsid w:val="002A2990"/>
    <w:rsid w:val="002A2AC4"/>
    <w:rsid w:val="002A2C2C"/>
    <w:rsid w:val="002A350B"/>
    <w:rsid w:val="002A36DD"/>
    <w:rsid w:val="002A3EFE"/>
    <w:rsid w:val="002A486A"/>
    <w:rsid w:val="002A5541"/>
    <w:rsid w:val="002A6488"/>
    <w:rsid w:val="002A7117"/>
    <w:rsid w:val="002A76B1"/>
    <w:rsid w:val="002B0105"/>
    <w:rsid w:val="002B01B8"/>
    <w:rsid w:val="002B01EE"/>
    <w:rsid w:val="002B08C1"/>
    <w:rsid w:val="002B1602"/>
    <w:rsid w:val="002B167C"/>
    <w:rsid w:val="002B2A14"/>
    <w:rsid w:val="002B4A7D"/>
    <w:rsid w:val="002B4FB9"/>
    <w:rsid w:val="002B50E5"/>
    <w:rsid w:val="002B553A"/>
    <w:rsid w:val="002B55DE"/>
    <w:rsid w:val="002B55F0"/>
    <w:rsid w:val="002B5713"/>
    <w:rsid w:val="002B6F5C"/>
    <w:rsid w:val="002B70F4"/>
    <w:rsid w:val="002C061A"/>
    <w:rsid w:val="002C23C9"/>
    <w:rsid w:val="002C2872"/>
    <w:rsid w:val="002C2ABB"/>
    <w:rsid w:val="002C3676"/>
    <w:rsid w:val="002C3C5E"/>
    <w:rsid w:val="002C3CA0"/>
    <w:rsid w:val="002C5240"/>
    <w:rsid w:val="002C7437"/>
    <w:rsid w:val="002C75F5"/>
    <w:rsid w:val="002C7801"/>
    <w:rsid w:val="002C7E36"/>
    <w:rsid w:val="002D0AA5"/>
    <w:rsid w:val="002D14E7"/>
    <w:rsid w:val="002D150C"/>
    <w:rsid w:val="002D1CF8"/>
    <w:rsid w:val="002D1DAA"/>
    <w:rsid w:val="002D1DD1"/>
    <w:rsid w:val="002D1DFD"/>
    <w:rsid w:val="002D23D9"/>
    <w:rsid w:val="002D2768"/>
    <w:rsid w:val="002D2769"/>
    <w:rsid w:val="002D470C"/>
    <w:rsid w:val="002D4F51"/>
    <w:rsid w:val="002D51D1"/>
    <w:rsid w:val="002D54C4"/>
    <w:rsid w:val="002D5563"/>
    <w:rsid w:val="002D5E8B"/>
    <w:rsid w:val="002D63B7"/>
    <w:rsid w:val="002D7CA5"/>
    <w:rsid w:val="002E09E9"/>
    <w:rsid w:val="002E0F79"/>
    <w:rsid w:val="002E1218"/>
    <w:rsid w:val="002E1A0A"/>
    <w:rsid w:val="002E2494"/>
    <w:rsid w:val="002E2599"/>
    <w:rsid w:val="002E2A4A"/>
    <w:rsid w:val="002E326D"/>
    <w:rsid w:val="002E56A2"/>
    <w:rsid w:val="002E5851"/>
    <w:rsid w:val="002E5F3E"/>
    <w:rsid w:val="002E61F8"/>
    <w:rsid w:val="002E6299"/>
    <w:rsid w:val="002E787D"/>
    <w:rsid w:val="002E7CC8"/>
    <w:rsid w:val="002F0A86"/>
    <w:rsid w:val="002F0FDA"/>
    <w:rsid w:val="002F142D"/>
    <w:rsid w:val="002F178E"/>
    <w:rsid w:val="002F185C"/>
    <w:rsid w:val="002F196E"/>
    <w:rsid w:val="002F1B9B"/>
    <w:rsid w:val="002F2D2B"/>
    <w:rsid w:val="002F2F60"/>
    <w:rsid w:val="002F3355"/>
    <w:rsid w:val="002F408E"/>
    <w:rsid w:val="002F4507"/>
    <w:rsid w:val="002F450B"/>
    <w:rsid w:val="002F4E56"/>
    <w:rsid w:val="002F4E59"/>
    <w:rsid w:val="002F543D"/>
    <w:rsid w:val="002F5464"/>
    <w:rsid w:val="002F56B5"/>
    <w:rsid w:val="002F5821"/>
    <w:rsid w:val="002F5DED"/>
    <w:rsid w:val="002F5DF1"/>
    <w:rsid w:val="002F6A02"/>
    <w:rsid w:val="002F7280"/>
    <w:rsid w:val="002F76FC"/>
    <w:rsid w:val="002F7A13"/>
    <w:rsid w:val="00301864"/>
    <w:rsid w:val="00303FF5"/>
    <w:rsid w:val="00304876"/>
    <w:rsid w:val="00304E58"/>
    <w:rsid w:val="00305380"/>
    <w:rsid w:val="0030597E"/>
    <w:rsid w:val="003059DE"/>
    <w:rsid w:val="00305CA5"/>
    <w:rsid w:val="00306222"/>
    <w:rsid w:val="0030634C"/>
    <w:rsid w:val="0030689A"/>
    <w:rsid w:val="00306C86"/>
    <w:rsid w:val="00306CF8"/>
    <w:rsid w:val="00306E95"/>
    <w:rsid w:val="003071EF"/>
    <w:rsid w:val="00307CF4"/>
    <w:rsid w:val="00307E48"/>
    <w:rsid w:val="00310949"/>
    <w:rsid w:val="00310BB5"/>
    <w:rsid w:val="00310F9A"/>
    <w:rsid w:val="00310FDB"/>
    <w:rsid w:val="00311378"/>
    <w:rsid w:val="00315995"/>
    <w:rsid w:val="00315AD3"/>
    <w:rsid w:val="00315DFE"/>
    <w:rsid w:val="00316421"/>
    <w:rsid w:val="00317276"/>
    <w:rsid w:val="00317644"/>
    <w:rsid w:val="003176E9"/>
    <w:rsid w:val="00317835"/>
    <w:rsid w:val="0032030A"/>
    <w:rsid w:val="003211A1"/>
    <w:rsid w:val="00321C3C"/>
    <w:rsid w:val="00321E34"/>
    <w:rsid w:val="00322E19"/>
    <w:rsid w:val="00322FDA"/>
    <w:rsid w:val="00323009"/>
    <w:rsid w:val="003244D9"/>
    <w:rsid w:val="003248DE"/>
    <w:rsid w:val="00324A9B"/>
    <w:rsid w:val="00324B78"/>
    <w:rsid w:val="00324DEA"/>
    <w:rsid w:val="00324F86"/>
    <w:rsid w:val="00325227"/>
    <w:rsid w:val="00325E84"/>
    <w:rsid w:val="00327ABD"/>
    <w:rsid w:val="0033025C"/>
    <w:rsid w:val="0033027E"/>
    <w:rsid w:val="00330ED5"/>
    <w:rsid w:val="00331805"/>
    <w:rsid w:val="00332594"/>
    <w:rsid w:val="0033360C"/>
    <w:rsid w:val="0033366B"/>
    <w:rsid w:val="003345B4"/>
    <w:rsid w:val="00335102"/>
    <w:rsid w:val="00335815"/>
    <w:rsid w:val="00335D8F"/>
    <w:rsid w:val="00336758"/>
    <w:rsid w:val="00336D2E"/>
    <w:rsid w:val="00337DD2"/>
    <w:rsid w:val="003402D1"/>
    <w:rsid w:val="00340409"/>
    <w:rsid w:val="003411AE"/>
    <w:rsid w:val="00341767"/>
    <w:rsid w:val="003419E2"/>
    <w:rsid w:val="00342196"/>
    <w:rsid w:val="003422E0"/>
    <w:rsid w:val="00342949"/>
    <w:rsid w:val="00342C9D"/>
    <w:rsid w:val="00343253"/>
    <w:rsid w:val="00343995"/>
    <w:rsid w:val="00344501"/>
    <w:rsid w:val="0034517D"/>
    <w:rsid w:val="003459C3"/>
    <w:rsid w:val="00345A1F"/>
    <w:rsid w:val="00345F73"/>
    <w:rsid w:val="00347C93"/>
    <w:rsid w:val="0035021F"/>
    <w:rsid w:val="00350292"/>
    <w:rsid w:val="00350A47"/>
    <w:rsid w:val="003513FC"/>
    <w:rsid w:val="003529E2"/>
    <w:rsid w:val="00352F0D"/>
    <w:rsid w:val="003537FA"/>
    <w:rsid w:val="003538C9"/>
    <w:rsid w:val="003549C3"/>
    <w:rsid w:val="0035527A"/>
    <w:rsid w:val="00355B43"/>
    <w:rsid w:val="00355F45"/>
    <w:rsid w:val="0035634A"/>
    <w:rsid w:val="003564D1"/>
    <w:rsid w:val="00357577"/>
    <w:rsid w:val="0035788D"/>
    <w:rsid w:val="0036032E"/>
    <w:rsid w:val="00360DFC"/>
    <w:rsid w:val="00364372"/>
    <w:rsid w:val="00364CC2"/>
    <w:rsid w:val="003658A2"/>
    <w:rsid w:val="00365AD7"/>
    <w:rsid w:val="00365F1E"/>
    <w:rsid w:val="0036601F"/>
    <w:rsid w:val="00366BB1"/>
    <w:rsid w:val="00366BBF"/>
    <w:rsid w:val="00366D40"/>
    <w:rsid w:val="003674ED"/>
    <w:rsid w:val="00367A9F"/>
    <w:rsid w:val="00370084"/>
    <w:rsid w:val="00370815"/>
    <w:rsid w:val="003710E7"/>
    <w:rsid w:val="003716BD"/>
    <w:rsid w:val="00371DEB"/>
    <w:rsid w:val="00373100"/>
    <w:rsid w:val="0037360F"/>
    <w:rsid w:val="00375458"/>
    <w:rsid w:val="00375D4A"/>
    <w:rsid w:val="00376138"/>
    <w:rsid w:val="0037646B"/>
    <w:rsid w:val="00377BE2"/>
    <w:rsid w:val="00377DFE"/>
    <w:rsid w:val="0038039B"/>
    <w:rsid w:val="00382054"/>
    <w:rsid w:val="00382094"/>
    <w:rsid w:val="00382202"/>
    <w:rsid w:val="00382A58"/>
    <w:rsid w:val="003836CC"/>
    <w:rsid w:val="00383804"/>
    <w:rsid w:val="00383A00"/>
    <w:rsid w:val="00384959"/>
    <w:rsid w:val="00384E17"/>
    <w:rsid w:val="003854CB"/>
    <w:rsid w:val="00385C37"/>
    <w:rsid w:val="003871B8"/>
    <w:rsid w:val="003871F9"/>
    <w:rsid w:val="0039004F"/>
    <w:rsid w:val="0039010C"/>
    <w:rsid w:val="003904EB"/>
    <w:rsid w:val="00390D9C"/>
    <w:rsid w:val="00391098"/>
    <w:rsid w:val="00391DB6"/>
    <w:rsid w:val="00392197"/>
    <w:rsid w:val="003922D7"/>
    <w:rsid w:val="00393D6E"/>
    <w:rsid w:val="00394071"/>
    <w:rsid w:val="003944AD"/>
    <w:rsid w:val="00395560"/>
    <w:rsid w:val="003959FE"/>
    <w:rsid w:val="0039626E"/>
    <w:rsid w:val="00396333"/>
    <w:rsid w:val="00396561"/>
    <w:rsid w:val="003966ED"/>
    <w:rsid w:val="003966FE"/>
    <w:rsid w:val="00396D92"/>
    <w:rsid w:val="003A089F"/>
    <w:rsid w:val="003A0911"/>
    <w:rsid w:val="003A1BB6"/>
    <w:rsid w:val="003A1D15"/>
    <w:rsid w:val="003A2F5E"/>
    <w:rsid w:val="003A38E3"/>
    <w:rsid w:val="003A3C57"/>
    <w:rsid w:val="003A4061"/>
    <w:rsid w:val="003A40EE"/>
    <w:rsid w:val="003A4389"/>
    <w:rsid w:val="003A4402"/>
    <w:rsid w:val="003A4776"/>
    <w:rsid w:val="003A4C8C"/>
    <w:rsid w:val="003A5C4E"/>
    <w:rsid w:val="003A6128"/>
    <w:rsid w:val="003A6312"/>
    <w:rsid w:val="003A638B"/>
    <w:rsid w:val="003A6C25"/>
    <w:rsid w:val="003A6E0B"/>
    <w:rsid w:val="003A76E0"/>
    <w:rsid w:val="003A79B7"/>
    <w:rsid w:val="003A7B14"/>
    <w:rsid w:val="003B029A"/>
    <w:rsid w:val="003B0569"/>
    <w:rsid w:val="003B0B6E"/>
    <w:rsid w:val="003B0BEE"/>
    <w:rsid w:val="003B1834"/>
    <w:rsid w:val="003B2481"/>
    <w:rsid w:val="003B3C82"/>
    <w:rsid w:val="003B41C4"/>
    <w:rsid w:val="003B48C0"/>
    <w:rsid w:val="003B4A40"/>
    <w:rsid w:val="003B5503"/>
    <w:rsid w:val="003B56E0"/>
    <w:rsid w:val="003B5B4B"/>
    <w:rsid w:val="003B5D6F"/>
    <w:rsid w:val="003B643C"/>
    <w:rsid w:val="003B7D3E"/>
    <w:rsid w:val="003C0195"/>
    <w:rsid w:val="003C0704"/>
    <w:rsid w:val="003C0A07"/>
    <w:rsid w:val="003C0CAD"/>
    <w:rsid w:val="003C12FF"/>
    <w:rsid w:val="003C1726"/>
    <w:rsid w:val="003C2AD7"/>
    <w:rsid w:val="003C3A22"/>
    <w:rsid w:val="003C3AB6"/>
    <w:rsid w:val="003C3FFB"/>
    <w:rsid w:val="003C4DF3"/>
    <w:rsid w:val="003C4FFB"/>
    <w:rsid w:val="003C564A"/>
    <w:rsid w:val="003C58FE"/>
    <w:rsid w:val="003C5948"/>
    <w:rsid w:val="003C5D63"/>
    <w:rsid w:val="003C64CA"/>
    <w:rsid w:val="003C6E13"/>
    <w:rsid w:val="003C70E3"/>
    <w:rsid w:val="003C7332"/>
    <w:rsid w:val="003C7579"/>
    <w:rsid w:val="003C78FB"/>
    <w:rsid w:val="003C7AC1"/>
    <w:rsid w:val="003D041F"/>
    <w:rsid w:val="003D0749"/>
    <w:rsid w:val="003D2083"/>
    <w:rsid w:val="003D2E41"/>
    <w:rsid w:val="003D47CA"/>
    <w:rsid w:val="003D4D4F"/>
    <w:rsid w:val="003D6599"/>
    <w:rsid w:val="003D6940"/>
    <w:rsid w:val="003E0E50"/>
    <w:rsid w:val="003E3D53"/>
    <w:rsid w:val="003E3ED3"/>
    <w:rsid w:val="003E4414"/>
    <w:rsid w:val="003E4C36"/>
    <w:rsid w:val="003E5989"/>
    <w:rsid w:val="003E5B69"/>
    <w:rsid w:val="003E5C2E"/>
    <w:rsid w:val="003E6094"/>
    <w:rsid w:val="003E60A5"/>
    <w:rsid w:val="003E62CF"/>
    <w:rsid w:val="003E6FCA"/>
    <w:rsid w:val="003E725F"/>
    <w:rsid w:val="003E757C"/>
    <w:rsid w:val="003F019D"/>
    <w:rsid w:val="003F1940"/>
    <w:rsid w:val="003F212F"/>
    <w:rsid w:val="003F2331"/>
    <w:rsid w:val="003F2487"/>
    <w:rsid w:val="003F2957"/>
    <w:rsid w:val="003F2B9B"/>
    <w:rsid w:val="003F3744"/>
    <w:rsid w:val="003F48E0"/>
    <w:rsid w:val="003F4C80"/>
    <w:rsid w:val="003F4D53"/>
    <w:rsid w:val="003F4D97"/>
    <w:rsid w:val="003F522C"/>
    <w:rsid w:val="003F5405"/>
    <w:rsid w:val="003F5719"/>
    <w:rsid w:val="003F5941"/>
    <w:rsid w:val="003F6515"/>
    <w:rsid w:val="003F6A55"/>
    <w:rsid w:val="003F6B48"/>
    <w:rsid w:val="003F6C66"/>
    <w:rsid w:val="003F7937"/>
    <w:rsid w:val="003F7C01"/>
    <w:rsid w:val="00400438"/>
    <w:rsid w:val="00401549"/>
    <w:rsid w:val="004017C0"/>
    <w:rsid w:val="0040324E"/>
    <w:rsid w:val="00403DE0"/>
    <w:rsid w:val="00405161"/>
    <w:rsid w:val="0040542E"/>
    <w:rsid w:val="004063E0"/>
    <w:rsid w:val="004068A0"/>
    <w:rsid w:val="00406D69"/>
    <w:rsid w:val="00407076"/>
    <w:rsid w:val="00407AA6"/>
    <w:rsid w:val="00407C57"/>
    <w:rsid w:val="0041159E"/>
    <w:rsid w:val="0041193A"/>
    <w:rsid w:val="00411D1F"/>
    <w:rsid w:val="00412A2F"/>
    <w:rsid w:val="00413A35"/>
    <w:rsid w:val="00413A5B"/>
    <w:rsid w:val="00414941"/>
    <w:rsid w:val="00414B6D"/>
    <w:rsid w:val="00414DC3"/>
    <w:rsid w:val="0041526D"/>
    <w:rsid w:val="004159D5"/>
    <w:rsid w:val="00416892"/>
    <w:rsid w:val="00417079"/>
    <w:rsid w:val="0041710D"/>
    <w:rsid w:val="004201AD"/>
    <w:rsid w:val="0042026D"/>
    <w:rsid w:val="00420555"/>
    <w:rsid w:val="00421E75"/>
    <w:rsid w:val="00421F5A"/>
    <w:rsid w:val="00422B62"/>
    <w:rsid w:val="00422D0C"/>
    <w:rsid w:val="00422D0E"/>
    <w:rsid w:val="00424503"/>
    <w:rsid w:val="00424BAE"/>
    <w:rsid w:val="00424E13"/>
    <w:rsid w:val="00425315"/>
    <w:rsid w:val="00425CA6"/>
    <w:rsid w:val="00426207"/>
    <w:rsid w:val="00427492"/>
    <w:rsid w:val="00430E7D"/>
    <w:rsid w:val="004321E3"/>
    <w:rsid w:val="00432465"/>
    <w:rsid w:val="0043250F"/>
    <w:rsid w:val="004327C0"/>
    <w:rsid w:val="00432951"/>
    <w:rsid w:val="00432B57"/>
    <w:rsid w:val="0043395C"/>
    <w:rsid w:val="0043432F"/>
    <w:rsid w:val="00434525"/>
    <w:rsid w:val="004345E2"/>
    <w:rsid w:val="00434709"/>
    <w:rsid w:val="00434E4D"/>
    <w:rsid w:val="00435180"/>
    <w:rsid w:val="00435382"/>
    <w:rsid w:val="00435790"/>
    <w:rsid w:val="00435ECC"/>
    <w:rsid w:val="0043643A"/>
    <w:rsid w:val="00436E62"/>
    <w:rsid w:val="0043720B"/>
    <w:rsid w:val="00437397"/>
    <w:rsid w:val="004374FA"/>
    <w:rsid w:val="0044089A"/>
    <w:rsid w:val="004410AA"/>
    <w:rsid w:val="00441114"/>
    <w:rsid w:val="00441189"/>
    <w:rsid w:val="00443994"/>
    <w:rsid w:val="00443D68"/>
    <w:rsid w:val="00444865"/>
    <w:rsid w:val="00444A25"/>
    <w:rsid w:val="00445020"/>
    <w:rsid w:val="00445B09"/>
    <w:rsid w:val="00446596"/>
    <w:rsid w:val="00446819"/>
    <w:rsid w:val="004469E5"/>
    <w:rsid w:val="0045143E"/>
    <w:rsid w:val="00452060"/>
    <w:rsid w:val="00453D28"/>
    <w:rsid w:val="00453DAA"/>
    <w:rsid w:val="004547F3"/>
    <w:rsid w:val="004549E8"/>
    <w:rsid w:val="00454E4C"/>
    <w:rsid w:val="004553C5"/>
    <w:rsid w:val="00456611"/>
    <w:rsid w:val="00456662"/>
    <w:rsid w:val="004570BC"/>
    <w:rsid w:val="004573DB"/>
    <w:rsid w:val="00457638"/>
    <w:rsid w:val="00457CBC"/>
    <w:rsid w:val="0046073F"/>
    <w:rsid w:val="00460C8E"/>
    <w:rsid w:val="0046155C"/>
    <w:rsid w:val="00462DDA"/>
    <w:rsid w:val="00463679"/>
    <w:rsid w:val="004640FB"/>
    <w:rsid w:val="00465F79"/>
    <w:rsid w:val="0046661F"/>
    <w:rsid w:val="00466816"/>
    <w:rsid w:val="004668B1"/>
    <w:rsid w:val="004670E2"/>
    <w:rsid w:val="00467D20"/>
    <w:rsid w:val="00471BAE"/>
    <w:rsid w:val="00471D90"/>
    <w:rsid w:val="00472FD2"/>
    <w:rsid w:val="00473083"/>
    <w:rsid w:val="004736AA"/>
    <w:rsid w:val="00473D46"/>
    <w:rsid w:val="0047436E"/>
    <w:rsid w:val="00474D98"/>
    <w:rsid w:val="00474E62"/>
    <w:rsid w:val="00474EE8"/>
    <w:rsid w:val="00476194"/>
    <w:rsid w:val="00476A58"/>
    <w:rsid w:val="0047734E"/>
    <w:rsid w:val="004778B4"/>
    <w:rsid w:val="00480077"/>
    <w:rsid w:val="00480854"/>
    <w:rsid w:val="004815D4"/>
    <w:rsid w:val="00483748"/>
    <w:rsid w:val="004838E0"/>
    <w:rsid w:val="00483AE3"/>
    <w:rsid w:val="00483C71"/>
    <w:rsid w:val="00483F3E"/>
    <w:rsid w:val="00484235"/>
    <w:rsid w:val="0048423A"/>
    <w:rsid w:val="0048435A"/>
    <w:rsid w:val="00484BDB"/>
    <w:rsid w:val="00484F19"/>
    <w:rsid w:val="004856C9"/>
    <w:rsid w:val="00485E00"/>
    <w:rsid w:val="00486DBD"/>
    <w:rsid w:val="0049050E"/>
    <w:rsid w:val="00490BF0"/>
    <w:rsid w:val="00491532"/>
    <w:rsid w:val="00491967"/>
    <w:rsid w:val="0049196C"/>
    <w:rsid w:val="004940E3"/>
    <w:rsid w:val="004955A3"/>
    <w:rsid w:val="004967DD"/>
    <w:rsid w:val="00496A6C"/>
    <w:rsid w:val="0049716C"/>
    <w:rsid w:val="004A0F3F"/>
    <w:rsid w:val="004A1AA3"/>
    <w:rsid w:val="004A2582"/>
    <w:rsid w:val="004A4F66"/>
    <w:rsid w:val="004A5645"/>
    <w:rsid w:val="004A57EC"/>
    <w:rsid w:val="004A7531"/>
    <w:rsid w:val="004A7AD9"/>
    <w:rsid w:val="004B0FFA"/>
    <w:rsid w:val="004B1932"/>
    <w:rsid w:val="004B23E3"/>
    <w:rsid w:val="004B29E3"/>
    <w:rsid w:val="004B3C82"/>
    <w:rsid w:val="004B4146"/>
    <w:rsid w:val="004B5759"/>
    <w:rsid w:val="004B61C3"/>
    <w:rsid w:val="004B6995"/>
    <w:rsid w:val="004B7297"/>
    <w:rsid w:val="004C1C9B"/>
    <w:rsid w:val="004C1E89"/>
    <w:rsid w:val="004C205B"/>
    <w:rsid w:val="004C2CE4"/>
    <w:rsid w:val="004C331B"/>
    <w:rsid w:val="004C3CCD"/>
    <w:rsid w:val="004C4A65"/>
    <w:rsid w:val="004C60AA"/>
    <w:rsid w:val="004C6143"/>
    <w:rsid w:val="004C653B"/>
    <w:rsid w:val="004C66A0"/>
    <w:rsid w:val="004C6D0B"/>
    <w:rsid w:val="004C7E58"/>
    <w:rsid w:val="004D04DB"/>
    <w:rsid w:val="004D0D71"/>
    <w:rsid w:val="004D0E01"/>
    <w:rsid w:val="004D139A"/>
    <w:rsid w:val="004D1603"/>
    <w:rsid w:val="004D17B7"/>
    <w:rsid w:val="004D1849"/>
    <w:rsid w:val="004D1A8F"/>
    <w:rsid w:val="004D29D3"/>
    <w:rsid w:val="004D2AC8"/>
    <w:rsid w:val="004D2D87"/>
    <w:rsid w:val="004D2DBA"/>
    <w:rsid w:val="004D2EA1"/>
    <w:rsid w:val="004D3DD8"/>
    <w:rsid w:val="004D4777"/>
    <w:rsid w:val="004D4847"/>
    <w:rsid w:val="004D5F85"/>
    <w:rsid w:val="004D69E3"/>
    <w:rsid w:val="004D70D4"/>
    <w:rsid w:val="004E0D80"/>
    <w:rsid w:val="004E1A51"/>
    <w:rsid w:val="004E1C08"/>
    <w:rsid w:val="004E2A96"/>
    <w:rsid w:val="004E3254"/>
    <w:rsid w:val="004E4B1A"/>
    <w:rsid w:val="004E4CA3"/>
    <w:rsid w:val="004E4E7A"/>
    <w:rsid w:val="004E5784"/>
    <w:rsid w:val="004E62E0"/>
    <w:rsid w:val="004E6318"/>
    <w:rsid w:val="004E66CC"/>
    <w:rsid w:val="004E7877"/>
    <w:rsid w:val="004E7ABB"/>
    <w:rsid w:val="004F0B26"/>
    <w:rsid w:val="004F1F74"/>
    <w:rsid w:val="004F241D"/>
    <w:rsid w:val="004F266D"/>
    <w:rsid w:val="004F27CE"/>
    <w:rsid w:val="004F297E"/>
    <w:rsid w:val="004F2FAA"/>
    <w:rsid w:val="004F34A7"/>
    <w:rsid w:val="004F3861"/>
    <w:rsid w:val="004F49DE"/>
    <w:rsid w:val="004F4BCE"/>
    <w:rsid w:val="004F4C93"/>
    <w:rsid w:val="004F655F"/>
    <w:rsid w:val="004F6B06"/>
    <w:rsid w:val="004F7018"/>
    <w:rsid w:val="004F7127"/>
    <w:rsid w:val="00500119"/>
    <w:rsid w:val="0050031E"/>
    <w:rsid w:val="00500768"/>
    <w:rsid w:val="00500984"/>
    <w:rsid w:val="00500D7C"/>
    <w:rsid w:val="00500F5D"/>
    <w:rsid w:val="005013AD"/>
    <w:rsid w:val="005019DD"/>
    <w:rsid w:val="00502495"/>
    <w:rsid w:val="00502E04"/>
    <w:rsid w:val="0050347B"/>
    <w:rsid w:val="005053D6"/>
    <w:rsid w:val="00505733"/>
    <w:rsid w:val="00505BC4"/>
    <w:rsid w:val="0050609C"/>
    <w:rsid w:val="00506543"/>
    <w:rsid w:val="005069DE"/>
    <w:rsid w:val="00506D15"/>
    <w:rsid w:val="005073D0"/>
    <w:rsid w:val="0050774B"/>
    <w:rsid w:val="005102D3"/>
    <w:rsid w:val="00510748"/>
    <w:rsid w:val="00510758"/>
    <w:rsid w:val="00511280"/>
    <w:rsid w:val="00511399"/>
    <w:rsid w:val="00511D28"/>
    <w:rsid w:val="00512021"/>
    <w:rsid w:val="00514055"/>
    <w:rsid w:val="00514C51"/>
    <w:rsid w:val="005157B5"/>
    <w:rsid w:val="00515F91"/>
    <w:rsid w:val="00516BCB"/>
    <w:rsid w:val="00516D87"/>
    <w:rsid w:val="00517A4D"/>
    <w:rsid w:val="005204E9"/>
    <w:rsid w:val="00521145"/>
    <w:rsid w:val="00521547"/>
    <w:rsid w:val="00522148"/>
    <w:rsid w:val="00522ACB"/>
    <w:rsid w:val="00523737"/>
    <w:rsid w:val="005239B8"/>
    <w:rsid w:val="00524266"/>
    <w:rsid w:val="00524A96"/>
    <w:rsid w:val="00525CD4"/>
    <w:rsid w:val="00525E63"/>
    <w:rsid w:val="005263EB"/>
    <w:rsid w:val="00526E1D"/>
    <w:rsid w:val="005272E0"/>
    <w:rsid w:val="005279A8"/>
    <w:rsid w:val="00527D60"/>
    <w:rsid w:val="00530481"/>
    <w:rsid w:val="00530551"/>
    <w:rsid w:val="00530A2F"/>
    <w:rsid w:val="00531BE4"/>
    <w:rsid w:val="00532E24"/>
    <w:rsid w:val="00533016"/>
    <w:rsid w:val="005331BD"/>
    <w:rsid w:val="0053569A"/>
    <w:rsid w:val="00535764"/>
    <w:rsid w:val="00535B79"/>
    <w:rsid w:val="00535CD0"/>
    <w:rsid w:val="00537C25"/>
    <w:rsid w:val="00540DE3"/>
    <w:rsid w:val="005414AD"/>
    <w:rsid w:val="005415A4"/>
    <w:rsid w:val="005415D8"/>
    <w:rsid w:val="0054234C"/>
    <w:rsid w:val="005436AA"/>
    <w:rsid w:val="00543F1B"/>
    <w:rsid w:val="00544660"/>
    <w:rsid w:val="0054468D"/>
    <w:rsid w:val="005449EC"/>
    <w:rsid w:val="00544B13"/>
    <w:rsid w:val="005453FF"/>
    <w:rsid w:val="00545ABA"/>
    <w:rsid w:val="00545B04"/>
    <w:rsid w:val="00546010"/>
    <w:rsid w:val="00546BCB"/>
    <w:rsid w:val="0054790A"/>
    <w:rsid w:val="005502C3"/>
    <w:rsid w:val="00550727"/>
    <w:rsid w:val="00550CD2"/>
    <w:rsid w:val="005516B3"/>
    <w:rsid w:val="005518C9"/>
    <w:rsid w:val="0055270D"/>
    <w:rsid w:val="00552D9A"/>
    <w:rsid w:val="00552F5B"/>
    <w:rsid w:val="0055362D"/>
    <w:rsid w:val="00554A54"/>
    <w:rsid w:val="00554AF2"/>
    <w:rsid w:val="00554DA8"/>
    <w:rsid w:val="00555175"/>
    <w:rsid w:val="005552C5"/>
    <w:rsid w:val="00555B42"/>
    <w:rsid w:val="00556C01"/>
    <w:rsid w:val="00556F0F"/>
    <w:rsid w:val="00557370"/>
    <w:rsid w:val="00560565"/>
    <w:rsid w:val="0056061A"/>
    <w:rsid w:val="00560FAE"/>
    <w:rsid w:val="00561669"/>
    <w:rsid w:val="0056246A"/>
    <w:rsid w:val="005630AF"/>
    <w:rsid w:val="00563862"/>
    <w:rsid w:val="005638FE"/>
    <w:rsid w:val="00563C58"/>
    <w:rsid w:val="00563C95"/>
    <w:rsid w:val="005641C6"/>
    <w:rsid w:val="005641F6"/>
    <w:rsid w:val="0056654C"/>
    <w:rsid w:val="005665FE"/>
    <w:rsid w:val="00566D97"/>
    <w:rsid w:val="005671A3"/>
    <w:rsid w:val="0056752D"/>
    <w:rsid w:val="00570A9F"/>
    <w:rsid w:val="0057234A"/>
    <w:rsid w:val="00572476"/>
    <w:rsid w:val="00572536"/>
    <w:rsid w:val="005729C8"/>
    <w:rsid w:val="00572C82"/>
    <w:rsid w:val="00572EBB"/>
    <w:rsid w:val="00573522"/>
    <w:rsid w:val="005749A6"/>
    <w:rsid w:val="00575487"/>
    <w:rsid w:val="0057569C"/>
    <w:rsid w:val="00575761"/>
    <w:rsid w:val="00576034"/>
    <w:rsid w:val="00577272"/>
    <w:rsid w:val="0057799F"/>
    <w:rsid w:val="00577B39"/>
    <w:rsid w:val="0058086A"/>
    <w:rsid w:val="00581450"/>
    <w:rsid w:val="00581575"/>
    <w:rsid w:val="0058183A"/>
    <w:rsid w:val="00581869"/>
    <w:rsid w:val="00582EC2"/>
    <w:rsid w:val="0058333A"/>
    <w:rsid w:val="0058349E"/>
    <w:rsid w:val="00583B03"/>
    <w:rsid w:val="00585BCE"/>
    <w:rsid w:val="005865C8"/>
    <w:rsid w:val="005865EE"/>
    <w:rsid w:val="00586BBF"/>
    <w:rsid w:val="005870A9"/>
    <w:rsid w:val="0058716C"/>
    <w:rsid w:val="005878CE"/>
    <w:rsid w:val="005878ED"/>
    <w:rsid w:val="00587903"/>
    <w:rsid w:val="00590017"/>
    <w:rsid w:val="005907DF"/>
    <w:rsid w:val="00591410"/>
    <w:rsid w:val="0059153F"/>
    <w:rsid w:val="005917AF"/>
    <w:rsid w:val="0059332C"/>
    <w:rsid w:val="0059389F"/>
    <w:rsid w:val="00593F1C"/>
    <w:rsid w:val="00593FF9"/>
    <w:rsid w:val="0059514F"/>
    <w:rsid w:val="005952F2"/>
    <w:rsid w:val="005955E4"/>
    <w:rsid w:val="00595683"/>
    <w:rsid w:val="005A0B0C"/>
    <w:rsid w:val="005A1106"/>
    <w:rsid w:val="005A1172"/>
    <w:rsid w:val="005A13D4"/>
    <w:rsid w:val="005A1E09"/>
    <w:rsid w:val="005A2E65"/>
    <w:rsid w:val="005A3DE4"/>
    <w:rsid w:val="005A40C2"/>
    <w:rsid w:val="005A4AC8"/>
    <w:rsid w:val="005B0576"/>
    <w:rsid w:val="005B07F1"/>
    <w:rsid w:val="005B0B9F"/>
    <w:rsid w:val="005B1155"/>
    <w:rsid w:val="005B13CE"/>
    <w:rsid w:val="005B1F7D"/>
    <w:rsid w:val="005B2548"/>
    <w:rsid w:val="005B2C26"/>
    <w:rsid w:val="005B4430"/>
    <w:rsid w:val="005B4C9B"/>
    <w:rsid w:val="005B5885"/>
    <w:rsid w:val="005B64AB"/>
    <w:rsid w:val="005B6574"/>
    <w:rsid w:val="005B6826"/>
    <w:rsid w:val="005B6AAD"/>
    <w:rsid w:val="005C0BD6"/>
    <w:rsid w:val="005C0E62"/>
    <w:rsid w:val="005C108D"/>
    <w:rsid w:val="005C110C"/>
    <w:rsid w:val="005C16AE"/>
    <w:rsid w:val="005C2146"/>
    <w:rsid w:val="005C2A4F"/>
    <w:rsid w:val="005C2DFD"/>
    <w:rsid w:val="005C3F3A"/>
    <w:rsid w:val="005C3FCE"/>
    <w:rsid w:val="005C4453"/>
    <w:rsid w:val="005C578B"/>
    <w:rsid w:val="005C68BB"/>
    <w:rsid w:val="005C68FC"/>
    <w:rsid w:val="005C695E"/>
    <w:rsid w:val="005C6BF9"/>
    <w:rsid w:val="005C7B6A"/>
    <w:rsid w:val="005D06DA"/>
    <w:rsid w:val="005D16EB"/>
    <w:rsid w:val="005D248A"/>
    <w:rsid w:val="005D2D04"/>
    <w:rsid w:val="005D3BD2"/>
    <w:rsid w:val="005D5DFC"/>
    <w:rsid w:val="005D770C"/>
    <w:rsid w:val="005D7F2E"/>
    <w:rsid w:val="005E081B"/>
    <w:rsid w:val="005E0AEF"/>
    <w:rsid w:val="005E117C"/>
    <w:rsid w:val="005E137E"/>
    <w:rsid w:val="005E1A0C"/>
    <w:rsid w:val="005E2002"/>
    <w:rsid w:val="005E395C"/>
    <w:rsid w:val="005E451C"/>
    <w:rsid w:val="005E4BD1"/>
    <w:rsid w:val="005E4F19"/>
    <w:rsid w:val="005E571F"/>
    <w:rsid w:val="005E5E35"/>
    <w:rsid w:val="005E6714"/>
    <w:rsid w:val="005E6CED"/>
    <w:rsid w:val="005E71C5"/>
    <w:rsid w:val="005E71FE"/>
    <w:rsid w:val="005E75BF"/>
    <w:rsid w:val="005F03D1"/>
    <w:rsid w:val="005F1A7C"/>
    <w:rsid w:val="005F3907"/>
    <w:rsid w:val="005F3BD1"/>
    <w:rsid w:val="005F3DB1"/>
    <w:rsid w:val="005F3E31"/>
    <w:rsid w:val="005F4096"/>
    <w:rsid w:val="005F4305"/>
    <w:rsid w:val="005F4BC7"/>
    <w:rsid w:val="005F5068"/>
    <w:rsid w:val="005F52FF"/>
    <w:rsid w:val="005F573D"/>
    <w:rsid w:val="005F5917"/>
    <w:rsid w:val="005F5A8D"/>
    <w:rsid w:val="005F6BE7"/>
    <w:rsid w:val="005F756A"/>
    <w:rsid w:val="005F7B55"/>
    <w:rsid w:val="0060088D"/>
    <w:rsid w:val="00600D70"/>
    <w:rsid w:val="0060115E"/>
    <w:rsid w:val="0060345B"/>
    <w:rsid w:val="00603D63"/>
    <w:rsid w:val="00604077"/>
    <w:rsid w:val="006042A4"/>
    <w:rsid w:val="006043E5"/>
    <w:rsid w:val="00604777"/>
    <w:rsid w:val="00605ACC"/>
    <w:rsid w:val="00605F59"/>
    <w:rsid w:val="00607304"/>
    <w:rsid w:val="0060794F"/>
    <w:rsid w:val="00607FF2"/>
    <w:rsid w:val="00610FE8"/>
    <w:rsid w:val="0061120F"/>
    <w:rsid w:val="0061141E"/>
    <w:rsid w:val="00611E91"/>
    <w:rsid w:val="006121A6"/>
    <w:rsid w:val="00612F63"/>
    <w:rsid w:val="006134AF"/>
    <w:rsid w:val="00613B08"/>
    <w:rsid w:val="00613D16"/>
    <w:rsid w:val="0061423E"/>
    <w:rsid w:val="00614C1B"/>
    <w:rsid w:val="00616350"/>
    <w:rsid w:val="0061729F"/>
    <w:rsid w:val="00617F13"/>
    <w:rsid w:val="00621527"/>
    <w:rsid w:val="0062191B"/>
    <w:rsid w:val="00621EA3"/>
    <w:rsid w:val="00622F1C"/>
    <w:rsid w:val="00623237"/>
    <w:rsid w:val="00623957"/>
    <w:rsid w:val="00623F69"/>
    <w:rsid w:val="0062433D"/>
    <w:rsid w:val="00624A70"/>
    <w:rsid w:val="00626268"/>
    <w:rsid w:val="00626673"/>
    <w:rsid w:val="0062700F"/>
    <w:rsid w:val="006274F4"/>
    <w:rsid w:val="006275C3"/>
    <w:rsid w:val="006276DA"/>
    <w:rsid w:val="00627B18"/>
    <w:rsid w:val="00630A34"/>
    <w:rsid w:val="00631A30"/>
    <w:rsid w:val="00632EDC"/>
    <w:rsid w:val="00632EFB"/>
    <w:rsid w:val="00633BE9"/>
    <w:rsid w:val="00634178"/>
    <w:rsid w:val="00635390"/>
    <w:rsid w:val="006354FF"/>
    <w:rsid w:val="00635524"/>
    <w:rsid w:val="0063629D"/>
    <w:rsid w:val="00636E03"/>
    <w:rsid w:val="0063709A"/>
    <w:rsid w:val="006378F9"/>
    <w:rsid w:val="006379AD"/>
    <w:rsid w:val="00637E6D"/>
    <w:rsid w:val="00637EAC"/>
    <w:rsid w:val="00640455"/>
    <w:rsid w:val="006404A0"/>
    <w:rsid w:val="00641FA7"/>
    <w:rsid w:val="00642490"/>
    <w:rsid w:val="00642C5A"/>
    <w:rsid w:val="006432E9"/>
    <w:rsid w:val="006459C8"/>
    <w:rsid w:val="006462FB"/>
    <w:rsid w:val="0064737D"/>
    <w:rsid w:val="00647ABB"/>
    <w:rsid w:val="00647EB3"/>
    <w:rsid w:val="0065008B"/>
    <w:rsid w:val="0065107D"/>
    <w:rsid w:val="00653611"/>
    <w:rsid w:val="0065395B"/>
    <w:rsid w:val="00653E66"/>
    <w:rsid w:val="00654336"/>
    <w:rsid w:val="00654566"/>
    <w:rsid w:val="006545E6"/>
    <w:rsid w:val="0065462A"/>
    <w:rsid w:val="00655D1F"/>
    <w:rsid w:val="006567BC"/>
    <w:rsid w:val="0065680F"/>
    <w:rsid w:val="00656B8C"/>
    <w:rsid w:val="006570AA"/>
    <w:rsid w:val="006579BA"/>
    <w:rsid w:val="00657A3A"/>
    <w:rsid w:val="00660640"/>
    <w:rsid w:val="00662829"/>
    <w:rsid w:val="00665D55"/>
    <w:rsid w:val="00670323"/>
    <w:rsid w:val="00670620"/>
    <w:rsid w:val="00670837"/>
    <w:rsid w:val="00670DB9"/>
    <w:rsid w:val="00671E30"/>
    <w:rsid w:val="00673E31"/>
    <w:rsid w:val="006745EA"/>
    <w:rsid w:val="0067568A"/>
    <w:rsid w:val="00675D12"/>
    <w:rsid w:val="00676D5C"/>
    <w:rsid w:val="00677010"/>
    <w:rsid w:val="006773DB"/>
    <w:rsid w:val="00680BDC"/>
    <w:rsid w:val="006822A2"/>
    <w:rsid w:val="006824D2"/>
    <w:rsid w:val="00683089"/>
    <w:rsid w:val="006834B8"/>
    <w:rsid w:val="00683562"/>
    <w:rsid w:val="006842A0"/>
    <w:rsid w:val="00684C73"/>
    <w:rsid w:val="00684D9D"/>
    <w:rsid w:val="00685439"/>
    <w:rsid w:val="00685504"/>
    <w:rsid w:val="00685751"/>
    <w:rsid w:val="006860CE"/>
    <w:rsid w:val="006866BB"/>
    <w:rsid w:val="00686800"/>
    <w:rsid w:val="006869B5"/>
    <w:rsid w:val="00686BFF"/>
    <w:rsid w:val="006873A7"/>
    <w:rsid w:val="00687AE4"/>
    <w:rsid w:val="00687C2A"/>
    <w:rsid w:val="00687D5B"/>
    <w:rsid w:val="00687D76"/>
    <w:rsid w:val="00690265"/>
    <w:rsid w:val="0069028D"/>
    <w:rsid w:val="00690A73"/>
    <w:rsid w:val="00690C81"/>
    <w:rsid w:val="00690EDB"/>
    <w:rsid w:val="00690F92"/>
    <w:rsid w:val="006918FF"/>
    <w:rsid w:val="00692B02"/>
    <w:rsid w:val="00692EF3"/>
    <w:rsid w:val="00693C4F"/>
    <w:rsid w:val="00693D57"/>
    <w:rsid w:val="00693F18"/>
    <w:rsid w:val="006944E8"/>
    <w:rsid w:val="00694F36"/>
    <w:rsid w:val="00695715"/>
    <w:rsid w:val="006963FC"/>
    <w:rsid w:val="0069657D"/>
    <w:rsid w:val="00696668"/>
    <w:rsid w:val="00696A2B"/>
    <w:rsid w:val="006A1B1B"/>
    <w:rsid w:val="006A2E61"/>
    <w:rsid w:val="006A3D3B"/>
    <w:rsid w:val="006A40FD"/>
    <w:rsid w:val="006A41CF"/>
    <w:rsid w:val="006A4EBA"/>
    <w:rsid w:val="006A5267"/>
    <w:rsid w:val="006A5ED3"/>
    <w:rsid w:val="006A62E0"/>
    <w:rsid w:val="006A6341"/>
    <w:rsid w:val="006A6403"/>
    <w:rsid w:val="006A6FD5"/>
    <w:rsid w:val="006A7251"/>
    <w:rsid w:val="006A75EA"/>
    <w:rsid w:val="006A7C93"/>
    <w:rsid w:val="006B1585"/>
    <w:rsid w:val="006B445D"/>
    <w:rsid w:val="006B4785"/>
    <w:rsid w:val="006B495B"/>
    <w:rsid w:val="006B4ED0"/>
    <w:rsid w:val="006B6227"/>
    <w:rsid w:val="006B62CC"/>
    <w:rsid w:val="006B6637"/>
    <w:rsid w:val="006B717B"/>
    <w:rsid w:val="006B72B2"/>
    <w:rsid w:val="006B747D"/>
    <w:rsid w:val="006B7AA6"/>
    <w:rsid w:val="006B7BB5"/>
    <w:rsid w:val="006C020B"/>
    <w:rsid w:val="006C09A7"/>
    <w:rsid w:val="006C152C"/>
    <w:rsid w:val="006C1A01"/>
    <w:rsid w:val="006C2B2B"/>
    <w:rsid w:val="006C37D2"/>
    <w:rsid w:val="006C3B59"/>
    <w:rsid w:val="006C4C54"/>
    <w:rsid w:val="006C4E1B"/>
    <w:rsid w:val="006C6265"/>
    <w:rsid w:val="006C6B8F"/>
    <w:rsid w:val="006C6F2A"/>
    <w:rsid w:val="006C7E1D"/>
    <w:rsid w:val="006C7ED6"/>
    <w:rsid w:val="006D1047"/>
    <w:rsid w:val="006D12F4"/>
    <w:rsid w:val="006D149A"/>
    <w:rsid w:val="006D1682"/>
    <w:rsid w:val="006D1D6B"/>
    <w:rsid w:val="006D20E0"/>
    <w:rsid w:val="006D2274"/>
    <w:rsid w:val="006D277D"/>
    <w:rsid w:val="006D3AB8"/>
    <w:rsid w:val="006D3D58"/>
    <w:rsid w:val="006D58FC"/>
    <w:rsid w:val="006D5951"/>
    <w:rsid w:val="006D5C9A"/>
    <w:rsid w:val="006E0CB4"/>
    <w:rsid w:val="006E1A41"/>
    <w:rsid w:val="006E46FF"/>
    <w:rsid w:val="006E52AD"/>
    <w:rsid w:val="006E6272"/>
    <w:rsid w:val="006E6394"/>
    <w:rsid w:val="006E7796"/>
    <w:rsid w:val="006E7E97"/>
    <w:rsid w:val="006F0158"/>
    <w:rsid w:val="006F087D"/>
    <w:rsid w:val="006F1D67"/>
    <w:rsid w:val="006F24EB"/>
    <w:rsid w:val="006F2FE2"/>
    <w:rsid w:val="006F30BC"/>
    <w:rsid w:val="006F3C2D"/>
    <w:rsid w:val="006F4E55"/>
    <w:rsid w:val="006F514D"/>
    <w:rsid w:val="006F530F"/>
    <w:rsid w:val="006F5536"/>
    <w:rsid w:val="006F689E"/>
    <w:rsid w:val="006F695E"/>
    <w:rsid w:val="006F6CCF"/>
    <w:rsid w:val="006F7A89"/>
    <w:rsid w:val="00700159"/>
    <w:rsid w:val="00700CAA"/>
    <w:rsid w:val="00700E85"/>
    <w:rsid w:val="007013CB"/>
    <w:rsid w:val="00702040"/>
    <w:rsid w:val="00702417"/>
    <w:rsid w:val="00702B35"/>
    <w:rsid w:val="00702C71"/>
    <w:rsid w:val="00702DAD"/>
    <w:rsid w:val="0070384B"/>
    <w:rsid w:val="00703CBE"/>
    <w:rsid w:val="007053CA"/>
    <w:rsid w:val="007057F9"/>
    <w:rsid w:val="00705CC1"/>
    <w:rsid w:val="007068EA"/>
    <w:rsid w:val="00706CCD"/>
    <w:rsid w:val="0070705C"/>
    <w:rsid w:val="00707424"/>
    <w:rsid w:val="00707668"/>
    <w:rsid w:val="007077DA"/>
    <w:rsid w:val="0071092E"/>
    <w:rsid w:val="0071095B"/>
    <w:rsid w:val="00710A3E"/>
    <w:rsid w:val="00710B9C"/>
    <w:rsid w:val="00712E05"/>
    <w:rsid w:val="00714125"/>
    <w:rsid w:val="00714610"/>
    <w:rsid w:val="0071483F"/>
    <w:rsid w:val="00714F0F"/>
    <w:rsid w:val="0071545A"/>
    <w:rsid w:val="00715562"/>
    <w:rsid w:val="00715E21"/>
    <w:rsid w:val="007162AD"/>
    <w:rsid w:val="00716E4B"/>
    <w:rsid w:val="00716EA0"/>
    <w:rsid w:val="007177CE"/>
    <w:rsid w:val="00717A04"/>
    <w:rsid w:val="00717D21"/>
    <w:rsid w:val="00717DF8"/>
    <w:rsid w:val="007200F0"/>
    <w:rsid w:val="00720A1F"/>
    <w:rsid w:val="00721279"/>
    <w:rsid w:val="007229FD"/>
    <w:rsid w:val="00723637"/>
    <w:rsid w:val="00723BCE"/>
    <w:rsid w:val="00723F43"/>
    <w:rsid w:val="007240C9"/>
    <w:rsid w:val="007252B7"/>
    <w:rsid w:val="00727573"/>
    <w:rsid w:val="00727AC8"/>
    <w:rsid w:val="00727EEE"/>
    <w:rsid w:val="00730CD3"/>
    <w:rsid w:val="00730F71"/>
    <w:rsid w:val="007311C4"/>
    <w:rsid w:val="00731B1F"/>
    <w:rsid w:val="007336BE"/>
    <w:rsid w:val="007339C5"/>
    <w:rsid w:val="007347EF"/>
    <w:rsid w:val="00734C30"/>
    <w:rsid w:val="00735B91"/>
    <w:rsid w:val="0073785F"/>
    <w:rsid w:val="0074052F"/>
    <w:rsid w:val="007412E6"/>
    <w:rsid w:val="00741D3E"/>
    <w:rsid w:val="00742990"/>
    <w:rsid w:val="00742D75"/>
    <w:rsid w:val="00743379"/>
    <w:rsid w:val="0074361F"/>
    <w:rsid w:val="007440FE"/>
    <w:rsid w:val="007441A6"/>
    <w:rsid w:val="0074499D"/>
    <w:rsid w:val="00745A58"/>
    <w:rsid w:val="00745CD6"/>
    <w:rsid w:val="007461D6"/>
    <w:rsid w:val="00746A45"/>
    <w:rsid w:val="00746B01"/>
    <w:rsid w:val="00746BC3"/>
    <w:rsid w:val="00746FB3"/>
    <w:rsid w:val="00747CF2"/>
    <w:rsid w:val="007517BF"/>
    <w:rsid w:val="00751841"/>
    <w:rsid w:val="0075263F"/>
    <w:rsid w:val="00752F2E"/>
    <w:rsid w:val="0075304B"/>
    <w:rsid w:val="007534DA"/>
    <w:rsid w:val="00754341"/>
    <w:rsid w:val="007544A3"/>
    <w:rsid w:val="00754810"/>
    <w:rsid w:val="0075495C"/>
    <w:rsid w:val="007549B5"/>
    <w:rsid w:val="00755D5A"/>
    <w:rsid w:val="00755EA2"/>
    <w:rsid w:val="00756B42"/>
    <w:rsid w:val="00757437"/>
    <w:rsid w:val="007579E2"/>
    <w:rsid w:val="0076017A"/>
    <w:rsid w:val="00760213"/>
    <w:rsid w:val="00760A14"/>
    <w:rsid w:val="00760C5F"/>
    <w:rsid w:val="007610BA"/>
    <w:rsid w:val="00761292"/>
    <w:rsid w:val="007617BB"/>
    <w:rsid w:val="007627E3"/>
    <w:rsid w:val="00763859"/>
    <w:rsid w:val="00763FEA"/>
    <w:rsid w:val="00764150"/>
    <w:rsid w:val="007641F6"/>
    <w:rsid w:val="00764503"/>
    <w:rsid w:val="00764B35"/>
    <w:rsid w:val="0076565A"/>
    <w:rsid w:val="00765871"/>
    <w:rsid w:val="00765930"/>
    <w:rsid w:val="00765969"/>
    <w:rsid w:val="00765A30"/>
    <w:rsid w:val="0076656F"/>
    <w:rsid w:val="007703BD"/>
    <w:rsid w:val="00771968"/>
    <w:rsid w:val="00771984"/>
    <w:rsid w:val="0077208B"/>
    <w:rsid w:val="00772C11"/>
    <w:rsid w:val="00772FFE"/>
    <w:rsid w:val="00774599"/>
    <w:rsid w:val="00774F3F"/>
    <w:rsid w:val="00774FE1"/>
    <w:rsid w:val="00775456"/>
    <w:rsid w:val="007769F2"/>
    <w:rsid w:val="00776D27"/>
    <w:rsid w:val="007772C4"/>
    <w:rsid w:val="00777789"/>
    <w:rsid w:val="00777F70"/>
    <w:rsid w:val="00780025"/>
    <w:rsid w:val="00780402"/>
    <w:rsid w:val="00781514"/>
    <w:rsid w:val="00781611"/>
    <w:rsid w:val="00782355"/>
    <w:rsid w:val="00782427"/>
    <w:rsid w:val="007826E7"/>
    <w:rsid w:val="00783355"/>
    <w:rsid w:val="007837CE"/>
    <w:rsid w:val="00785002"/>
    <w:rsid w:val="007865A1"/>
    <w:rsid w:val="00786989"/>
    <w:rsid w:val="0078716F"/>
    <w:rsid w:val="00787297"/>
    <w:rsid w:val="007879E7"/>
    <w:rsid w:val="00790543"/>
    <w:rsid w:val="00790935"/>
    <w:rsid w:val="00790EF4"/>
    <w:rsid w:val="007919C7"/>
    <w:rsid w:val="0079225E"/>
    <w:rsid w:val="007931C2"/>
    <w:rsid w:val="00794DDD"/>
    <w:rsid w:val="0079581E"/>
    <w:rsid w:val="007958FF"/>
    <w:rsid w:val="00795FD2"/>
    <w:rsid w:val="00796604"/>
    <w:rsid w:val="00796969"/>
    <w:rsid w:val="00796F35"/>
    <w:rsid w:val="0079717A"/>
    <w:rsid w:val="00797456"/>
    <w:rsid w:val="007A00E6"/>
    <w:rsid w:val="007A0194"/>
    <w:rsid w:val="007A0EA2"/>
    <w:rsid w:val="007A111C"/>
    <w:rsid w:val="007A15EC"/>
    <w:rsid w:val="007A1978"/>
    <w:rsid w:val="007A1E10"/>
    <w:rsid w:val="007A1E31"/>
    <w:rsid w:val="007A23EE"/>
    <w:rsid w:val="007A27F8"/>
    <w:rsid w:val="007A2923"/>
    <w:rsid w:val="007A2A53"/>
    <w:rsid w:val="007A33EF"/>
    <w:rsid w:val="007A39BF"/>
    <w:rsid w:val="007A3C9E"/>
    <w:rsid w:val="007A481A"/>
    <w:rsid w:val="007A4983"/>
    <w:rsid w:val="007A4AEE"/>
    <w:rsid w:val="007A4CED"/>
    <w:rsid w:val="007A502A"/>
    <w:rsid w:val="007A5520"/>
    <w:rsid w:val="007A5A9D"/>
    <w:rsid w:val="007A6205"/>
    <w:rsid w:val="007A662C"/>
    <w:rsid w:val="007A69EE"/>
    <w:rsid w:val="007A6B64"/>
    <w:rsid w:val="007A76AC"/>
    <w:rsid w:val="007A7C95"/>
    <w:rsid w:val="007A7F06"/>
    <w:rsid w:val="007B0046"/>
    <w:rsid w:val="007B10FF"/>
    <w:rsid w:val="007B11C9"/>
    <w:rsid w:val="007B283D"/>
    <w:rsid w:val="007B2EE5"/>
    <w:rsid w:val="007B430B"/>
    <w:rsid w:val="007B4412"/>
    <w:rsid w:val="007B4A9F"/>
    <w:rsid w:val="007B4D43"/>
    <w:rsid w:val="007B512D"/>
    <w:rsid w:val="007B615C"/>
    <w:rsid w:val="007B6F2D"/>
    <w:rsid w:val="007B6F54"/>
    <w:rsid w:val="007B72E2"/>
    <w:rsid w:val="007B7494"/>
    <w:rsid w:val="007B7D9A"/>
    <w:rsid w:val="007B7F02"/>
    <w:rsid w:val="007C08BB"/>
    <w:rsid w:val="007C08E8"/>
    <w:rsid w:val="007C1925"/>
    <w:rsid w:val="007C1D7D"/>
    <w:rsid w:val="007C2413"/>
    <w:rsid w:val="007C2587"/>
    <w:rsid w:val="007C303B"/>
    <w:rsid w:val="007C360C"/>
    <w:rsid w:val="007C3B22"/>
    <w:rsid w:val="007C3F41"/>
    <w:rsid w:val="007C4326"/>
    <w:rsid w:val="007C4598"/>
    <w:rsid w:val="007C463A"/>
    <w:rsid w:val="007C4BEF"/>
    <w:rsid w:val="007C584B"/>
    <w:rsid w:val="007C598E"/>
    <w:rsid w:val="007C6D94"/>
    <w:rsid w:val="007D0B21"/>
    <w:rsid w:val="007D0C48"/>
    <w:rsid w:val="007D10CD"/>
    <w:rsid w:val="007D176E"/>
    <w:rsid w:val="007D1C86"/>
    <w:rsid w:val="007D1E73"/>
    <w:rsid w:val="007D2985"/>
    <w:rsid w:val="007D2A25"/>
    <w:rsid w:val="007D2C57"/>
    <w:rsid w:val="007D3340"/>
    <w:rsid w:val="007D3434"/>
    <w:rsid w:val="007D3606"/>
    <w:rsid w:val="007D52E5"/>
    <w:rsid w:val="007D5AE8"/>
    <w:rsid w:val="007D62D3"/>
    <w:rsid w:val="007D643D"/>
    <w:rsid w:val="007D7BB6"/>
    <w:rsid w:val="007E094B"/>
    <w:rsid w:val="007E0C7B"/>
    <w:rsid w:val="007E1B71"/>
    <w:rsid w:val="007E2040"/>
    <w:rsid w:val="007E2957"/>
    <w:rsid w:val="007E2960"/>
    <w:rsid w:val="007E35CD"/>
    <w:rsid w:val="007E5312"/>
    <w:rsid w:val="007E5849"/>
    <w:rsid w:val="007E5948"/>
    <w:rsid w:val="007E5CC7"/>
    <w:rsid w:val="007E611F"/>
    <w:rsid w:val="007E6412"/>
    <w:rsid w:val="007E665B"/>
    <w:rsid w:val="007E6B14"/>
    <w:rsid w:val="007E7B23"/>
    <w:rsid w:val="007E7C13"/>
    <w:rsid w:val="007E7D98"/>
    <w:rsid w:val="007F05EB"/>
    <w:rsid w:val="007F0746"/>
    <w:rsid w:val="007F0ED6"/>
    <w:rsid w:val="007F1024"/>
    <w:rsid w:val="007F17E1"/>
    <w:rsid w:val="007F2DB8"/>
    <w:rsid w:val="007F2E2D"/>
    <w:rsid w:val="007F2FF2"/>
    <w:rsid w:val="007F33CE"/>
    <w:rsid w:val="007F39B1"/>
    <w:rsid w:val="007F3A30"/>
    <w:rsid w:val="007F450C"/>
    <w:rsid w:val="007F48FE"/>
    <w:rsid w:val="007F52F7"/>
    <w:rsid w:val="007F55D7"/>
    <w:rsid w:val="007F5CAF"/>
    <w:rsid w:val="007F5E7B"/>
    <w:rsid w:val="007F5E9C"/>
    <w:rsid w:val="007F6A80"/>
    <w:rsid w:val="007F6FB1"/>
    <w:rsid w:val="007F742D"/>
    <w:rsid w:val="00800896"/>
    <w:rsid w:val="00800DDD"/>
    <w:rsid w:val="00800EB6"/>
    <w:rsid w:val="00801140"/>
    <w:rsid w:val="00801EF9"/>
    <w:rsid w:val="00802B04"/>
    <w:rsid w:val="00802E23"/>
    <w:rsid w:val="00803AB3"/>
    <w:rsid w:val="00803D51"/>
    <w:rsid w:val="00803F29"/>
    <w:rsid w:val="0080459F"/>
    <w:rsid w:val="008045BC"/>
    <w:rsid w:val="008047A3"/>
    <w:rsid w:val="00804AC8"/>
    <w:rsid w:val="00806316"/>
    <w:rsid w:val="00806455"/>
    <w:rsid w:val="008068E8"/>
    <w:rsid w:val="00810C78"/>
    <w:rsid w:val="008127E2"/>
    <w:rsid w:val="00812935"/>
    <w:rsid w:val="00813201"/>
    <w:rsid w:val="00813B87"/>
    <w:rsid w:val="00813C41"/>
    <w:rsid w:val="00814156"/>
    <w:rsid w:val="008143B5"/>
    <w:rsid w:val="008145E0"/>
    <w:rsid w:val="00814D97"/>
    <w:rsid w:val="008152D3"/>
    <w:rsid w:val="00815953"/>
    <w:rsid w:val="00815F7B"/>
    <w:rsid w:val="00816780"/>
    <w:rsid w:val="00816B7F"/>
    <w:rsid w:val="00817BE6"/>
    <w:rsid w:val="008216DE"/>
    <w:rsid w:val="008220AC"/>
    <w:rsid w:val="0082253D"/>
    <w:rsid w:val="0082272C"/>
    <w:rsid w:val="0082287C"/>
    <w:rsid w:val="00822A09"/>
    <w:rsid w:val="00822A4C"/>
    <w:rsid w:val="00822AEA"/>
    <w:rsid w:val="00823228"/>
    <w:rsid w:val="00823741"/>
    <w:rsid w:val="00823750"/>
    <w:rsid w:val="00823B94"/>
    <w:rsid w:val="00823E3E"/>
    <w:rsid w:val="00823E80"/>
    <w:rsid w:val="00824FC1"/>
    <w:rsid w:val="00825592"/>
    <w:rsid w:val="00826B55"/>
    <w:rsid w:val="00827417"/>
    <w:rsid w:val="00827569"/>
    <w:rsid w:val="00827E86"/>
    <w:rsid w:val="00831935"/>
    <w:rsid w:val="00831A46"/>
    <w:rsid w:val="00831E7A"/>
    <w:rsid w:val="008326AA"/>
    <w:rsid w:val="008327F2"/>
    <w:rsid w:val="00832A7E"/>
    <w:rsid w:val="00833978"/>
    <w:rsid w:val="00833ACE"/>
    <w:rsid w:val="008342D1"/>
    <w:rsid w:val="00834BD1"/>
    <w:rsid w:val="00835F19"/>
    <w:rsid w:val="00835FAE"/>
    <w:rsid w:val="008368C7"/>
    <w:rsid w:val="00836C0D"/>
    <w:rsid w:val="00836DA0"/>
    <w:rsid w:val="00836DAF"/>
    <w:rsid w:val="00836EE7"/>
    <w:rsid w:val="00837492"/>
    <w:rsid w:val="00837AF5"/>
    <w:rsid w:val="00837B2D"/>
    <w:rsid w:val="00837F31"/>
    <w:rsid w:val="00840DE5"/>
    <w:rsid w:val="00840E2E"/>
    <w:rsid w:val="00841D5F"/>
    <w:rsid w:val="00842143"/>
    <w:rsid w:val="00842821"/>
    <w:rsid w:val="0084299E"/>
    <w:rsid w:val="00845210"/>
    <w:rsid w:val="00846FDA"/>
    <w:rsid w:val="0084760E"/>
    <w:rsid w:val="00850372"/>
    <w:rsid w:val="00850981"/>
    <w:rsid w:val="00851306"/>
    <w:rsid w:val="008515BA"/>
    <w:rsid w:val="00851E8D"/>
    <w:rsid w:val="00852549"/>
    <w:rsid w:val="0085265E"/>
    <w:rsid w:val="00854101"/>
    <w:rsid w:val="00854145"/>
    <w:rsid w:val="0085429A"/>
    <w:rsid w:val="00854F23"/>
    <w:rsid w:val="0085570D"/>
    <w:rsid w:val="00863B24"/>
    <w:rsid w:val="00863BAB"/>
    <w:rsid w:val="00865964"/>
    <w:rsid w:val="00865FB2"/>
    <w:rsid w:val="00866068"/>
    <w:rsid w:val="00866199"/>
    <w:rsid w:val="008662F4"/>
    <w:rsid w:val="00866DF9"/>
    <w:rsid w:val="00867D14"/>
    <w:rsid w:val="0087136C"/>
    <w:rsid w:val="008718A5"/>
    <w:rsid w:val="00871B7A"/>
    <w:rsid w:val="00872D7B"/>
    <w:rsid w:val="00872FEF"/>
    <w:rsid w:val="00874038"/>
    <w:rsid w:val="00874FA5"/>
    <w:rsid w:val="00875412"/>
    <w:rsid w:val="008764F3"/>
    <w:rsid w:val="008768B0"/>
    <w:rsid w:val="00876ACD"/>
    <w:rsid w:val="00877972"/>
    <w:rsid w:val="008810A2"/>
    <w:rsid w:val="0088204C"/>
    <w:rsid w:val="00882E26"/>
    <w:rsid w:val="00883081"/>
    <w:rsid w:val="0088388E"/>
    <w:rsid w:val="00883E42"/>
    <w:rsid w:val="00884D8B"/>
    <w:rsid w:val="00885492"/>
    <w:rsid w:val="00885D6F"/>
    <w:rsid w:val="00890512"/>
    <w:rsid w:val="0089073D"/>
    <w:rsid w:val="008918FC"/>
    <w:rsid w:val="00891B7F"/>
    <w:rsid w:val="00892474"/>
    <w:rsid w:val="008924D3"/>
    <w:rsid w:val="0089398D"/>
    <w:rsid w:val="00894006"/>
    <w:rsid w:val="008940C4"/>
    <w:rsid w:val="00894A1A"/>
    <w:rsid w:val="008950E7"/>
    <w:rsid w:val="008967B0"/>
    <w:rsid w:val="00896D08"/>
    <w:rsid w:val="00897030"/>
    <w:rsid w:val="008A0205"/>
    <w:rsid w:val="008A0432"/>
    <w:rsid w:val="008A1D55"/>
    <w:rsid w:val="008A2985"/>
    <w:rsid w:val="008A2A27"/>
    <w:rsid w:val="008A326B"/>
    <w:rsid w:val="008A35A4"/>
    <w:rsid w:val="008A3D25"/>
    <w:rsid w:val="008A41B2"/>
    <w:rsid w:val="008A4963"/>
    <w:rsid w:val="008A5515"/>
    <w:rsid w:val="008A5EEF"/>
    <w:rsid w:val="008A6680"/>
    <w:rsid w:val="008A7BE1"/>
    <w:rsid w:val="008A7FA7"/>
    <w:rsid w:val="008B0F8A"/>
    <w:rsid w:val="008B3117"/>
    <w:rsid w:val="008B3E34"/>
    <w:rsid w:val="008B438A"/>
    <w:rsid w:val="008B4738"/>
    <w:rsid w:val="008B537C"/>
    <w:rsid w:val="008B6113"/>
    <w:rsid w:val="008B61F9"/>
    <w:rsid w:val="008B7472"/>
    <w:rsid w:val="008B7970"/>
    <w:rsid w:val="008C0494"/>
    <w:rsid w:val="008C0EE8"/>
    <w:rsid w:val="008C3137"/>
    <w:rsid w:val="008C5D94"/>
    <w:rsid w:val="008C715E"/>
    <w:rsid w:val="008C79EF"/>
    <w:rsid w:val="008D18B2"/>
    <w:rsid w:val="008D1B2C"/>
    <w:rsid w:val="008D1F3D"/>
    <w:rsid w:val="008D23E8"/>
    <w:rsid w:val="008D34D2"/>
    <w:rsid w:val="008D3EC7"/>
    <w:rsid w:val="008D3F1E"/>
    <w:rsid w:val="008D4FE8"/>
    <w:rsid w:val="008D52CF"/>
    <w:rsid w:val="008D553A"/>
    <w:rsid w:val="008D6187"/>
    <w:rsid w:val="008D67AF"/>
    <w:rsid w:val="008D69A8"/>
    <w:rsid w:val="008D6F51"/>
    <w:rsid w:val="008D6FB4"/>
    <w:rsid w:val="008D7303"/>
    <w:rsid w:val="008E067F"/>
    <w:rsid w:val="008E06D9"/>
    <w:rsid w:val="008E0A3D"/>
    <w:rsid w:val="008E0B58"/>
    <w:rsid w:val="008E0D27"/>
    <w:rsid w:val="008E1164"/>
    <w:rsid w:val="008E1C62"/>
    <w:rsid w:val="008E2802"/>
    <w:rsid w:val="008E33BF"/>
    <w:rsid w:val="008E7BE4"/>
    <w:rsid w:val="008F0352"/>
    <w:rsid w:val="008F0C42"/>
    <w:rsid w:val="008F1379"/>
    <w:rsid w:val="008F18EF"/>
    <w:rsid w:val="008F2E90"/>
    <w:rsid w:val="008F3270"/>
    <w:rsid w:val="008F33F0"/>
    <w:rsid w:val="008F35C5"/>
    <w:rsid w:val="008F36D0"/>
    <w:rsid w:val="008F3E0B"/>
    <w:rsid w:val="008F46E7"/>
    <w:rsid w:val="008F4E3F"/>
    <w:rsid w:val="008F5B1F"/>
    <w:rsid w:val="008F62F3"/>
    <w:rsid w:val="008F62F7"/>
    <w:rsid w:val="008F6CD2"/>
    <w:rsid w:val="008F6E2F"/>
    <w:rsid w:val="008F710A"/>
    <w:rsid w:val="008F7C91"/>
    <w:rsid w:val="008F7CC7"/>
    <w:rsid w:val="00900946"/>
    <w:rsid w:val="00901342"/>
    <w:rsid w:val="009016C9"/>
    <w:rsid w:val="009028E4"/>
    <w:rsid w:val="00902DD9"/>
    <w:rsid w:val="009034DB"/>
    <w:rsid w:val="00904076"/>
    <w:rsid w:val="00904758"/>
    <w:rsid w:val="00906024"/>
    <w:rsid w:val="0090647D"/>
    <w:rsid w:val="009072FC"/>
    <w:rsid w:val="009077EE"/>
    <w:rsid w:val="00907B49"/>
    <w:rsid w:val="00910E35"/>
    <w:rsid w:val="00911967"/>
    <w:rsid w:val="00911F3C"/>
    <w:rsid w:val="0091285E"/>
    <w:rsid w:val="00912CF3"/>
    <w:rsid w:val="009139AD"/>
    <w:rsid w:val="00913A50"/>
    <w:rsid w:val="00913EA0"/>
    <w:rsid w:val="00914E08"/>
    <w:rsid w:val="00914F83"/>
    <w:rsid w:val="0091580E"/>
    <w:rsid w:val="00915A6D"/>
    <w:rsid w:val="00916237"/>
    <w:rsid w:val="009175C2"/>
    <w:rsid w:val="00917EEB"/>
    <w:rsid w:val="00920D58"/>
    <w:rsid w:val="00921967"/>
    <w:rsid w:val="00921C82"/>
    <w:rsid w:val="009220F1"/>
    <w:rsid w:val="009223BD"/>
    <w:rsid w:val="00922BDD"/>
    <w:rsid w:val="00923D9B"/>
    <w:rsid w:val="00923DED"/>
    <w:rsid w:val="00923EAB"/>
    <w:rsid w:val="00924BA8"/>
    <w:rsid w:val="0092510C"/>
    <w:rsid w:val="0092555D"/>
    <w:rsid w:val="00925821"/>
    <w:rsid w:val="00926A8B"/>
    <w:rsid w:val="00927679"/>
    <w:rsid w:val="00927DAA"/>
    <w:rsid w:val="009300BF"/>
    <w:rsid w:val="00930744"/>
    <w:rsid w:val="00931B57"/>
    <w:rsid w:val="00932562"/>
    <w:rsid w:val="009325C7"/>
    <w:rsid w:val="00933AA8"/>
    <w:rsid w:val="00933DE0"/>
    <w:rsid w:val="009351E4"/>
    <w:rsid w:val="00935703"/>
    <w:rsid w:val="0093620D"/>
    <w:rsid w:val="00937EA5"/>
    <w:rsid w:val="00940DB1"/>
    <w:rsid w:val="00941C15"/>
    <w:rsid w:val="00942655"/>
    <w:rsid w:val="00942B52"/>
    <w:rsid w:val="0094335C"/>
    <w:rsid w:val="00943515"/>
    <w:rsid w:val="00943DAB"/>
    <w:rsid w:val="0094465D"/>
    <w:rsid w:val="00945E70"/>
    <w:rsid w:val="00946123"/>
    <w:rsid w:val="00946757"/>
    <w:rsid w:val="0094753B"/>
    <w:rsid w:val="0094765B"/>
    <w:rsid w:val="0095045F"/>
    <w:rsid w:val="00952FB1"/>
    <w:rsid w:val="00954196"/>
    <w:rsid w:val="00956100"/>
    <w:rsid w:val="00956186"/>
    <w:rsid w:val="009563C6"/>
    <w:rsid w:val="0095657A"/>
    <w:rsid w:val="00957382"/>
    <w:rsid w:val="00957C12"/>
    <w:rsid w:val="00957ED7"/>
    <w:rsid w:val="00960741"/>
    <w:rsid w:val="00960D9B"/>
    <w:rsid w:val="009615B1"/>
    <w:rsid w:val="00961754"/>
    <w:rsid w:val="00962ACF"/>
    <w:rsid w:val="00962FF5"/>
    <w:rsid w:val="00963700"/>
    <w:rsid w:val="00964610"/>
    <w:rsid w:val="00964704"/>
    <w:rsid w:val="00964BEC"/>
    <w:rsid w:val="00964FA9"/>
    <w:rsid w:val="009658C2"/>
    <w:rsid w:val="009659D0"/>
    <w:rsid w:val="00965A1E"/>
    <w:rsid w:val="00966BC1"/>
    <w:rsid w:val="009678C9"/>
    <w:rsid w:val="009679E0"/>
    <w:rsid w:val="00967FD3"/>
    <w:rsid w:val="00970048"/>
    <w:rsid w:val="0097011B"/>
    <w:rsid w:val="0097151F"/>
    <w:rsid w:val="00971F20"/>
    <w:rsid w:val="009724F4"/>
    <w:rsid w:val="00972A05"/>
    <w:rsid w:val="009738E2"/>
    <w:rsid w:val="00973DDE"/>
    <w:rsid w:val="0097512D"/>
    <w:rsid w:val="00975412"/>
    <w:rsid w:val="009757FB"/>
    <w:rsid w:val="0097629B"/>
    <w:rsid w:val="00976A0D"/>
    <w:rsid w:val="00976A85"/>
    <w:rsid w:val="00976F7C"/>
    <w:rsid w:val="009772DA"/>
    <w:rsid w:val="009775D7"/>
    <w:rsid w:val="00981BE1"/>
    <w:rsid w:val="00982973"/>
    <w:rsid w:val="00983633"/>
    <w:rsid w:val="00983804"/>
    <w:rsid w:val="0098451E"/>
    <w:rsid w:val="00984837"/>
    <w:rsid w:val="00984CA3"/>
    <w:rsid w:val="009853DD"/>
    <w:rsid w:val="009853EF"/>
    <w:rsid w:val="0098563A"/>
    <w:rsid w:val="0098653C"/>
    <w:rsid w:val="00986E7F"/>
    <w:rsid w:val="00987598"/>
    <w:rsid w:val="0098776A"/>
    <w:rsid w:val="00987E40"/>
    <w:rsid w:val="00990249"/>
    <w:rsid w:val="00990931"/>
    <w:rsid w:val="00991539"/>
    <w:rsid w:val="00991B71"/>
    <w:rsid w:val="00991E51"/>
    <w:rsid w:val="00992096"/>
    <w:rsid w:val="009920A1"/>
    <w:rsid w:val="00992A0A"/>
    <w:rsid w:val="00993016"/>
    <w:rsid w:val="009931BE"/>
    <w:rsid w:val="00993A0A"/>
    <w:rsid w:val="00993EC5"/>
    <w:rsid w:val="00993EFB"/>
    <w:rsid w:val="00996695"/>
    <w:rsid w:val="009966A7"/>
    <w:rsid w:val="00996BB3"/>
    <w:rsid w:val="0099721E"/>
    <w:rsid w:val="009972BB"/>
    <w:rsid w:val="00997D46"/>
    <w:rsid w:val="00997E65"/>
    <w:rsid w:val="009A032F"/>
    <w:rsid w:val="009A0AAF"/>
    <w:rsid w:val="009A1116"/>
    <w:rsid w:val="009A12B6"/>
    <w:rsid w:val="009A1FB6"/>
    <w:rsid w:val="009A2D10"/>
    <w:rsid w:val="009A3997"/>
    <w:rsid w:val="009A4C05"/>
    <w:rsid w:val="009A6974"/>
    <w:rsid w:val="009A69BD"/>
    <w:rsid w:val="009A6C0E"/>
    <w:rsid w:val="009A7881"/>
    <w:rsid w:val="009B0447"/>
    <w:rsid w:val="009B081C"/>
    <w:rsid w:val="009B0C92"/>
    <w:rsid w:val="009B21AE"/>
    <w:rsid w:val="009B2959"/>
    <w:rsid w:val="009B2A5B"/>
    <w:rsid w:val="009B2BD9"/>
    <w:rsid w:val="009B309C"/>
    <w:rsid w:val="009B30DE"/>
    <w:rsid w:val="009B3BCF"/>
    <w:rsid w:val="009B46FD"/>
    <w:rsid w:val="009B4B72"/>
    <w:rsid w:val="009B593F"/>
    <w:rsid w:val="009B663B"/>
    <w:rsid w:val="009B66BA"/>
    <w:rsid w:val="009B6BAD"/>
    <w:rsid w:val="009B6C10"/>
    <w:rsid w:val="009B6CBA"/>
    <w:rsid w:val="009B79B0"/>
    <w:rsid w:val="009C0BA1"/>
    <w:rsid w:val="009C11A6"/>
    <w:rsid w:val="009C1C19"/>
    <w:rsid w:val="009C2114"/>
    <w:rsid w:val="009C317E"/>
    <w:rsid w:val="009C382C"/>
    <w:rsid w:val="009C3CB6"/>
    <w:rsid w:val="009C4E78"/>
    <w:rsid w:val="009C53F0"/>
    <w:rsid w:val="009C7108"/>
    <w:rsid w:val="009C7A09"/>
    <w:rsid w:val="009C7E27"/>
    <w:rsid w:val="009D12F2"/>
    <w:rsid w:val="009D135E"/>
    <w:rsid w:val="009D1AD1"/>
    <w:rsid w:val="009D298C"/>
    <w:rsid w:val="009D2D2A"/>
    <w:rsid w:val="009D3C4B"/>
    <w:rsid w:val="009D3E01"/>
    <w:rsid w:val="009D41BE"/>
    <w:rsid w:val="009D4672"/>
    <w:rsid w:val="009D5354"/>
    <w:rsid w:val="009D5A2E"/>
    <w:rsid w:val="009D5A32"/>
    <w:rsid w:val="009D5CC2"/>
    <w:rsid w:val="009D7167"/>
    <w:rsid w:val="009D716F"/>
    <w:rsid w:val="009D7869"/>
    <w:rsid w:val="009E0CE7"/>
    <w:rsid w:val="009E13D0"/>
    <w:rsid w:val="009E140E"/>
    <w:rsid w:val="009E1CAB"/>
    <w:rsid w:val="009E2759"/>
    <w:rsid w:val="009E282F"/>
    <w:rsid w:val="009E33B0"/>
    <w:rsid w:val="009E3678"/>
    <w:rsid w:val="009E3C02"/>
    <w:rsid w:val="009E4103"/>
    <w:rsid w:val="009E4EF1"/>
    <w:rsid w:val="009E5E2F"/>
    <w:rsid w:val="009E61D6"/>
    <w:rsid w:val="009E6E96"/>
    <w:rsid w:val="009E75F6"/>
    <w:rsid w:val="009E7B13"/>
    <w:rsid w:val="009F1122"/>
    <w:rsid w:val="009F13D6"/>
    <w:rsid w:val="009F1C7D"/>
    <w:rsid w:val="009F2D89"/>
    <w:rsid w:val="009F3035"/>
    <w:rsid w:val="009F37D6"/>
    <w:rsid w:val="009F3A1A"/>
    <w:rsid w:val="009F3EE6"/>
    <w:rsid w:val="009F40A6"/>
    <w:rsid w:val="009F44AC"/>
    <w:rsid w:val="009F4AA6"/>
    <w:rsid w:val="009F4EE6"/>
    <w:rsid w:val="009F51AF"/>
    <w:rsid w:val="009F5C5B"/>
    <w:rsid w:val="009F6908"/>
    <w:rsid w:val="009F69EF"/>
    <w:rsid w:val="009F6FB5"/>
    <w:rsid w:val="00A001F1"/>
    <w:rsid w:val="00A012AF"/>
    <w:rsid w:val="00A014A1"/>
    <w:rsid w:val="00A01C47"/>
    <w:rsid w:val="00A02D8D"/>
    <w:rsid w:val="00A03152"/>
    <w:rsid w:val="00A03293"/>
    <w:rsid w:val="00A044B0"/>
    <w:rsid w:val="00A061A4"/>
    <w:rsid w:val="00A06766"/>
    <w:rsid w:val="00A07149"/>
    <w:rsid w:val="00A102DA"/>
    <w:rsid w:val="00A104A8"/>
    <w:rsid w:val="00A1056B"/>
    <w:rsid w:val="00A10594"/>
    <w:rsid w:val="00A11118"/>
    <w:rsid w:val="00A11B53"/>
    <w:rsid w:val="00A11BC6"/>
    <w:rsid w:val="00A123BF"/>
    <w:rsid w:val="00A13FDF"/>
    <w:rsid w:val="00A141A4"/>
    <w:rsid w:val="00A169F1"/>
    <w:rsid w:val="00A1729D"/>
    <w:rsid w:val="00A20609"/>
    <w:rsid w:val="00A20BF9"/>
    <w:rsid w:val="00A20E18"/>
    <w:rsid w:val="00A22249"/>
    <w:rsid w:val="00A228D5"/>
    <w:rsid w:val="00A22A96"/>
    <w:rsid w:val="00A22B40"/>
    <w:rsid w:val="00A22E23"/>
    <w:rsid w:val="00A2322B"/>
    <w:rsid w:val="00A23A77"/>
    <w:rsid w:val="00A24253"/>
    <w:rsid w:val="00A24A4F"/>
    <w:rsid w:val="00A25F11"/>
    <w:rsid w:val="00A26649"/>
    <w:rsid w:val="00A27363"/>
    <w:rsid w:val="00A31E43"/>
    <w:rsid w:val="00A31FB0"/>
    <w:rsid w:val="00A32611"/>
    <w:rsid w:val="00A326D7"/>
    <w:rsid w:val="00A32DF9"/>
    <w:rsid w:val="00A33919"/>
    <w:rsid w:val="00A33CE6"/>
    <w:rsid w:val="00A346FA"/>
    <w:rsid w:val="00A35743"/>
    <w:rsid w:val="00A35933"/>
    <w:rsid w:val="00A35AE0"/>
    <w:rsid w:val="00A366F2"/>
    <w:rsid w:val="00A36C4D"/>
    <w:rsid w:val="00A37F22"/>
    <w:rsid w:val="00A404D2"/>
    <w:rsid w:val="00A40F6C"/>
    <w:rsid w:val="00A432E2"/>
    <w:rsid w:val="00A432FB"/>
    <w:rsid w:val="00A43441"/>
    <w:rsid w:val="00A442A8"/>
    <w:rsid w:val="00A4472B"/>
    <w:rsid w:val="00A4488F"/>
    <w:rsid w:val="00A44F0A"/>
    <w:rsid w:val="00A44F62"/>
    <w:rsid w:val="00A45160"/>
    <w:rsid w:val="00A456F9"/>
    <w:rsid w:val="00A45E8C"/>
    <w:rsid w:val="00A464D3"/>
    <w:rsid w:val="00A468DF"/>
    <w:rsid w:val="00A46A5C"/>
    <w:rsid w:val="00A46D68"/>
    <w:rsid w:val="00A4779D"/>
    <w:rsid w:val="00A50537"/>
    <w:rsid w:val="00A50A4C"/>
    <w:rsid w:val="00A512CF"/>
    <w:rsid w:val="00A51A72"/>
    <w:rsid w:val="00A51AE5"/>
    <w:rsid w:val="00A525B7"/>
    <w:rsid w:val="00A52B80"/>
    <w:rsid w:val="00A530DB"/>
    <w:rsid w:val="00A53BD2"/>
    <w:rsid w:val="00A54621"/>
    <w:rsid w:val="00A54B93"/>
    <w:rsid w:val="00A54E85"/>
    <w:rsid w:val="00A54F95"/>
    <w:rsid w:val="00A551FD"/>
    <w:rsid w:val="00A560C5"/>
    <w:rsid w:val="00A568CB"/>
    <w:rsid w:val="00A568E9"/>
    <w:rsid w:val="00A56E62"/>
    <w:rsid w:val="00A576AA"/>
    <w:rsid w:val="00A57D27"/>
    <w:rsid w:val="00A60168"/>
    <w:rsid w:val="00A616F6"/>
    <w:rsid w:val="00A61982"/>
    <w:rsid w:val="00A61BCD"/>
    <w:rsid w:val="00A6205A"/>
    <w:rsid w:val="00A63B55"/>
    <w:rsid w:val="00A64277"/>
    <w:rsid w:val="00A64A17"/>
    <w:rsid w:val="00A64DC3"/>
    <w:rsid w:val="00A66414"/>
    <w:rsid w:val="00A66D60"/>
    <w:rsid w:val="00A671AF"/>
    <w:rsid w:val="00A67242"/>
    <w:rsid w:val="00A67B24"/>
    <w:rsid w:val="00A7024B"/>
    <w:rsid w:val="00A705D2"/>
    <w:rsid w:val="00A70A07"/>
    <w:rsid w:val="00A70E67"/>
    <w:rsid w:val="00A7145B"/>
    <w:rsid w:val="00A7154E"/>
    <w:rsid w:val="00A729C8"/>
    <w:rsid w:val="00A7370B"/>
    <w:rsid w:val="00A73F8A"/>
    <w:rsid w:val="00A74017"/>
    <w:rsid w:val="00A74E1F"/>
    <w:rsid w:val="00A75316"/>
    <w:rsid w:val="00A7613A"/>
    <w:rsid w:val="00A778A2"/>
    <w:rsid w:val="00A80018"/>
    <w:rsid w:val="00A80303"/>
    <w:rsid w:val="00A80654"/>
    <w:rsid w:val="00A80997"/>
    <w:rsid w:val="00A8183A"/>
    <w:rsid w:val="00A8241F"/>
    <w:rsid w:val="00A82520"/>
    <w:rsid w:val="00A831F7"/>
    <w:rsid w:val="00A83A77"/>
    <w:rsid w:val="00A83D5B"/>
    <w:rsid w:val="00A84571"/>
    <w:rsid w:val="00A85420"/>
    <w:rsid w:val="00A85A69"/>
    <w:rsid w:val="00A85BBD"/>
    <w:rsid w:val="00A873AA"/>
    <w:rsid w:val="00A873C2"/>
    <w:rsid w:val="00A90EE8"/>
    <w:rsid w:val="00A92C81"/>
    <w:rsid w:val="00A92D87"/>
    <w:rsid w:val="00A94B4F"/>
    <w:rsid w:val="00A94D7E"/>
    <w:rsid w:val="00A952B8"/>
    <w:rsid w:val="00A95C00"/>
    <w:rsid w:val="00A95E50"/>
    <w:rsid w:val="00A96373"/>
    <w:rsid w:val="00A964D2"/>
    <w:rsid w:val="00A96713"/>
    <w:rsid w:val="00A96E3B"/>
    <w:rsid w:val="00A96FE9"/>
    <w:rsid w:val="00A9781D"/>
    <w:rsid w:val="00A978D6"/>
    <w:rsid w:val="00A97BF3"/>
    <w:rsid w:val="00A97FB3"/>
    <w:rsid w:val="00AA035A"/>
    <w:rsid w:val="00AA049C"/>
    <w:rsid w:val="00AA0816"/>
    <w:rsid w:val="00AA287B"/>
    <w:rsid w:val="00AA2D5A"/>
    <w:rsid w:val="00AA3578"/>
    <w:rsid w:val="00AA3738"/>
    <w:rsid w:val="00AA3965"/>
    <w:rsid w:val="00AA4201"/>
    <w:rsid w:val="00AA4B13"/>
    <w:rsid w:val="00AA4C66"/>
    <w:rsid w:val="00AA4D47"/>
    <w:rsid w:val="00AA4D8D"/>
    <w:rsid w:val="00AA514D"/>
    <w:rsid w:val="00AA51D0"/>
    <w:rsid w:val="00AA54C1"/>
    <w:rsid w:val="00AA56C8"/>
    <w:rsid w:val="00AA6512"/>
    <w:rsid w:val="00AA664E"/>
    <w:rsid w:val="00AA6FEF"/>
    <w:rsid w:val="00AA74D5"/>
    <w:rsid w:val="00AA7EF1"/>
    <w:rsid w:val="00AB004B"/>
    <w:rsid w:val="00AB0150"/>
    <w:rsid w:val="00AB0FCA"/>
    <w:rsid w:val="00AB1EDF"/>
    <w:rsid w:val="00AB2D92"/>
    <w:rsid w:val="00AB3852"/>
    <w:rsid w:val="00AB40A3"/>
    <w:rsid w:val="00AB4B02"/>
    <w:rsid w:val="00AB572B"/>
    <w:rsid w:val="00AB58DA"/>
    <w:rsid w:val="00AB6401"/>
    <w:rsid w:val="00AB64B2"/>
    <w:rsid w:val="00AB6706"/>
    <w:rsid w:val="00AB682B"/>
    <w:rsid w:val="00AB6D02"/>
    <w:rsid w:val="00AB76C4"/>
    <w:rsid w:val="00AB7747"/>
    <w:rsid w:val="00AB7917"/>
    <w:rsid w:val="00AC0B6A"/>
    <w:rsid w:val="00AC0D52"/>
    <w:rsid w:val="00AC139B"/>
    <w:rsid w:val="00AC2065"/>
    <w:rsid w:val="00AC3BFC"/>
    <w:rsid w:val="00AC4CB7"/>
    <w:rsid w:val="00AC4D75"/>
    <w:rsid w:val="00AC55D5"/>
    <w:rsid w:val="00AC5929"/>
    <w:rsid w:val="00AC7025"/>
    <w:rsid w:val="00AC738B"/>
    <w:rsid w:val="00AC7895"/>
    <w:rsid w:val="00AC7BF5"/>
    <w:rsid w:val="00AC7D5B"/>
    <w:rsid w:val="00AD172A"/>
    <w:rsid w:val="00AD18AD"/>
    <w:rsid w:val="00AD1D0D"/>
    <w:rsid w:val="00AD22A1"/>
    <w:rsid w:val="00AD2CF5"/>
    <w:rsid w:val="00AD32F4"/>
    <w:rsid w:val="00AD33D6"/>
    <w:rsid w:val="00AD3510"/>
    <w:rsid w:val="00AD3F8B"/>
    <w:rsid w:val="00AD4380"/>
    <w:rsid w:val="00AD4754"/>
    <w:rsid w:val="00AD58A3"/>
    <w:rsid w:val="00AD5E7F"/>
    <w:rsid w:val="00AD682B"/>
    <w:rsid w:val="00AD72C8"/>
    <w:rsid w:val="00AD730B"/>
    <w:rsid w:val="00AD7695"/>
    <w:rsid w:val="00AE0847"/>
    <w:rsid w:val="00AE0C6D"/>
    <w:rsid w:val="00AE0FBD"/>
    <w:rsid w:val="00AE1728"/>
    <w:rsid w:val="00AE17E2"/>
    <w:rsid w:val="00AE1BE4"/>
    <w:rsid w:val="00AE1E85"/>
    <w:rsid w:val="00AE388B"/>
    <w:rsid w:val="00AE3ADD"/>
    <w:rsid w:val="00AE4901"/>
    <w:rsid w:val="00AE5389"/>
    <w:rsid w:val="00AE54C1"/>
    <w:rsid w:val="00AE5D1C"/>
    <w:rsid w:val="00AE64EB"/>
    <w:rsid w:val="00AE713C"/>
    <w:rsid w:val="00AF26D1"/>
    <w:rsid w:val="00AF3222"/>
    <w:rsid w:val="00AF37F8"/>
    <w:rsid w:val="00AF43DB"/>
    <w:rsid w:val="00AF511C"/>
    <w:rsid w:val="00AF53DC"/>
    <w:rsid w:val="00AF6ECD"/>
    <w:rsid w:val="00AF749E"/>
    <w:rsid w:val="00AF7C30"/>
    <w:rsid w:val="00B0045B"/>
    <w:rsid w:val="00B004C7"/>
    <w:rsid w:val="00B01553"/>
    <w:rsid w:val="00B01E6C"/>
    <w:rsid w:val="00B0262B"/>
    <w:rsid w:val="00B05567"/>
    <w:rsid w:val="00B0577D"/>
    <w:rsid w:val="00B06566"/>
    <w:rsid w:val="00B068DF"/>
    <w:rsid w:val="00B0799B"/>
    <w:rsid w:val="00B07EB1"/>
    <w:rsid w:val="00B1099C"/>
    <w:rsid w:val="00B10BEB"/>
    <w:rsid w:val="00B11944"/>
    <w:rsid w:val="00B11E81"/>
    <w:rsid w:val="00B11FE8"/>
    <w:rsid w:val="00B12CE1"/>
    <w:rsid w:val="00B130F8"/>
    <w:rsid w:val="00B132B3"/>
    <w:rsid w:val="00B13621"/>
    <w:rsid w:val="00B1506C"/>
    <w:rsid w:val="00B15C91"/>
    <w:rsid w:val="00B16D69"/>
    <w:rsid w:val="00B17459"/>
    <w:rsid w:val="00B17588"/>
    <w:rsid w:val="00B17AA0"/>
    <w:rsid w:val="00B17E5D"/>
    <w:rsid w:val="00B21DD1"/>
    <w:rsid w:val="00B22446"/>
    <w:rsid w:val="00B22B1F"/>
    <w:rsid w:val="00B22FE6"/>
    <w:rsid w:val="00B2330A"/>
    <w:rsid w:val="00B2399A"/>
    <w:rsid w:val="00B23D7C"/>
    <w:rsid w:val="00B2435C"/>
    <w:rsid w:val="00B243ED"/>
    <w:rsid w:val="00B2466B"/>
    <w:rsid w:val="00B250B9"/>
    <w:rsid w:val="00B25431"/>
    <w:rsid w:val="00B260A0"/>
    <w:rsid w:val="00B26322"/>
    <w:rsid w:val="00B26A01"/>
    <w:rsid w:val="00B26E9C"/>
    <w:rsid w:val="00B27152"/>
    <w:rsid w:val="00B27521"/>
    <w:rsid w:val="00B310F5"/>
    <w:rsid w:val="00B31748"/>
    <w:rsid w:val="00B32B9F"/>
    <w:rsid w:val="00B34B0B"/>
    <w:rsid w:val="00B35FF9"/>
    <w:rsid w:val="00B36217"/>
    <w:rsid w:val="00B364AD"/>
    <w:rsid w:val="00B364B5"/>
    <w:rsid w:val="00B36576"/>
    <w:rsid w:val="00B36A9E"/>
    <w:rsid w:val="00B37056"/>
    <w:rsid w:val="00B40113"/>
    <w:rsid w:val="00B428ED"/>
    <w:rsid w:val="00B43A35"/>
    <w:rsid w:val="00B43FBC"/>
    <w:rsid w:val="00B454D1"/>
    <w:rsid w:val="00B46BF5"/>
    <w:rsid w:val="00B46C4B"/>
    <w:rsid w:val="00B46EDF"/>
    <w:rsid w:val="00B47081"/>
    <w:rsid w:val="00B473DF"/>
    <w:rsid w:val="00B478D8"/>
    <w:rsid w:val="00B502D7"/>
    <w:rsid w:val="00B506AC"/>
    <w:rsid w:val="00B51B73"/>
    <w:rsid w:val="00B52053"/>
    <w:rsid w:val="00B528B9"/>
    <w:rsid w:val="00B52EC6"/>
    <w:rsid w:val="00B53267"/>
    <w:rsid w:val="00B53EAC"/>
    <w:rsid w:val="00B5418A"/>
    <w:rsid w:val="00B54533"/>
    <w:rsid w:val="00B54A0D"/>
    <w:rsid w:val="00B5527A"/>
    <w:rsid w:val="00B55A66"/>
    <w:rsid w:val="00B55AF7"/>
    <w:rsid w:val="00B569A4"/>
    <w:rsid w:val="00B56B0A"/>
    <w:rsid w:val="00B56D1E"/>
    <w:rsid w:val="00B57823"/>
    <w:rsid w:val="00B60036"/>
    <w:rsid w:val="00B60AD3"/>
    <w:rsid w:val="00B61704"/>
    <w:rsid w:val="00B61EFB"/>
    <w:rsid w:val="00B61F68"/>
    <w:rsid w:val="00B625C4"/>
    <w:rsid w:val="00B6404E"/>
    <w:rsid w:val="00B645B4"/>
    <w:rsid w:val="00B657CB"/>
    <w:rsid w:val="00B66418"/>
    <w:rsid w:val="00B670BC"/>
    <w:rsid w:val="00B67AA0"/>
    <w:rsid w:val="00B70323"/>
    <w:rsid w:val="00B70DC8"/>
    <w:rsid w:val="00B70E10"/>
    <w:rsid w:val="00B710C5"/>
    <w:rsid w:val="00B728A0"/>
    <w:rsid w:val="00B75CFE"/>
    <w:rsid w:val="00B762CD"/>
    <w:rsid w:val="00B767EA"/>
    <w:rsid w:val="00B76ACE"/>
    <w:rsid w:val="00B76E44"/>
    <w:rsid w:val="00B82253"/>
    <w:rsid w:val="00B828E2"/>
    <w:rsid w:val="00B82B65"/>
    <w:rsid w:val="00B82D10"/>
    <w:rsid w:val="00B830FD"/>
    <w:rsid w:val="00B8407C"/>
    <w:rsid w:val="00B86A85"/>
    <w:rsid w:val="00B86AA1"/>
    <w:rsid w:val="00B86CB3"/>
    <w:rsid w:val="00B875DC"/>
    <w:rsid w:val="00B87895"/>
    <w:rsid w:val="00B911F9"/>
    <w:rsid w:val="00B91C8B"/>
    <w:rsid w:val="00B91F2D"/>
    <w:rsid w:val="00B92915"/>
    <w:rsid w:val="00B9329E"/>
    <w:rsid w:val="00B9514D"/>
    <w:rsid w:val="00B95BE4"/>
    <w:rsid w:val="00B966AF"/>
    <w:rsid w:val="00B96B6A"/>
    <w:rsid w:val="00B97C44"/>
    <w:rsid w:val="00BA02E8"/>
    <w:rsid w:val="00BA0577"/>
    <w:rsid w:val="00BA08A2"/>
    <w:rsid w:val="00BA1C2D"/>
    <w:rsid w:val="00BA2166"/>
    <w:rsid w:val="00BA2545"/>
    <w:rsid w:val="00BA3EE5"/>
    <w:rsid w:val="00BA48CD"/>
    <w:rsid w:val="00BA4B06"/>
    <w:rsid w:val="00BA5294"/>
    <w:rsid w:val="00BA5494"/>
    <w:rsid w:val="00BA5922"/>
    <w:rsid w:val="00BA5947"/>
    <w:rsid w:val="00BA5AC1"/>
    <w:rsid w:val="00BA7394"/>
    <w:rsid w:val="00BB073C"/>
    <w:rsid w:val="00BB0ACF"/>
    <w:rsid w:val="00BB14F5"/>
    <w:rsid w:val="00BB2668"/>
    <w:rsid w:val="00BB2B2B"/>
    <w:rsid w:val="00BB2E77"/>
    <w:rsid w:val="00BB3035"/>
    <w:rsid w:val="00BB48D9"/>
    <w:rsid w:val="00BB526A"/>
    <w:rsid w:val="00BB55B9"/>
    <w:rsid w:val="00BB56EE"/>
    <w:rsid w:val="00BB58E9"/>
    <w:rsid w:val="00BB63A4"/>
    <w:rsid w:val="00BB7410"/>
    <w:rsid w:val="00BB7D5E"/>
    <w:rsid w:val="00BC001C"/>
    <w:rsid w:val="00BC03B3"/>
    <w:rsid w:val="00BC1654"/>
    <w:rsid w:val="00BC1C9C"/>
    <w:rsid w:val="00BC24A9"/>
    <w:rsid w:val="00BC3D23"/>
    <w:rsid w:val="00BC4B52"/>
    <w:rsid w:val="00BC5871"/>
    <w:rsid w:val="00BC58B1"/>
    <w:rsid w:val="00BC59C4"/>
    <w:rsid w:val="00BC5EA5"/>
    <w:rsid w:val="00BC5F5D"/>
    <w:rsid w:val="00BC6C29"/>
    <w:rsid w:val="00BC6D67"/>
    <w:rsid w:val="00BC71D1"/>
    <w:rsid w:val="00BC7DDD"/>
    <w:rsid w:val="00BD02A5"/>
    <w:rsid w:val="00BD03A5"/>
    <w:rsid w:val="00BD0521"/>
    <w:rsid w:val="00BD1A0D"/>
    <w:rsid w:val="00BD2159"/>
    <w:rsid w:val="00BD263D"/>
    <w:rsid w:val="00BD32F1"/>
    <w:rsid w:val="00BD3C53"/>
    <w:rsid w:val="00BD3CF5"/>
    <w:rsid w:val="00BD49C1"/>
    <w:rsid w:val="00BD5B7C"/>
    <w:rsid w:val="00BD5BAC"/>
    <w:rsid w:val="00BD7429"/>
    <w:rsid w:val="00BE06DA"/>
    <w:rsid w:val="00BE095B"/>
    <w:rsid w:val="00BE1117"/>
    <w:rsid w:val="00BE11D1"/>
    <w:rsid w:val="00BE13F3"/>
    <w:rsid w:val="00BE1432"/>
    <w:rsid w:val="00BE16C2"/>
    <w:rsid w:val="00BE19F0"/>
    <w:rsid w:val="00BE2BAF"/>
    <w:rsid w:val="00BE2DEE"/>
    <w:rsid w:val="00BE2F49"/>
    <w:rsid w:val="00BE3725"/>
    <w:rsid w:val="00BE3773"/>
    <w:rsid w:val="00BE3A2D"/>
    <w:rsid w:val="00BE3BA0"/>
    <w:rsid w:val="00BE5041"/>
    <w:rsid w:val="00BE5802"/>
    <w:rsid w:val="00BE5EB6"/>
    <w:rsid w:val="00BE6503"/>
    <w:rsid w:val="00BE6A22"/>
    <w:rsid w:val="00BF01A2"/>
    <w:rsid w:val="00BF025B"/>
    <w:rsid w:val="00BF05E2"/>
    <w:rsid w:val="00BF06D0"/>
    <w:rsid w:val="00BF0C2E"/>
    <w:rsid w:val="00BF1981"/>
    <w:rsid w:val="00BF2005"/>
    <w:rsid w:val="00BF2705"/>
    <w:rsid w:val="00BF288A"/>
    <w:rsid w:val="00BF31CD"/>
    <w:rsid w:val="00BF36D1"/>
    <w:rsid w:val="00BF4D76"/>
    <w:rsid w:val="00BF6228"/>
    <w:rsid w:val="00BF6455"/>
    <w:rsid w:val="00C00E61"/>
    <w:rsid w:val="00C01208"/>
    <w:rsid w:val="00C021C3"/>
    <w:rsid w:val="00C0268D"/>
    <w:rsid w:val="00C0305C"/>
    <w:rsid w:val="00C034EC"/>
    <w:rsid w:val="00C038B4"/>
    <w:rsid w:val="00C03A53"/>
    <w:rsid w:val="00C04C42"/>
    <w:rsid w:val="00C05C05"/>
    <w:rsid w:val="00C07BE4"/>
    <w:rsid w:val="00C07CAF"/>
    <w:rsid w:val="00C108FB"/>
    <w:rsid w:val="00C10A20"/>
    <w:rsid w:val="00C10B6F"/>
    <w:rsid w:val="00C10E6A"/>
    <w:rsid w:val="00C1191A"/>
    <w:rsid w:val="00C12993"/>
    <w:rsid w:val="00C13036"/>
    <w:rsid w:val="00C1479F"/>
    <w:rsid w:val="00C14E65"/>
    <w:rsid w:val="00C1509C"/>
    <w:rsid w:val="00C15444"/>
    <w:rsid w:val="00C15802"/>
    <w:rsid w:val="00C15CCA"/>
    <w:rsid w:val="00C16323"/>
    <w:rsid w:val="00C1647C"/>
    <w:rsid w:val="00C169D0"/>
    <w:rsid w:val="00C200C4"/>
    <w:rsid w:val="00C20379"/>
    <w:rsid w:val="00C215C2"/>
    <w:rsid w:val="00C22D09"/>
    <w:rsid w:val="00C23592"/>
    <w:rsid w:val="00C24C39"/>
    <w:rsid w:val="00C252DE"/>
    <w:rsid w:val="00C25CF5"/>
    <w:rsid w:val="00C263DC"/>
    <w:rsid w:val="00C2650C"/>
    <w:rsid w:val="00C26F1F"/>
    <w:rsid w:val="00C272F1"/>
    <w:rsid w:val="00C27D1E"/>
    <w:rsid w:val="00C302A7"/>
    <w:rsid w:val="00C3114E"/>
    <w:rsid w:val="00C314C1"/>
    <w:rsid w:val="00C31747"/>
    <w:rsid w:val="00C31A3D"/>
    <w:rsid w:val="00C31B63"/>
    <w:rsid w:val="00C32A29"/>
    <w:rsid w:val="00C32B79"/>
    <w:rsid w:val="00C32FA4"/>
    <w:rsid w:val="00C32FBE"/>
    <w:rsid w:val="00C3363B"/>
    <w:rsid w:val="00C34D32"/>
    <w:rsid w:val="00C350C4"/>
    <w:rsid w:val="00C350F5"/>
    <w:rsid w:val="00C36264"/>
    <w:rsid w:val="00C36910"/>
    <w:rsid w:val="00C369AE"/>
    <w:rsid w:val="00C37423"/>
    <w:rsid w:val="00C37908"/>
    <w:rsid w:val="00C37C4F"/>
    <w:rsid w:val="00C37FBF"/>
    <w:rsid w:val="00C403EE"/>
    <w:rsid w:val="00C40A41"/>
    <w:rsid w:val="00C414A3"/>
    <w:rsid w:val="00C420A2"/>
    <w:rsid w:val="00C4268D"/>
    <w:rsid w:val="00C43196"/>
    <w:rsid w:val="00C433D4"/>
    <w:rsid w:val="00C44839"/>
    <w:rsid w:val="00C44A74"/>
    <w:rsid w:val="00C44B54"/>
    <w:rsid w:val="00C44B97"/>
    <w:rsid w:val="00C46BB1"/>
    <w:rsid w:val="00C46D5A"/>
    <w:rsid w:val="00C46FE4"/>
    <w:rsid w:val="00C47EFA"/>
    <w:rsid w:val="00C503FE"/>
    <w:rsid w:val="00C5086C"/>
    <w:rsid w:val="00C5093B"/>
    <w:rsid w:val="00C51398"/>
    <w:rsid w:val="00C51ACB"/>
    <w:rsid w:val="00C51BC2"/>
    <w:rsid w:val="00C51C87"/>
    <w:rsid w:val="00C5230D"/>
    <w:rsid w:val="00C52345"/>
    <w:rsid w:val="00C52405"/>
    <w:rsid w:val="00C52533"/>
    <w:rsid w:val="00C52CCE"/>
    <w:rsid w:val="00C5554A"/>
    <w:rsid w:val="00C55E48"/>
    <w:rsid w:val="00C56970"/>
    <w:rsid w:val="00C56B44"/>
    <w:rsid w:val="00C56D24"/>
    <w:rsid w:val="00C56F28"/>
    <w:rsid w:val="00C5737D"/>
    <w:rsid w:val="00C57593"/>
    <w:rsid w:val="00C62208"/>
    <w:rsid w:val="00C6458C"/>
    <w:rsid w:val="00C64F27"/>
    <w:rsid w:val="00C6505F"/>
    <w:rsid w:val="00C650E9"/>
    <w:rsid w:val="00C65EE1"/>
    <w:rsid w:val="00C65FCE"/>
    <w:rsid w:val="00C664FD"/>
    <w:rsid w:val="00C66DF4"/>
    <w:rsid w:val="00C673C6"/>
    <w:rsid w:val="00C67D66"/>
    <w:rsid w:val="00C70299"/>
    <w:rsid w:val="00C706BD"/>
    <w:rsid w:val="00C709A1"/>
    <w:rsid w:val="00C70BC1"/>
    <w:rsid w:val="00C70D96"/>
    <w:rsid w:val="00C71604"/>
    <w:rsid w:val="00C71F99"/>
    <w:rsid w:val="00C721CD"/>
    <w:rsid w:val="00C7250F"/>
    <w:rsid w:val="00C73127"/>
    <w:rsid w:val="00C73814"/>
    <w:rsid w:val="00C73D5F"/>
    <w:rsid w:val="00C741F4"/>
    <w:rsid w:val="00C755F0"/>
    <w:rsid w:val="00C76124"/>
    <w:rsid w:val="00C761C9"/>
    <w:rsid w:val="00C76E6B"/>
    <w:rsid w:val="00C77D50"/>
    <w:rsid w:val="00C80723"/>
    <w:rsid w:val="00C80BC2"/>
    <w:rsid w:val="00C816FC"/>
    <w:rsid w:val="00C822DB"/>
    <w:rsid w:val="00C82AED"/>
    <w:rsid w:val="00C83B24"/>
    <w:rsid w:val="00C83C48"/>
    <w:rsid w:val="00C83D15"/>
    <w:rsid w:val="00C83F50"/>
    <w:rsid w:val="00C85AB1"/>
    <w:rsid w:val="00C865CD"/>
    <w:rsid w:val="00C86AFD"/>
    <w:rsid w:val="00C87587"/>
    <w:rsid w:val="00C90639"/>
    <w:rsid w:val="00C907E3"/>
    <w:rsid w:val="00C90975"/>
    <w:rsid w:val="00C91191"/>
    <w:rsid w:val="00C915B7"/>
    <w:rsid w:val="00C91675"/>
    <w:rsid w:val="00C9175A"/>
    <w:rsid w:val="00C91BE6"/>
    <w:rsid w:val="00C927AC"/>
    <w:rsid w:val="00C92DAB"/>
    <w:rsid w:val="00C93355"/>
    <w:rsid w:val="00C940F7"/>
    <w:rsid w:val="00C9565F"/>
    <w:rsid w:val="00C95ADB"/>
    <w:rsid w:val="00C95F80"/>
    <w:rsid w:val="00C96BD3"/>
    <w:rsid w:val="00CA0549"/>
    <w:rsid w:val="00CA170D"/>
    <w:rsid w:val="00CA1F75"/>
    <w:rsid w:val="00CA33D5"/>
    <w:rsid w:val="00CA37C0"/>
    <w:rsid w:val="00CA3818"/>
    <w:rsid w:val="00CA3896"/>
    <w:rsid w:val="00CA4A3D"/>
    <w:rsid w:val="00CA4BD3"/>
    <w:rsid w:val="00CA5550"/>
    <w:rsid w:val="00CA6608"/>
    <w:rsid w:val="00CA67D5"/>
    <w:rsid w:val="00CA7069"/>
    <w:rsid w:val="00CA7A8C"/>
    <w:rsid w:val="00CB029F"/>
    <w:rsid w:val="00CB06B0"/>
    <w:rsid w:val="00CB1380"/>
    <w:rsid w:val="00CB1CB0"/>
    <w:rsid w:val="00CB2D1B"/>
    <w:rsid w:val="00CB37EC"/>
    <w:rsid w:val="00CB42E5"/>
    <w:rsid w:val="00CB4447"/>
    <w:rsid w:val="00CB47E6"/>
    <w:rsid w:val="00CB5D04"/>
    <w:rsid w:val="00CB6096"/>
    <w:rsid w:val="00CB6172"/>
    <w:rsid w:val="00CB679D"/>
    <w:rsid w:val="00CB707D"/>
    <w:rsid w:val="00CB709A"/>
    <w:rsid w:val="00CB74AB"/>
    <w:rsid w:val="00CC0BB6"/>
    <w:rsid w:val="00CC0FF1"/>
    <w:rsid w:val="00CC16B5"/>
    <w:rsid w:val="00CC17EB"/>
    <w:rsid w:val="00CC3BE6"/>
    <w:rsid w:val="00CC4481"/>
    <w:rsid w:val="00CC4EC4"/>
    <w:rsid w:val="00CC54ED"/>
    <w:rsid w:val="00CC5FC4"/>
    <w:rsid w:val="00CC6D19"/>
    <w:rsid w:val="00CC78C0"/>
    <w:rsid w:val="00CC7EC1"/>
    <w:rsid w:val="00CD095D"/>
    <w:rsid w:val="00CD0A31"/>
    <w:rsid w:val="00CD1E2E"/>
    <w:rsid w:val="00CD1FDC"/>
    <w:rsid w:val="00CD27F7"/>
    <w:rsid w:val="00CD3433"/>
    <w:rsid w:val="00CD43F2"/>
    <w:rsid w:val="00CD44D3"/>
    <w:rsid w:val="00CD51D1"/>
    <w:rsid w:val="00CD5742"/>
    <w:rsid w:val="00CD5BFE"/>
    <w:rsid w:val="00CD5DD4"/>
    <w:rsid w:val="00CD6240"/>
    <w:rsid w:val="00CD64F0"/>
    <w:rsid w:val="00CD658F"/>
    <w:rsid w:val="00CD6BFB"/>
    <w:rsid w:val="00CD79D8"/>
    <w:rsid w:val="00CD7BFF"/>
    <w:rsid w:val="00CE05CF"/>
    <w:rsid w:val="00CE09DB"/>
    <w:rsid w:val="00CE0AB2"/>
    <w:rsid w:val="00CE0D95"/>
    <w:rsid w:val="00CE1350"/>
    <w:rsid w:val="00CE1405"/>
    <w:rsid w:val="00CE1EDF"/>
    <w:rsid w:val="00CE2173"/>
    <w:rsid w:val="00CE3BBC"/>
    <w:rsid w:val="00CE3BDE"/>
    <w:rsid w:val="00CE3D80"/>
    <w:rsid w:val="00CE4288"/>
    <w:rsid w:val="00CE590B"/>
    <w:rsid w:val="00CE6659"/>
    <w:rsid w:val="00CE6D89"/>
    <w:rsid w:val="00CE71B3"/>
    <w:rsid w:val="00CF0524"/>
    <w:rsid w:val="00CF0994"/>
    <w:rsid w:val="00CF0D63"/>
    <w:rsid w:val="00CF1609"/>
    <w:rsid w:val="00CF1EB1"/>
    <w:rsid w:val="00CF295A"/>
    <w:rsid w:val="00CF2A03"/>
    <w:rsid w:val="00CF2ED8"/>
    <w:rsid w:val="00CF38B7"/>
    <w:rsid w:val="00CF4A36"/>
    <w:rsid w:val="00CF4E8C"/>
    <w:rsid w:val="00CF6038"/>
    <w:rsid w:val="00CF6083"/>
    <w:rsid w:val="00CF7441"/>
    <w:rsid w:val="00CF76F5"/>
    <w:rsid w:val="00CF7CA8"/>
    <w:rsid w:val="00D000F1"/>
    <w:rsid w:val="00D01FB2"/>
    <w:rsid w:val="00D025C6"/>
    <w:rsid w:val="00D03429"/>
    <w:rsid w:val="00D03501"/>
    <w:rsid w:val="00D0433E"/>
    <w:rsid w:val="00D05DB3"/>
    <w:rsid w:val="00D06BE4"/>
    <w:rsid w:val="00D070C3"/>
    <w:rsid w:val="00D0766B"/>
    <w:rsid w:val="00D07AF0"/>
    <w:rsid w:val="00D108CF"/>
    <w:rsid w:val="00D1135C"/>
    <w:rsid w:val="00D11755"/>
    <w:rsid w:val="00D11A4C"/>
    <w:rsid w:val="00D11DFE"/>
    <w:rsid w:val="00D12BF6"/>
    <w:rsid w:val="00D13596"/>
    <w:rsid w:val="00D13DBE"/>
    <w:rsid w:val="00D15646"/>
    <w:rsid w:val="00D1613A"/>
    <w:rsid w:val="00D1617A"/>
    <w:rsid w:val="00D167B8"/>
    <w:rsid w:val="00D17221"/>
    <w:rsid w:val="00D179C7"/>
    <w:rsid w:val="00D20489"/>
    <w:rsid w:val="00D205CD"/>
    <w:rsid w:val="00D207BE"/>
    <w:rsid w:val="00D20844"/>
    <w:rsid w:val="00D21104"/>
    <w:rsid w:val="00D2240A"/>
    <w:rsid w:val="00D236C6"/>
    <w:rsid w:val="00D23736"/>
    <w:rsid w:val="00D237F8"/>
    <w:rsid w:val="00D23DD4"/>
    <w:rsid w:val="00D242A1"/>
    <w:rsid w:val="00D242D2"/>
    <w:rsid w:val="00D24F32"/>
    <w:rsid w:val="00D251D0"/>
    <w:rsid w:val="00D30650"/>
    <w:rsid w:val="00D30E18"/>
    <w:rsid w:val="00D30EA0"/>
    <w:rsid w:val="00D30FCC"/>
    <w:rsid w:val="00D3162A"/>
    <w:rsid w:val="00D32386"/>
    <w:rsid w:val="00D32B80"/>
    <w:rsid w:val="00D33613"/>
    <w:rsid w:val="00D33618"/>
    <w:rsid w:val="00D336D6"/>
    <w:rsid w:val="00D338AB"/>
    <w:rsid w:val="00D33CD8"/>
    <w:rsid w:val="00D33EF8"/>
    <w:rsid w:val="00D3454D"/>
    <w:rsid w:val="00D3475A"/>
    <w:rsid w:val="00D34968"/>
    <w:rsid w:val="00D34D35"/>
    <w:rsid w:val="00D35389"/>
    <w:rsid w:val="00D359DE"/>
    <w:rsid w:val="00D35DF0"/>
    <w:rsid w:val="00D368AE"/>
    <w:rsid w:val="00D369CA"/>
    <w:rsid w:val="00D375B8"/>
    <w:rsid w:val="00D41729"/>
    <w:rsid w:val="00D41D15"/>
    <w:rsid w:val="00D420AA"/>
    <w:rsid w:val="00D42920"/>
    <w:rsid w:val="00D437D1"/>
    <w:rsid w:val="00D43BDF"/>
    <w:rsid w:val="00D440CA"/>
    <w:rsid w:val="00D44876"/>
    <w:rsid w:val="00D44B50"/>
    <w:rsid w:val="00D44DBA"/>
    <w:rsid w:val="00D45781"/>
    <w:rsid w:val="00D4580B"/>
    <w:rsid w:val="00D46780"/>
    <w:rsid w:val="00D476AB"/>
    <w:rsid w:val="00D50AA4"/>
    <w:rsid w:val="00D51625"/>
    <w:rsid w:val="00D51E9E"/>
    <w:rsid w:val="00D52366"/>
    <w:rsid w:val="00D523E9"/>
    <w:rsid w:val="00D53B98"/>
    <w:rsid w:val="00D5513A"/>
    <w:rsid w:val="00D555AF"/>
    <w:rsid w:val="00D555BF"/>
    <w:rsid w:val="00D565FF"/>
    <w:rsid w:val="00D56B61"/>
    <w:rsid w:val="00D56E09"/>
    <w:rsid w:val="00D5708D"/>
    <w:rsid w:val="00D572AD"/>
    <w:rsid w:val="00D57917"/>
    <w:rsid w:val="00D60233"/>
    <w:rsid w:val="00D60F58"/>
    <w:rsid w:val="00D61607"/>
    <w:rsid w:val="00D61998"/>
    <w:rsid w:val="00D6224F"/>
    <w:rsid w:val="00D62A3C"/>
    <w:rsid w:val="00D62C73"/>
    <w:rsid w:val="00D63DF7"/>
    <w:rsid w:val="00D63FF4"/>
    <w:rsid w:val="00D6406E"/>
    <w:rsid w:val="00D644FF"/>
    <w:rsid w:val="00D648F6"/>
    <w:rsid w:val="00D65A06"/>
    <w:rsid w:val="00D666D6"/>
    <w:rsid w:val="00D672B7"/>
    <w:rsid w:val="00D67308"/>
    <w:rsid w:val="00D67AB7"/>
    <w:rsid w:val="00D67C80"/>
    <w:rsid w:val="00D703D3"/>
    <w:rsid w:val="00D72614"/>
    <w:rsid w:val="00D727AF"/>
    <w:rsid w:val="00D73847"/>
    <w:rsid w:val="00D73FB6"/>
    <w:rsid w:val="00D74A53"/>
    <w:rsid w:val="00D75497"/>
    <w:rsid w:val="00D76D2E"/>
    <w:rsid w:val="00D76FF0"/>
    <w:rsid w:val="00D80719"/>
    <w:rsid w:val="00D808E5"/>
    <w:rsid w:val="00D80A8C"/>
    <w:rsid w:val="00D80E0A"/>
    <w:rsid w:val="00D811E0"/>
    <w:rsid w:val="00D81611"/>
    <w:rsid w:val="00D816C3"/>
    <w:rsid w:val="00D816F3"/>
    <w:rsid w:val="00D81C26"/>
    <w:rsid w:val="00D82144"/>
    <w:rsid w:val="00D83831"/>
    <w:rsid w:val="00D8449D"/>
    <w:rsid w:val="00D8450D"/>
    <w:rsid w:val="00D845C3"/>
    <w:rsid w:val="00D84A56"/>
    <w:rsid w:val="00D8513C"/>
    <w:rsid w:val="00D85712"/>
    <w:rsid w:val="00D85D35"/>
    <w:rsid w:val="00D8634E"/>
    <w:rsid w:val="00D8641C"/>
    <w:rsid w:val="00D86650"/>
    <w:rsid w:val="00D867F9"/>
    <w:rsid w:val="00D86CD1"/>
    <w:rsid w:val="00D91422"/>
    <w:rsid w:val="00D91441"/>
    <w:rsid w:val="00D9242C"/>
    <w:rsid w:val="00D924C3"/>
    <w:rsid w:val="00D938A9"/>
    <w:rsid w:val="00D941DC"/>
    <w:rsid w:val="00D95349"/>
    <w:rsid w:val="00D95653"/>
    <w:rsid w:val="00D95888"/>
    <w:rsid w:val="00D95CA7"/>
    <w:rsid w:val="00D95D46"/>
    <w:rsid w:val="00D96A1F"/>
    <w:rsid w:val="00D96ACE"/>
    <w:rsid w:val="00D97411"/>
    <w:rsid w:val="00DA0027"/>
    <w:rsid w:val="00DA0C8A"/>
    <w:rsid w:val="00DA1258"/>
    <w:rsid w:val="00DA215C"/>
    <w:rsid w:val="00DA25D5"/>
    <w:rsid w:val="00DA3354"/>
    <w:rsid w:val="00DA4D57"/>
    <w:rsid w:val="00DA5E7F"/>
    <w:rsid w:val="00DA6F10"/>
    <w:rsid w:val="00DA6F99"/>
    <w:rsid w:val="00DA721C"/>
    <w:rsid w:val="00DA7D9C"/>
    <w:rsid w:val="00DA7E75"/>
    <w:rsid w:val="00DB02E8"/>
    <w:rsid w:val="00DB0483"/>
    <w:rsid w:val="00DB0C74"/>
    <w:rsid w:val="00DB0EBC"/>
    <w:rsid w:val="00DB2066"/>
    <w:rsid w:val="00DB20EB"/>
    <w:rsid w:val="00DB239B"/>
    <w:rsid w:val="00DB30DD"/>
    <w:rsid w:val="00DB3585"/>
    <w:rsid w:val="00DB391E"/>
    <w:rsid w:val="00DB3C19"/>
    <w:rsid w:val="00DB4323"/>
    <w:rsid w:val="00DB4CCE"/>
    <w:rsid w:val="00DB5707"/>
    <w:rsid w:val="00DB617D"/>
    <w:rsid w:val="00DB7A86"/>
    <w:rsid w:val="00DB7B64"/>
    <w:rsid w:val="00DB7D47"/>
    <w:rsid w:val="00DC2796"/>
    <w:rsid w:val="00DC33DF"/>
    <w:rsid w:val="00DC3BAA"/>
    <w:rsid w:val="00DC46AE"/>
    <w:rsid w:val="00DC4B51"/>
    <w:rsid w:val="00DC4DF1"/>
    <w:rsid w:val="00DC55A3"/>
    <w:rsid w:val="00DC5CDA"/>
    <w:rsid w:val="00DC5FBE"/>
    <w:rsid w:val="00DC6A40"/>
    <w:rsid w:val="00DC6BFD"/>
    <w:rsid w:val="00DC7477"/>
    <w:rsid w:val="00DD0088"/>
    <w:rsid w:val="00DD042E"/>
    <w:rsid w:val="00DD0503"/>
    <w:rsid w:val="00DD095F"/>
    <w:rsid w:val="00DD0DA4"/>
    <w:rsid w:val="00DD250B"/>
    <w:rsid w:val="00DD2598"/>
    <w:rsid w:val="00DD2B69"/>
    <w:rsid w:val="00DD2E51"/>
    <w:rsid w:val="00DD416A"/>
    <w:rsid w:val="00DD4B27"/>
    <w:rsid w:val="00DD58FA"/>
    <w:rsid w:val="00DD5DD8"/>
    <w:rsid w:val="00DD75D9"/>
    <w:rsid w:val="00DE0B0E"/>
    <w:rsid w:val="00DE0CE2"/>
    <w:rsid w:val="00DE13DF"/>
    <w:rsid w:val="00DE1629"/>
    <w:rsid w:val="00DE170D"/>
    <w:rsid w:val="00DE1776"/>
    <w:rsid w:val="00DE1A4B"/>
    <w:rsid w:val="00DE1C27"/>
    <w:rsid w:val="00DE218B"/>
    <w:rsid w:val="00DE3A5C"/>
    <w:rsid w:val="00DE4E1A"/>
    <w:rsid w:val="00DE5D50"/>
    <w:rsid w:val="00DE63F5"/>
    <w:rsid w:val="00DE72E2"/>
    <w:rsid w:val="00DF0321"/>
    <w:rsid w:val="00DF048E"/>
    <w:rsid w:val="00DF2254"/>
    <w:rsid w:val="00DF2C03"/>
    <w:rsid w:val="00DF2E42"/>
    <w:rsid w:val="00DF37D1"/>
    <w:rsid w:val="00DF3BF1"/>
    <w:rsid w:val="00DF421A"/>
    <w:rsid w:val="00DF480A"/>
    <w:rsid w:val="00DF5072"/>
    <w:rsid w:val="00DF5143"/>
    <w:rsid w:val="00DF5271"/>
    <w:rsid w:val="00DF52B9"/>
    <w:rsid w:val="00DF57D6"/>
    <w:rsid w:val="00DF5D57"/>
    <w:rsid w:val="00DF5D84"/>
    <w:rsid w:val="00DF6052"/>
    <w:rsid w:val="00DF656E"/>
    <w:rsid w:val="00DF6C0F"/>
    <w:rsid w:val="00DF7073"/>
    <w:rsid w:val="00DF7B72"/>
    <w:rsid w:val="00DF7C89"/>
    <w:rsid w:val="00DF7DC4"/>
    <w:rsid w:val="00E00E1B"/>
    <w:rsid w:val="00E011E0"/>
    <w:rsid w:val="00E02A69"/>
    <w:rsid w:val="00E046A4"/>
    <w:rsid w:val="00E04F9B"/>
    <w:rsid w:val="00E05412"/>
    <w:rsid w:val="00E058C9"/>
    <w:rsid w:val="00E06057"/>
    <w:rsid w:val="00E063DD"/>
    <w:rsid w:val="00E06812"/>
    <w:rsid w:val="00E06A6D"/>
    <w:rsid w:val="00E07641"/>
    <w:rsid w:val="00E10681"/>
    <w:rsid w:val="00E10D02"/>
    <w:rsid w:val="00E1167C"/>
    <w:rsid w:val="00E11950"/>
    <w:rsid w:val="00E11ADB"/>
    <w:rsid w:val="00E128D7"/>
    <w:rsid w:val="00E12CD6"/>
    <w:rsid w:val="00E12D94"/>
    <w:rsid w:val="00E13052"/>
    <w:rsid w:val="00E13B1C"/>
    <w:rsid w:val="00E143C5"/>
    <w:rsid w:val="00E15D36"/>
    <w:rsid w:val="00E17CDD"/>
    <w:rsid w:val="00E204DD"/>
    <w:rsid w:val="00E20B8C"/>
    <w:rsid w:val="00E21E6D"/>
    <w:rsid w:val="00E22268"/>
    <w:rsid w:val="00E22613"/>
    <w:rsid w:val="00E24AD8"/>
    <w:rsid w:val="00E24EEE"/>
    <w:rsid w:val="00E25507"/>
    <w:rsid w:val="00E26E42"/>
    <w:rsid w:val="00E279B6"/>
    <w:rsid w:val="00E30134"/>
    <w:rsid w:val="00E312D6"/>
    <w:rsid w:val="00E31A95"/>
    <w:rsid w:val="00E33FC4"/>
    <w:rsid w:val="00E34391"/>
    <w:rsid w:val="00E34DDF"/>
    <w:rsid w:val="00E3525E"/>
    <w:rsid w:val="00E35442"/>
    <w:rsid w:val="00E3581E"/>
    <w:rsid w:val="00E3616C"/>
    <w:rsid w:val="00E36978"/>
    <w:rsid w:val="00E37D21"/>
    <w:rsid w:val="00E37F36"/>
    <w:rsid w:val="00E40683"/>
    <w:rsid w:val="00E40F69"/>
    <w:rsid w:val="00E412C1"/>
    <w:rsid w:val="00E4231E"/>
    <w:rsid w:val="00E42474"/>
    <w:rsid w:val="00E426E0"/>
    <w:rsid w:val="00E42764"/>
    <w:rsid w:val="00E42A24"/>
    <w:rsid w:val="00E430CA"/>
    <w:rsid w:val="00E4356B"/>
    <w:rsid w:val="00E4417A"/>
    <w:rsid w:val="00E464E3"/>
    <w:rsid w:val="00E468CC"/>
    <w:rsid w:val="00E46A0A"/>
    <w:rsid w:val="00E4712F"/>
    <w:rsid w:val="00E47CDB"/>
    <w:rsid w:val="00E50F4C"/>
    <w:rsid w:val="00E51C98"/>
    <w:rsid w:val="00E5281F"/>
    <w:rsid w:val="00E52923"/>
    <w:rsid w:val="00E52E0B"/>
    <w:rsid w:val="00E53582"/>
    <w:rsid w:val="00E53F4D"/>
    <w:rsid w:val="00E55CBF"/>
    <w:rsid w:val="00E55E43"/>
    <w:rsid w:val="00E56005"/>
    <w:rsid w:val="00E56CBD"/>
    <w:rsid w:val="00E5763D"/>
    <w:rsid w:val="00E57FD4"/>
    <w:rsid w:val="00E6013E"/>
    <w:rsid w:val="00E60372"/>
    <w:rsid w:val="00E6071D"/>
    <w:rsid w:val="00E609D9"/>
    <w:rsid w:val="00E60D50"/>
    <w:rsid w:val="00E613EA"/>
    <w:rsid w:val="00E61894"/>
    <w:rsid w:val="00E61D4B"/>
    <w:rsid w:val="00E6371E"/>
    <w:rsid w:val="00E65027"/>
    <w:rsid w:val="00E651E9"/>
    <w:rsid w:val="00E65238"/>
    <w:rsid w:val="00E657F5"/>
    <w:rsid w:val="00E65A23"/>
    <w:rsid w:val="00E65CE7"/>
    <w:rsid w:val="00E66F49"/>
    <w:rsid w:val="00E66FD4"/>
    <w:rsid w:val="00E67C29"/>
    <w:rsid w:val="00E67E15"/>
    <w:rsid w:val="00E701EA"/>
    <w:rsid w:val="00E702B8"/>
    <w:rsid w:val="00E7183E"/>
    <w:rsid w:val="00E71A2A"/>
    <w:rsid w:val="00E72069"/>
    <w:rsid w:val="00E7341C"/>
    <w:rsid w:val="00E73622"/>
    <w:rsid w:val="00E74201"/>
    <w:rsid w:val="00E7470B"/>
    <w:rsid w:val="00E747AD"/>
    <w:rsid w:val="00E749A0"/>
    <w:rsid w:val="00E749C6"/>
    <w:rsid w:val="00E74F14"/>
    <w:rsid w:val="00E7591C"/>
    <w:rsid w:val="00E770D6"/>
    <w:rsid w:val="00E801A5"/>
    <w:rsid w:val="00E804BE"/>
    <w:rsid w:val="00E80933"/>
    <w:rsid w:val="00E80B31"/>
    <w:rsid w:val="00E81768"/>
    <w:rsid w:val="00E81AF9"/>
    <w:rsid w:val="00E81BA0"/>
    <w:rsid w:val="00E81E3A"/>
    <w:rsid w:val="00E82091"/>
    <w:rsid w:val="00E82183"/>
    <w:rsid w:val="00E8245C"/>
    <w:rsid w:val="00E8264D"/>
    <w:rsid w:val="00E82833"/>
    <w:rsid w:val="00E82CC8"/>
    <w:rsid w:val="00E832D6"/>
    <w:rsid w:val="00E83876"/>
    <w:rsid w:val="00E839A9"/>
    <w:rsid w:val="00E84A44"/>
    <w:rsid w:val="00E8520D"/>
    <w:rsid w:val="00E8544F"/>
    <w:rsid w:val="00E855D4"/>
    <w:rsid w:val="00E85D02"/>
    <w:rsid w:val="00E85DDD"/>
    <w:rsid w:val="00E860D5"/>
    <w:rsid w:val="00E87468"/>
    <w:rsid w:val="00E87A60"/>
    <w:rsid w:val="00E90EA4"/>
    <w:rsid w:val="00E9172F"/>
    <w:rsid w:val="00E918DD"/>
    <w:rsid w:val="00E91CBB"/>
    <w:rsid w:val="00E92255"/>
    <w:rsid w:val="00E925FC"/>
    <w:rsid w:val="00E927BA"/>
    <w:rsid w:val="00E92D41"/>
    <w:rsid w:val="00E9363C"/>
    <w:rsid w:val="00E9394D"/>
    <w:rsid w:val="00E93BCF"/>
    <w:rsid w:val="00E93C88"/>
    <w:rsid w:val="00E9424E"/>
    <w:rsid w:val="00E950F9"/>
    <w:rsid w:val="00E95318"/>
    <w:rsid w:val="00E9543D"/>
    <w:rsid w:val="00E962EF"/>
    <w:rsid w:val="00E972B1"/>
    <w:rsid w:val="00E97B5E"/>
    <w:rsid w:val="00EA04AC"/>
    <w:rsid w:val="00EA0526"/>
    <w:rsid w:val="00EA14FF"/>
    <w:rsid w:val="00EA1680"/>
    <w:rsid w:val="00EA17FE"/>
    <w:rsid w:val="00EA2F35"/>
    <w:rsid w:val="00EA4218"/>
    <w:rsid w:val="00EA4B31"/>
    <w:rsid w:val="00EA5F16"/>
    <w:rsid w:val="00EA61F8"/>
    <w:rsid w:val="00EA626E"/>
    <w:rsid w:val="00EA6666"/>
    <w:rsid w:val="00EA6C63"/>
    <w:rsid w:val="00EA7E0F"/>
    <w:rsid w:val="00EB0639"/>
    <w:rsid w:val="00EB104D"/>
    <w:rsid w:val="00EB1B0E"/>
    <w:rsid w:val="00EB386C"/>
    <w:rsid w:val="00EB40F6"/>
    <w:rsid w:val="00EB4150"/>
    <w:rsid w:val="00EB4CE4"/>
    <w:rsid w:val="00EB503D"/>
    <w:rsid w:val="00EB62C1"/>
    <w:rsid w:val="00EB66F4"/>
    <w:rsid w:val="00EB68EA"/>
    <w:rsid w:val="00EB772A"/>
    <w:rsid w:val="00EB77FF"/>
    <w:rsid w:val="00EB78BF"/>
    <w:rsid w:val="00EB7A9B"/>
    <w:rsid w:val="00EC00BA"/>
    <w:rsid w:val="00EC0551"/>
    <w:rsid w:val="00EC0813"/>
    <w:rsid w:val="00EC0A51"/>
    <w:rsid w:val="00EC0DAB"/>
    <w:rsid w:val="00EC0E2E"/>
    <w:rsid w:val="00EC16E8"/>
    <w:rsid w:val="00EC1A0E"/>
    <w:rsid w:val="00EC2055"/>
    <w:rsid w:val="00EC241B"/>
    <w:rsid w:val="00EC2E17"/>
    <w:rsid w:val="00EC3219"/>
    <w:rsid w:val="00EC40CD"/>
    <w:rsid w:val="00EC4877"/>
    <w:rsid w:val="00EC4C6C"/>
    <w:rsid w:val="00EC503F"/>
    <w:rsid w:val="00EC5423"/>
    <w:rsid w:val="00EC62D8"/>
    <w:rsid w:val="00EC654F"/>
    <w:rsid w:val="00EC7309"/>
    <w:rsid w:val="00EC7A83"/>
    <w:rsid w:val="00ED045E"/>
    <w:rsid w:val="00ED18F1"/>
    <w:rsid w:val="00ED237E"/>
    <w:rsid w:val="00ED276C"/>
    <w:rsid w:val="00ED29B8"/>
    <w:rsid w:val="00ED2C01"/>
    <w:rsid w:val="00ED2E4A"/>
    <w:rsid w:val="00ED3861"/>
    <w:rsid w:val="00ED595F"/>
    <w:rsid w:val="00ED6159"/>
    <w:rsid w:val="00ED6948"/>
    <w:rsid w:val="00ED7CDA"/>
    <w:rsid w:val="00EE0EBD"/>
    <w:rsid w:val="00EE1FDD"/>
    <w:rsid w:val="00EE3412"/>
    <w:rsid w:val="00EE4587"/>
    <w:rsid w:val="00EE5184"/>
    <w:rsid w:val="00EE51AE"/>
    <w:rsid w:val="00EE52E4"/>
    <w:rsid w:val="00EE539C"/>
    <w:rsid w:val="00EE611F"/>
    <w:rsid w:val="00EE66AB"/>
    <w:rsid w:val="00EE6811"/>
    <w:rsid w:val="00EE6879"/>
    <w:rsid w:val="00EE6C2F"/>
    <w:rsid w:val="00EE6C69"/>
    <w:rsid w:val="00EE7CE1"/>
    <w:rsid w:val="00EF053D"/>
    <w:rsid w:val="00EF0DCF"/>
    <w:rsid w:val="00EF0E05"/>
    <w:rsid w:val="00EF1492"/>
    <w:rsid w:val="00EF1D10"/>
    <w:rsid w:val="00EF27D9"/>
    <w:rsid w:val="00EF38A8"/>
    <w:rsid w:val="00EF3E07"/>
    <w:rsid w:val="00EF41BF"/>
    <w:rsid w:val="00EF4B0C"/>
    <w:rsid w:val="00EF6054"/>
    <w:rsid w:val="00EF6318"/>
    <w:rsid w:val="00EF6821"/>
    <w:rsid w:val="00EF6B5D"/>
    <w:rsid w:val="00EF6FF5"/>
    <w:rsid w:val="00F000B3"/>
    <w:rsid w:val="00F00640"/>
    <w:rsid w:val="00F00A5D"/>
    <w:rsid w:val="00F00C37"/>
    <w:rsid w:val="00F012DE"/>
    <w:rsid w:val="00F01453"/>
    <w:rsid w:val="00F0174F"/>
    <w:rsid w:val="00F01D90"/>
    <w:rsid w:val="00F02098"/>
    <w:rsid w:val="00F021D9"/>
    <w:rsid w:val="00F0383E"/>
    <w:rsid w:val="00F041DD"/>
    <w:rsid w:val="00F0510D"/>
    <w:rsid w:val="00F05289"/>
    <w:rsid w:val="00F06919"/>
    <w:rsid w:val="00F06A05"/>
    <w:rsid w:val="00F07377"/>
    <w:rsid w:val="00F07845"/>
    <w:rsid w:val="00F07E65"/>
    <w:rsid w:val="00F10EB2"/>
    <w:rsid w:val="00F111F9"/>
    <w:rsid w:val="00F11A92"/>
    <w:rsid w:val="00F12ABF"/>
    <w:rsid w:val="00F12BC7"/>
    <w:rsid w:val="00F12C59"/>
    <w:rsid w:val="00F13021"/>
    <w:rsid w:val="00F130CB"/>
    <w:rsid w:val="00F13243"/>
    <w:rsid w:val="00F132A3"/>
    <w:rsid w:val="00F136BA"/>
    <w:rsid w:val="00F13921"/>
    <w:rsid w:val="00F13935"/>
    <w:rsid w:val="00F14A36"/>
    <w:rsid w:val="00F15447"/>
    <w:rsid w:val="00F156E8"/>
    <w:rsid w:val="00F15A8A"/>
    <w:rsid w:val="00F16C12"/>
    <w:rsid w:val="00F17063"/>
    <w:rsid w:val="00F17183"/>
    <w:rsid w:val="00F179BD"/>
    <w:rsid w:val="00F20248"/>
    <w:rsid w:val="00F20664"/>
    <w:rsid w:val="00F20A1B"/>
    <w:rsid w:val="00F20A6B"/>
    <w:rsid w:val="00F20AF5"/>
    <w:rsid w:val="00F20EE3"/>
    <w:rsid w:val="00F223F4"/>
    <w:rsid w:val="00F226ED"/>
    <w:rsid w:val="00F2319E"/>
    <w:rsid w:val="00F23AC9"/>
    <w:rsid w:val="00F2485F"/>
    <w:rsid w:val="00F252B3"/>
    <w:rsid w:val="00F256F5"/>
    <w:rsid w:val="00F27567"/>
    <w:rsid w:val="00F30E2F"/>
    <w:rsid w:val="00F30F81"/>
    <w:rsid w:val="00F3147D"/>
    <w:rsid w:val="00F31706"/>
    <w:rsid w:val="00F31E4A"/>
    <w:rsid w:val="00F32985"/>
    <w:rsid w:val="00F331FC"/>
    <w:rsid w:val="00F3373F"/>
    <w:rsid w:val="00F343F7"/>
    <w:rsid w:val="00F344E5"/>
    <w:rsid w:val="00F34FE6"/>
    <w:rsid w:val="00F35781"/>
    <w:rsid w:val="00F3590B"/>
    <w:rsid w:val="00F3617E"/>
    <w:rsid w:val="00F36EAA"/>
    <w:rsid w:val="00F374DC"/>
    <w:rsid w:val="00F409B5"/>
    <w:rsid w:val="00F40ADB"/>
    <w:rsid w:val="00F43EFE"/>
    <w:rsid w:val="00F45B42"/>
    <w:rsid w:val="00F45CD6"/>
    <w:rsid w:val="00F45D30"/>
    <w:rsid w:val="00F504BA"/>
    <w:rsid w:val="00F50D47"/>
    <w:rsid w:val="00F514EB"/>
    <w:rsid w:val="00F51861"/>
    <w:rsid w:val="00F51CE1"/>
    <w:rsid w:val="00F5323E"/>
    <w:rsid w:val="00F5424C"/>
    <w:rsid w:val="00F54EEB"/>
    <w:rsid w:val="00F558B6"/>
    <w:rsid w:val="00F560B2"/>
    <w:rsid w:val="00F5659D"/>
    <w:rsid w:val="00F56E25"/>
    <w:rsid w:val="00F571E1"/>
    <w:rsid w:val="00F5730E"/>
    <w:rsid w:val="00F5782D"/>
    <w:rsid w:val="00F60A24"/>
    <w:rsid w:val="00F60B09"/>
    <w:rsid w:val="00F6133D"/>
    <w:rsid w:val="00F6143F"/>
    <w:rsid w:val="00F614C0"/>
    <w:rsid w:val="00F61B7C"/>
    <w:rsid w:val="00F61CC4"/>
    <w:rsid w:val="00F635BE"/>
    <w:rsid w:val="00F63688"/>
    <w:rsid w:val="00F63BE7"/>
    <w:rsid w:val="00F63DB4"/>
    <w:rsid w:val="00F64545"/>
    <w:rsid w:val="00F64720"/>
    <w:rsid w:val="00F66658"/>
    <w:rsid w:val="00F66785"/>
    <w:rsid w:val="00F66AD0"/>
    <w:rsid w:val="00F670DA"/>
    <w:rsid w:val="00F67BFD"/>
    <w:rsid w:val="00F67FC7"/>
    <w:rsid w:val="00F716AE"/>
    <w:rsid w:val="00F71F8D"/>
    <w:rsid w:val="00F72451"/>
    <w:rsid w:val="00F727A6"/>
    <w:rsid w:val="00F72B49"/>
    <w:rsid w:val="00F72E38"/>
    <w:rsid w:val="00F72F7C"/>
    <w:rsid w:val="00F731DF"/>
    <w:rsid w:val="00F73B42"/>
    <w:rsid w:val="00F73E36"/>
    <w:rsid w:val="00F7414C"/>
    <w:rsid w:val="00F74B14"/>
    <w:rsid w:val="00F75F16"/>
    <w:rsid w:val="00F779E3"/>
    <w:rsid w:val="00F77C19"/>
    <w:rsid w:val="00F803A4"/>
    <w:rsid w:val="00F81270"/>
    <w:rsid w:val="00F813BF"/>
    <w:rsid w:val="00F8248A"/>
    <w:rsid w:val="00F82B64"/>
    <w:rsid w:val="00F83652"/>
    <w:rsid w:val="00F83CF6"/>
    <w:rsid w:val="00F8545F"/>
    <w:rsid w:val="00F8567D"/>
    <w:rsid w:val="00F8672C"/>
    <w:rsid w:val="00F871C4"/>
    <w:rsid w:val="00F87C2C"/>
    <w:rsid w:val="00F87F1A"/>
    <w:rsid w:val="00F90576"/>
    <w:rsid w:val="00F90B4A"/>
    <w:rsid w:val="00F913FF"/>
    <w:rsid w:val="00F9159F"/>
    <w:rsid w:val="00F91A1D"/>
    <w:rsid w:val="00F91AF0"/>
    <w:rsid w:val="00F91BDB"/>
    <w:rsid w:val="00F91C5E"/>
    <w:rsid w:val="00F928A3"/>
    <w:rsid w:val="00F93EC8"/>
    <w:rsid w:val="00F9444C"/>
    <w:rsid w:val="00F94A42"/>
    <w:rsid w:val="00F94A94"/>
    <w:rsid w:val="00F9535E"/>
    <w:rsid w:val="00F95D47"/>
    <w:rsid w:val="00F97760"/>
    <w:rsid w:val="00F97936"/>
    <w:rsid w:val="00F97C42"/>
    <w:rsid w:val="00F97D40"/>
    <w:rsid w:val="00F97EC7"/>
    <w:rsid w:val="00FA0097"/>
    <w:rsid w:val="00FA0AFF"/>
    <w:rsid w:val="00FA0C21"/>
    <w:rsid w:val="00FA15AA"/>
    <w:rsid w:val="00FA2634"/>
    <w:rsid w:val="00FA2CB9"/>
    <w:rsid w:val="00FA2FF8"/>
    <w:rsid w:val="00FA3A0B"/>
    <w:rsid w:val="00FA52EB"/>
    <w:rsid w:val="00FA6337"/>
    <w:rsid w:val="00FA6C63"/>
    <w:rsid w:val="00FA7422"/>
    <w:rsid w:val="00FA757A"/>
    <w:rsid w:val="00FA7D0D"/>
    <w:rsid w:val="00FB0A76"/>
    <w:rsid w:val="00FB0C1B"/>
    <w:rsid w:val="00FB0CF9"/>
    <w:rsid w:val="00FB1208"/>
    <w:rsid w:val="00FB192A"/>
    <w:rsid w:val="00FB1ADF"/>
    <w:rsid w:val="00FB1DFF"/>
    <w:rsid w:val="00FB27D5"/>
    <w:rsid w:val="00FB2A8F"/>
    <w:rsid w:val="00FB311A"/>
    <w:rsid w:val="00FB4AA4"/>
    <w:rsid w:val="00FB6B54"/>
    <w:rsid w:val="00FB743B"/>
    <w:rsid w:val="00FB7AB8"/>
    <w:rsid w:val="00FC01E6"/>
    <w:rsid w:val="00FC02D4"/>
    <w:rsid w:val="00FC076C"/>
    <w:rsid w:val="00FC084A"/>
    <w:rsid w:val="00FC1259"/>
    <w:rsid w:val="00FC1B47"/>
    <w:rsid w:val="00FC1FBA"/>
    <w:rsid w:val="00FC2624"/>
    <w:rsid w:val="00FC2F3B"/>
    <w:rsid w:val="00FC2F58"/>
    <w:rsid w:val="00FC2F6E"/>
    <w:rsid w:val="00FC36EC"/>
    <w:rsid w:val="00FC424B"/>
    <w:rsid w:val="00FC5394"/>
    <w:rsid w:val="00FC648A"/>
    <w:rsid w:val="00FC6643"/>
    <w:rsid w:val="00FC6E4C"/>
    <w:rsid w:val="00FC6F39"/>
    <w:rsid w:val="00FC6F55"/>
    <w:rsid w:val="00FC70FA"/>
    <w:rsid w:val="00FC7A46"/>
    <w:rsid w:val="00FD0153"/>
    <w:rsid w:val="00FD1067"/>
    <w:rsid w:val="00FD10C7"/>
    <w:rsid w:val="00FD238F"/>
    <w:rsid w:val="00FD38BE"/>
    <w:rsid w:val="00FD41B2"/>
    <w:rsid w:val="00FD4D34"/>
    <w:rsid w:val="00FD545D"/>
    <w:rsid w:val="00FD57D4"/>
    <w:rsid w:val="00FD61C1"/>
    <w:rsid w:val="00FE00A5"/>
    <w:rsid w:val="00FE00B5"/>
    <w:rsid w:val="00FE1733"/>
    <w:rsid w:val="00FE18CB"/>
    <w:rsid w:val="00FE1F27"/>
    <w:rsid w:val="00FE1F73"/>
    <w:rsid w:val="00FE1FFF"/>
    <w:rsid w:val="00FE29B3"/>
    <w:rsid w:val="00FE2BF1"/>
    <w:rsid w:val="00FE3630"/>
    <w:rsid w:val="00FE3A87"/>
    <w:rsid w:val="00FE5B85"/>
    <w:rsid w:val="00FE65B8"/>
    <w:rsid w:val="00FE6720"/>
    <w:rsid w:val="00FE6848"/>
    <w:rsid w:val="00FE6978"/>
    <w:rsid w:val="00FF0551"/>
    <w:rsid w:val="00FF098C"/>
    <w:rsid w:val="00FF2B9C"/>
    <w:rsid w:val="00FF3B4B"/>
    <w:rsid w:val="00FF40CF"/>
    <w:rsid w:val="00FF4C3E"/>
    <w:rsid w:val="00FF541E"/>
    <w:rsid w:val="00FF5CB4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137D08"/>
  <w15:docId w15:val="{A3BE1E0C-8958-4DDB-A1DF-61B824BF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505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0D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qFormat/>
    <w:rsid w:val="008A3D25"/>
    <w:pPr>
      <w:keepNext/>
      <w:suppressAutoHyphens/>
      <w:spacing w:after="120"/>
      <w:outlineLvl w:val="2"/>
    </w:pPr>
    <w:rPr>
      <w:rFonts w:eastAsia="Times New Roman"/>
      <w:b/>
      <w:sz w:val="26"/>
      <w:szCs w:val="20"/>
      <w:lang w:eastAsia="en-US"/>
    </w:rPr>
  </w:style>
  <w:style w:type="paragraph" w:styleId="Heading4">
    <w:name w:val="heading 4"/>
    <w:basedOn w:val="Normal"/>
    <w:next w:val="Normal"/>
    <w:qFormat/>
    <w:rsid w:val="008A3D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5456"/>
    <w:rPr>
      <w:color w:val="0000FF"/>
      <w:u w:val="single"/>
    </w:rPr>
  </w:style>
  <w:style w:type="paragraph" w:customStyle="1" w:styleId="TableRow">
    <w:name w:val="Table Row"/>
    <w:basedOn w:val="Normal"/>
    <w:rsid w:val="008A3D25"/>
    <w:pPr>
      <w:keepNext/>
      <w:keepLines/>
      <w:suppressAutoHyphens/>
      <w:spacing w:before="20" w:after="20"/>
      <w:jc w:val="both"/>
    </w:pPr>
    <w:rPr>
      <w:rFonts w:eastAsia="Times New Roman"/>
      <w:szCs w:val="20"/>
      <w:lang w:eastAsia="en-US"/>
    </w:rPr>
  </w:style>
  <w:style w:type="paragraph" w:styleId="Caption">
    <w:name w:val="caption"/>
    <w:basedOn w:val="Normal"/>
    <w:next w:val="Normal"/>
    <w:qFormat/>
    <w:rsid w:val="008A3D25"/>
    <w:pPr>
      <w:keepNext/>
      <w:keepLines/>
      <w:tabs>
        <w:tab w:val="right" w:pos="9360"/>
      </w:tabs>
      <w:suppressAutoHyphens/>
      <w:spacing w:after="120"/>
      <w:ind w:firstLine="288"/>
      <w:jc w:val="both"/>
    </w:pPr>
    <w:rPr>
      <w:rFonts w:ascii="Times New Roman Bold" w:eastAsia="Times New Roman" w:hAnsi="Times New Roman Bold"/>
      <w:b/>
      <w:sz w:val="22"/>
      <w:szCs w:val="20"/>
      <w:lang w:eastAsia="en-US"/>
    </w:rPr>
  </w:style>
  <w:style w:type="character" w:customStyle="1" w:styleId="EquationCaption">
    <w:name w:val="_Equation Caption"/>
    <w:rsid w:val="00F5323E"/>
  </w:style>
  <w:style w:type="table" w:styleId="TableGrid">
    <w:name w:val="Table Grid"/>
    <w:basedOn w:val="TableNormal"/>
    <w:rsid w:val="00871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Table">
    <w:name w:val="Caption Table"/>
    <w:basedOn w:val="Normal"/>
    <w:next w:val="Normal"/>
    <w:link w:val="CaptionTableChar"/>
    <w:rsid w:val="0046661F"/>
    <w:pPr>
      <w:keepNext/>
      <w:spacing w:after="120"/>
      <w:ind w:left="1080" w:hanging="1080"/>
    </w:pPr>
    <w:rPr>
      <w:rFonts w:ascii="Arial" w:eastAsia="Times New Roman" w:hAnsi="Arial" w:cs="Arial"/>
      <w:b/>
      <w:bCs/>
      <w:snapToGrid w:val="0"/>
      <w:color w:val="000000"/>
      <w:sz w:val="18"/>
      <w:szCs w:val="18"/>
      <w:lang w:eastAsia="en-US"/>
    </w:rPr>
  </w:style>
  <w:style w:type="character" w:customStyle="1" w:styleId="CaptionTableChar">
    <w:name w:val="Caption Table Char"/>
    <w:link w:val="CaptionTable"/>
    <w:rsid w:val="0046661F"/>
    <w:rPr>
      <w:rFonts w:ascii="Arial" w:hAnsi="Arial" w:cs="Arial"/>
      <w:b/>
      <w:bCs/>
      <w:snapToGrid w:val="0"/>
      <w:color w:val="000000"/>
      <w:sz w:val="18"/>
      <w:szCs w:val="18"/>
      <w:lang w:val="en-US" w:eastAsia="en-US" w:bidi="ar-SA"/>
    </w:rPr>
  </w:style>
  <w:style w:type="character" w:styleId="CommentReference">
    <w:name w:val="annotation reference"/>
    <w:uiPriority w:val="99"/>
    <w:semiHidden/>
    <w:rsid w:val="00C16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1632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16323"/>
    <w:rPr>
      <w:b/>
      <w:bCs/>
    </w:rPr>
  </w:style>
  <w:style w:type="paragraph" w:styleId="BalloonText">
    <w:name w:val="Balloon Text"/>
    <w:basedOn w:val="Normal"/>
    <w:semiHidden/>
    <w:rsid w:val="00C16323"/>
    <w:rPr>
      <w:rFonts w:ascii="Tahoma" w:hAnsi="Tahoma" w:cs="Tahoma"/>
      <w:sz w:val="16"/>
      <w:szCs w:val="16"/>
    </w:rPr>
  </w:style>
  <w:style w:type="paragraph" w:customStyle="1" w:styleId="Captiontitle">
    <w:name w:val="Caption title"/>
    <w:basedOn w:val="Caption"/>
    <w:link w:val="CaptiontitleChar1"/>
    <w:rsid w:val="0009416F"/>
    <w:rPr>
      <w:rFonts w:ascii="Times New Roman" w:hAnsi="Times New Roman"/>
      <w:b w:val="0"/>
      <w:bCs/>
    </w:rPr>
  </w:style>
  <w:style w:type="character" w:customStyle="1" w:styleId="CaptiontitleChar1">
    <w:name w:val="Caption title Char1"/>
    <w:link w:val="Captiontitle"/>
    <w:rsid w:val="0009416F"/>
    <w:rPr>
      <w:bCs/>
      <w:sz w:val="22"/>
      <w:lang w:val="en-US" w:eastAsia="en-US" w:bidi="ar-SA"/>
    </w:rPr>
  </w:style>
  <w:style w:type="paragraph" w:customStyle="1" w:styleId="OEOPg-Citation">
    <w:name w:val="OEO Pg-Citation"/>
    <w:basedOn w:val="Normal"/>
    <w:rsid w:val="005E117C"/>
    <w:pPr>
      <w:framePr w:hSpace="187" w:wrap="around" w:hAnchor="margin" w:yAlign="center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uppressAutoHyphens/>
      <w:ind w:left="720" w:hanging="720"/>
      <w:jc w:val="both"/>
    </w:pPr>
    <w:rPr>
      <w:rFonts w:eastAsia="Times New Roman"/>
      <w:i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rsid w:val="006D5951"/>
    <w:pPr>
      <w:widowControl w:val="0"/>
      <w:tabs>
        <w:tab w:val="left" w:pos="720"/>
      </w:tabs>
      <w:suppressAutoHyphens/>
      <w:ind w:left="720" w:hanging="720"/>
      <w:jc w:val="both"/>
    </w:pPr>
    <w:rPr>
      <w:rFonts w:eastAsia="Times New Roman"/>
      <w:spacing w:val="-3"/>
      <w:szCs w:val="20"/>
      <w:lang w:eastAsia="en-US"/>
    </w:rPr>
  </w:style>
  <w:style w:type="paragraph" w:styleId="NoSpacing">
    <w:name w:val="No Spacing"/>
    <w:qFormat/>
    <w:rsid w:val="0049196C"/>
    <w:rPr>
      <w:rFonts w:ascii="Calibri" w:eastAsia="Times New Roman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E66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15E2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15E21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715E2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15E21"/>
    <w:rPr>
      <w:sz w:val="24"/>
      <w:szCs w:val="24"/>
      <w:lang w:eastAsia="ja-JP"/>
    </w:rPr>
  </w:style>
  <w:style w:type="table" w:styleId="TableClassic1">
    <w:name w:val="Table Classic 1"/>
    <w:basedOn w:val="TableNormal"/>
    <w:rsid w:val="00F5782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C87587"/>
    <w:rPr>
      <w:sz w:val="24"/>
      <w:szCs w:val="24"/>
    </w:rPr>
  </w:style>
  <w:style w:type="paragraph" w:customStyle="1" w:styleId="Lit-Cited">
    <w:name w:val="Lit-Cited"/>
    <w:basedOn w:val="Normal"/>
    <w:rsid w:val="00E67E15"/>
    <w:pPr>
      <w:keepLines/>
      <w:suppressAutoHyphens/>
      <w:spacing w:after="120"/>
      <w:ind w:left="288" w:hanging="288"/>
      <w:jc w:val="both"/>
    </w:pPr>
    <w:rPr>
      <w:rFonts w:eastAsia="Times New Roman"/>
      <w:sz w:val="20"/>
      <w:szCs w:val="20"/>
      <w:lang w:eastAsia="en-US"/>
    </w:rPr>
  </w:style>
  <w:style w:type="paragraph" w:customStyle="1" w:styleId="Default">
    <w:name w:val="Default"/>
    <w:rsid w:val="00D74A5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E6879"/>
    <w:rPr>
      <w:color w:val="808080"/>
    </w:rPr>
  </w:style>
  <w:style w:type="character" w:styleId="LineNumber">
    <w:name w:val="line number"/>
    <w:basedOn w:val="DefaultParagraphFont"/>
    <w:rsid w:val="003944A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E31"/>
  </w:style>
  <w:style w:type="paragraph" w:customStyle="1" w:styleId="Body">
    <w:name w:val="Body"/>
    <w:rsid w:val="002F5821"/>
    <w:rPr>
      <w:rFonts w:eastAsia="Arial Unicode MS" w:hAnsi="Arial Unicode MS" w:cs="Arial Unicode MS"/>
      <w:color w:val="000000"/>
      <w:sz w:val="24"/>
      <w:szCs w:val="24"/>
      <w:u w:color="000000"/>
      <w:lang w:eastAsia="en-US"/>
    </w:rPr>
  </w:style>
  <w:style w:type="paragraph" w:styleId="EndnoteText">
    <w:name w:val="endnote text"/>
    <w:basedOn w:val="Normal"/>
    <w:link w:val="EndnoteTextChar"/>
    <w:rsid w:val="00A54F9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54F95"/>
  </w:style>
  <w:style w:type="character" w:styleId="EndnoteReference">
    <w:name w:val="endnote reference"/>
    <w:basedOn w:val="DefaultParagraphFont"/>
    <w:rsid w:val="00A54F95"/>
    <w:rPr>
      <w:vertAlign w:val="superscript"/>
    </w:rPr>
  </w:style>
  <w:style w:type="character" w:customStyle="1" w:styleId="BodyTextIndent3Char">
    <w:name w:val="Body Text Indent 3 Char"/>
    <w:basedOn w:val="DefaultParagraphFont"/>
    <w:link w:val="BodyTextIndent3"/>
    <w:rsid w:val="004F6B06"/>
    <w:rPr>
      <w:rFonts w:eastAsia="Times New Roman"/>
      <w:spacing w:val="-3"/>
      <w:sz w:val="24"/>
      <w:lang w:eastAsia="en-US"/>
    </w:rPr>
  </w:style>
  <w:style w:type="character" w:customStyle="1" w:styleId="italic">
    <w:name w:val="italic"/>
    <w:basedOn w:val="DefaultParagraphFont"/>
    <w:rsid w:val="00BC71D1"/>
  </w:style>
  <w:style w:type="character" w:customStyle="1" w:styleId="Heading1Char">
    <w:name w:val="Heading 1 Char"/>
    <w:basedOn w:val="DefaultParagraphFont"/>
    <w:link w:val="Heading1"/>
    <w:rsid w:val="00EC0D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8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2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6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9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26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5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image" Target="media/image15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9.bin"/><Relationship Id="rId41" Type="http://schemas.openxmlformats.org/officeDocument/2006/relationships/image" Target="media/image16.w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image" Target="media/image8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8.wmf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3.bin"/><Relationship Id="rId49" Type="http://schemas.openxmlformats.org/officeDocument/2006/relationships/footer" Target="footer1.xml"/><Relationship Id="rId10" Type="http://schemas.openxmlformats.org/officeDocument/2006/relationships/chart" Target="charts/chart1.xml"/><Relationship Id="rId19" Type="http://schemas.openxmlformats.org/officeDocument/2006/relationships/oleObject" Target="embeddings/oleObject4.bin"/><Relationship Id="rId31" Type="http://schemas.openxmlformats.org/officeDocument/2006/relationships/image" Target="media/image11.wmf"/><Relationship Id="rId44" Type="http://schemas.openxmlformats.org/officeDocument/2006/relationships/oleObject" Target="embeddings/oleObject17.bin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Jie.Zheng@alaska.gov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header" Target="header2.xml"/><Relationship Id="rId8" Type="http://schemas.openxmlformats.org/officeDocument/2006/relationships/hyperlink" Target="mailto:Toshihide.Hamazaki@alaska.gov" TargetMode="External"/><Relationship Id="rId51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Projects\Norton_Sound\NSCrab\Prediction_model\2019\SAFE2019\NSRKC_SAFE2019\Tabl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927003808079058"/>
          <c:y val="2.0636428384840266E-2"/>
          <c:w val="0.83308366441731141"/>
          <c:h val="0.78102478949874965"/>
        </c:manualLayout>
      </c:layout>
      <c:scatterChart>
        <c:scatterStyle val="smoothMarker"/>
        <c:varyColors val="0"/>
        <c:ser>
          <c:idx val="2"/>
          <c:order val="0"/>
          <c:tx>
            <c:strRef>
              <c:f>'OFL (2)'!$F$2</c:f>
              <c:strCache>
                <c:ptCount val="1"/>
                <c:pt idx="0">
                  <c:v>OFL</c:v>
                </c:pt>
              </c:strCache>
            </c:strRef>
          </c:tx>
          <c:spPr>
            <a:ln cmpd="sng">
              <a:solidFill>
                <a:schemeClr val="tx1">
                  <a:shade val="95000"/>
                  <a:satMod val="105000"/>
                </a:schemeClr>
              </a:solidFill>
              <a:prstDash val="solid"/>
            </a:ln>
          </c:spPr>
          <c:marker>
            <c:symbol val="none"/>
          </c:marker>
          <c:errBars>
            <c:errDir val="y"/>
            <c:errBarType val="minus"/>
            <c:errValType val="percentage"/>
            <c:noEndCap val="1"/>
            <c:val val="100"/>
            <c:spPr>
              <a:ln w="25400">
                <a:solidFill>
                  <a:schemeClr val="tx1">
                    <a:shade val="95000"/>
                    <a:satMod val="105000"/>
                  </a:schemeClr>
                </a:solidFill>
              </a:ln>
            </c:spPr>
          </c:errBars>
          <c:xVal>
            <c:numRef>
              <c:f>'OFL (2)'!$G$2</c:f>
              <c:numCache>
                <c:formatCode>General</c:formatCode>
                <c:ptCount val="1"/>
                <c:pt idx="0">
                  <c:v>0.24</c:v>
                </c:pt>
              </c:numCache>
            </c:numRef>
          </c:xVal>
          <c:yVal>
            <c:numRef>
              <c:f>'OFL (2)'!$R$1</c:f>
              <c:numCache>
                <c:formatCode>0.00E+00</c:formatCode>
                <c:ptCount val="1"/>
                <c:pt idx="0">
                  <c:v>6.7449899999999996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74C6-4CBA-AF5B-CF9EA9074FE9}"/>
            </c:ext>
          </c:extLst>
        </c:ser>
        <c:ser>
          <c:idx val="5"/>
          <c:order val="1"/>
          <c:tx>
            <c:strRef>
              <c:f>'OFL (2)'!$F$3</c:f>
              <c:strCache>
                <c:ptCount val="1"/>
                <c:pt idx="0">
                  <c:v>0.8*OFL</c:v>
                </c:pt>
              </c:strCache>
            </c:strRef>
          </c:tx>
          <c:spPr>
            <a:ln w="25400">
              <a:solidFill>
                <a:schemeClr val="tx1">
                  <a:shade val="95000"/>
                  <a:satMod val="105000"/>
                </a:schemeClr>
              </a:solidFill>
              <a:prstDash val="dash"/>
            </a:ln>
          </c:spPr>
          <c:marker>
            <c:symbol val="none"/>
          </c:marker>
          <c:errBars>
            <c:errDir val="y"/>
            <c:errBarType val="minus"/>
            <c:errValType val="percentage"/>
            <c:noEndCap val="1"/>
            <c:val val="100"/>
            <c:spPr>
              <a:ln w="28575">
                <a:solidFill>
                  <a:schemeClr val="tx1">
                    <a:shade val="95000"/>
                    <a:satMod val="105000"/>
                  </a:schemeClr>
                </a:solidFill>
                <a:prstDash val="dash"/>
              </a:ln>
            </c:spPr>
          </c:errBars>
          <c:xVal>
            <c:numRef>
              <c:f>'OFL (2)'!$G$3</c:f>
              <c:numCache>
                <c:formatCode>0.000</c:formatCode>
                <c:ptCount val="1"/>
                <c:pt idx="0">
                  <c:v>0.192</c:v>
                </c:pt>
              </c:numCache>
            </c:numRef>
          </c:xVal>
          <c:yVal>
            <c:numRef>
              <c:f>'OFL (2)'!$R$1</c:f>
              <c:numCache>
                <c:formatCode>0.00E+00</c:formatCode>
                <c:ptCount val="1"/>
                <c:pt idx="0">
                  <c:v>6.7449899999999996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74C6-4CBA-AF5B-CF9EA9074FE9}"/>
            </c:ext>
          </c:extLst>
        </c:ser>
        <c:ser>
          <c:idx val="0"/>
          <c:order val="2"/>
          <c:spPr>
            <a:ln w="25400">
              <a:solidFill>
                <a:schemeClr val="tx1">
                  <a:shade val="95000"/>
                  <a:satMod val="105000"/>
                </a:schemeClr>
              </a:solidFill>
              <a:prstDash val="sysDot"/>
            </a:ln>
          </c:spPr>
          <c:marker>
            <c:symbol val="none"/>
          </c:marker>
          <c:xVal>
            <c:numRef>
              <c:f>'OFL (2)'!$Q$2:$Q$54</c:f>
              <c:numCache>
                <c:formatCode>General</c:formatCode>
                <c:ptCount val="53"/>
                <c:pt idx="0">
                  <c:v>2.60009E-2</c:v>
                </c:pt>
                <c:pt idx="1">
                  <c:v>4.3907599999999998E-2</c:v>
                </c:pt>
                <c:pt idx="2">
                  <c:v>6.1814399999999999E-2</c:v>
                </c:pt>
                <c:pt idx="3">
                  <c:v>7.9721200000000006E-2</c:v>
                </c:pt>
                <c:pt idx="4">
                  <c:v>9.7627900000000004E-2</c:v>
                </c:pt>
                <c:pt idx="5">
                  <c:v>0.115535</c:v>
                </c:pt>
                <c:pt idx="6">
                  <c:v>0.133441</c:v>
                </c:pt>
                <c:pt idx="7">
                  <c:v>0.15134800000000001</c:v>
                </c:pt>
                <c:pt idx="8">
                  <c:v>0.16925499999999999</c:v>
                </c:pt>
                <c:pt idx="9">
                  <c:v>0.187162</c:v>
                </c:pt>
                <c:pt idx="10">
                  <c:v>0.205068</c:v>
                </c:pt>
                <c:pt idx="11">
                  <c:v>0.22297500000000001</c:v>
                </c:pt>
                <c:pt idx="12">
                  <c:v>0.24088200000000001</c:v>
                </c:pt>
                <c:pt idx="13">
                  <c:v>0.25878899999999999</c:v>
                </c:pt>
                <c:pt idx="14">
                  <c:v>0.276696</c:v>
                </c:pt>
                <c:pt idx="15">
                  <c:v>0.29460199999999997</c:v>
                </c:pt>
                <c:pt idx="16">
                  <c:v>0.31250899999999998</c:v>
                </c:pt>
                <c:pt idx="17">
                  <c:v>0.33041599999999999</c:v>
                </c:pt>
                <c:pt idx="18">
                  <c:v>0.34832299999999999</c:v>
                </c:pt>
                <c:pt idx="19">
                  <c:v>0.36622900000000003</c:v>
                </c:pt>
                <c:pt idx="20">
                  <c:v>0.38413599999999998</c:v>
                </c:pt>
                <c:pt idx="21">
                  <c:v>0.40204299999999998</c:v>
                </c:pt>
                <c:pt idx="22">
                  <c:v>0.41994999999999999</c:v>
                </c:pt>
                <c:pt idx="23">
                  <c:v>0.43785600000000002</c:v>
                </c:pt>
                <c:pt idx="24">
                  <c:v>0.45576299999999997</c:v>
                </c:pt>
                <c:pt idx="25">
                  <c:v>0.47366999999999998</c:v>
                </c:pt>
                <c:pt idx="26">
                  <c:v>0.49157699999999999</c:v>
                </c:pt>
                <c:pt idx="27">
                  <c:v>0.50948300000000002</c:v>
                </c:pt>
                <c:pt idx="28">
                  <c:v>0.52739000000000003</c:v>
                </c:pt>
                <c:pt idx="29">
                  <c:v>0.54529700000000003</c:v>
                </c:pt>
                <c:pt idx="30">
                  <c:v>0.56320400000000004</c:v>
                </c:pt>
                <c:pt idx="31">
                  <c:v>0.58111000000000002</c:v>
                </c:pt>
                <c:pt idx="32">
                  <c:v>0.59901700000000002</c:v>
                </c:pt>
                <c:pt idx="33">
                  <c:v>0.61692400000000003</c:v>
                </c:pt>
                <c:pt idx="34">
                  <c:v>0.63483100000000003</c:v>
                </c:pt>
                <c:pt idx="35">
                  <c:v>0.65273700000000001</c:v>
                </c:pt>
                <c:pt idx="36">
                  <c:v>0.67064400000000002</c:v>
                </c:pt>
              </c:numCache>
            </c:numRef>
          </c:xVal>
          <c:yVal>
            <c:numRef>
              <c:f>'OFL (2)'!$S$2:$S$54</c:f>
              <c:numCache>
                <c:formatCode>General</c:formatCode>
                <c:ptCount val="53"/>
                <c:pt idx="0">
                  <c:v>0</c:v>
                </c:pt>
                <c:pt idx="1">
                  <c:v>2.7922400000000001E-4</c:v>
                </c:pt>
                <c:pt idx="2">
                  <c:v>2.2337899999999998E-3</c:v>
                </c:pt>
                <c:pt idx="3">
                  <c:v>9.5494699999999991E-3</c:v>
                </c:pt>
                <c:pt idx="4">
                  <c:v>6.9806000000000007E-2</c:v>
                </c:pt>
                <c:pt idx="5">
                  <c:v>0.26526300000000003</c:v>
                </c:pt>
                <c:pt idx="6">
                  <c:v>0.77786299999999997</c:v>
                </c:pt>
                <c:pt idx="7">
                  <c:v>1.7869200000000001</c:v>
                </c:pt>
                <c:pt idx="8">
                  <c:v>3.21286</c:v>
                </c:pt>
                <c:pt idx="9">
                  <c:v>4.8903299999999996</c:v>
                </c:pt>
                <c:pt idx="10">
                  <c:v>6.1194199999999999</c:v>
                </c:pt>
                <c:pt idx="11">
                  <c:v>6.7449899999999996</c:v>
                </c:pt>
                <c:pt idx="12">
                  <c:v>6.7243899999999996</c:v>
                </c:pt>
                <c:pt idx="13">
                  <c:v>6.1295299999999999</c:v>
                </c:pt>
                <c:pt idx="14">
                  <c:v>5.1533600000000002</c:v>
                </c:pt>
                <c:pt idx="15">
                  <c:v>4.1571999999999996</c:v>
                </c:pt>
                <c:pt idx="16">
                  <c:v>3.0966</c:v>
                </c:pt>
                <c:pt idx="17">
                  <c:v>2.1932499999999999</c:v>
                </c:pt>
                <c:pt idx="18">
                  <c:v>1.5675600000000001</c:v>
                </c:pt>
                <c:pt idx="19">
                  <c:v>1.02782</c:v>
                </c:pt>
                <c:pt idx="20">
                  <c:v>0.66366000000000003</c:v>
                </c:pt>
                <c:pt idx="21">
                  <c:v>0.449104</c:v>
                </c:pt>
                <c:pt idx="22">
                  <c:v>0.28553499999999998</c:v>
                </c:pt>
                <c:pt idx="23">
                  <c:v>0.192721</c:v>
                </c:pt>
                <c:pt idx="24">
                  <c:v>0.116269</c:v>
                </c:pt>
                <c:pt idx="25">
                  <c:v>8.0975000000000005E-2</c:v>
                </c:pt>
                <c:pt idx="26">
                  <c:v>5.3778600000000003E-2</c:v>
                </c:pt>
                <c:pt idx="27">
                  <c:v>3.2278300000000003E-2</c:v>
                </c:pt>
                <c:pt idx="28">
                  <c:v>1.45197E-2</c:v>
                </c:pt>
                <c:pt idx="29">
                  <c:v>1.0722199999999999E-2</c:v>
                </c:pt>
                <c:pt idx="30">
                  <c:v>7.5390500000000003E-3</c:v>
                </c:pt>
                <c:pt idx="31">
                  <c:v>5.4727899999999999E-3</c:v>
                </c:pt>
                <c:pt idx="32">
                  <c:v>2.0662599999999999E-3</c:v>
                </c:pt>
                <c:pt idx="33">
                  <c:v>7.2598300000000003E-4</c:v>
                </c:pt>
                <c:pt idx="34" formatCode="0.00E+00">
                  <c:v>5.5844799999999998E-5</c:v>
                </c:pt>
                <c:pt idx="35">
                  <c:v>1.67534E-4</c:v>
                </c:pt>
                <c:pt idx="36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74C6-4CBA-AF5B-CF9EA9074F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8082176"/>
        <c:axId val="158084096"/>
      </c:scatterChart>
      <c:valAx>
        <c:axId val="158082176"/>
        <c:scaling>
          <c:orientation val="minMax"/>
          <c:max val="0.5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OFL (Legal retained</a:t>
                </a:r>
                <a:r>
                  <a:rPr lang="en-US" sz="1200" baseline="0"/>
                  <a:t> </a:t>
                </a:r>
                <a:r>
                  <a:rPr lang="en-US" sz="1200"/>
                  <a:t>crab biomass Million Lb)</a:t>
                </a:r>
              </a:p>
            </c:rich>
          </c:tx>
          <c:layout>
            <c:manualLayout>
              <c:xMode val="edge"/>
              <c:yMode val="edge"/>
              <c:x val="0.2683536683783988"/>
              <c:y val="0.9158860314399759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en-US"/>
          </a:p>
        </c:txPr>
        <c:crossAx val="158084096"/>
        <c:crosses val="autoZero"/>
        <c:crossBetween val="midCat"/>
      </c:valAx>
      <c:valAx>
        <c:axId val="158084096"/>
        <c:scaling>
          <c:orientation val="minMax"/>
          <c:min val="0"/>
        </c:scaling>
        <c:delete val="0"/>
        <c:axPos val="l"/>
        <c:numFmt formatCode="0.00E+00" sourceLinked="1"/>
        <c:majorTickMark val="out"/>
        <c:minorTickMark val="none"/>
        <c:tickLblPos val="nextTo"/>
        <c:spPr>
          <a:ln>
            <a:noFill/>
          </a:ln>
          <a:effectLst/>
        </c:spPr>
        <c:txPr>
          <a:bodyPr/>
          <a:lstStyle/>
          <a:p>
            <a:pPr>
              <a:defRPr>
                <a:solidFill>
                  <a:schemeClr val="bg1"/>
                </a:solidFill>
              </a:defRPr>
            </a:pPr>
            <a:endParaRPr lang="en-US"/>
          </a:p>
        </c:txPr>
        <c:crossAx val="158082176"/>
        <c:crossesAt val="0"/>
        <c:crossBetween val="midCat"/>
      </c:valAx>
      <c:spPr>
        <a:noFill/>
        <a:ln w="25400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67848491059619909"/>
          <c:y val="0.24765391206069173"/>
          <c:w val="0.16988636048619749"/>
          <c:h val="0.17185449518541809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1946AD9-E80C-42CB-94E0-BCEC52FF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6041</TotalTime>
  <Pages>1</Pages>
  <Words>7601</Words>
  <Characters>43327</Characters>
  <Application>Microsoft Office Word</Application>
  <DocSecurity>0</DocSecurity>
  <Lines>361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Report</vt:lpstr>
    </vt:vector>
  </TitlesOfParts>
  <Company>State of Alaska</Company>
  <LinksUpToDate>false</LinksUpToDate>
  <CharactersWithSpaces>50827</CharactersWithSpaces>
  <SharedDoc>false</SharedDoc>
  <HLinks>
    <vt:vector size="18" baseType="variant">
      <vt:variant>
        <vt:i4>3539029</vt:i4>
      </vt:variant>
      <vt:variant>
        <vt:i4>33</vt:i4>
      </vt:variant>
      <vt:variant>
        <vt:i4>0</vt:i4>
      </vt:variant>
      <vt:variant>
        <vt:i4>5</vt:i4>
      </vt:variant>
      <vt:variant>
        <vt:lpwstr>http://www.fakr.noaa.gov/npfmc/PDFdocuments/conservation_issues/ACL/CrabACL910.pdf</vt:lpwstr>
      </vt:variant>
      <vt:variant>
        <vt:lpwstr/>
      </vt:variant>
      <vt:variant>
        <vt:i4>4128850</vt:i4>
      </vt:variant>
      <vt:variant>
        <vt:i4>3</vt:i4>
      </vt:variant>
      <vt:variant>
        <vt:i4>0</vt:i4>
      </vt:variant>
      <vt:variant>
        <vt:i4>5</vt:i4>
      </vt:variant>
      <vt:variant>
        <vt:lpwstr>mailto:Jie.Zheng@alaska.gov</vt:lpwstr>
      </vt:variant>
      <vt:variant>
        <vt:lpwstr/>
      </vt:variant>
      <vt:variant>
        <vt:i4>3866701</vt:i4>
      </vt:variant>
      <vt:variant>
        <vt:i4>0</vt:i4>
      </vt:variant>
      <vt:variant>
        <vt:i4>0</vt:i4>
      </vt:variant>
      <vt:variant>
        <vt:i4>5</vt:i4>
      </vt:variant>
      <vt:variant>
        <vt:lpwstr>mailto:Toshihide.Hamazaki@alaska.gov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Report</dc:title>
  <dc:creator>hhamazaki</dc:creator>
  <cp:lastModifiedBy>Hamazaki, Hamachan (DFG)</cp:lastModifiedBy>
  <cp:revision>132</cp:revision>
  <cp:lastPrinted>2016-11-08T00:49:00Z</cp:lastPrinted>
  <dcterms:created xsi:type="dcterms:W3CDTF">2016-12-21T00:36:00Z</dcterms:created>
  <dcterms:modified xsi:type="dcterms:W3CDTF">2019-01-25T08:50:00Z</dcterms:modified>
</cp:coreProperties>
</file>