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BC918" w14:textId="77777777" w:rsidR="006F4CF5" w:rsidRDefault="00CC49A9" w:rsidP="00117CD0">
      <w:pPr>
        <w:spacing w:line="240" w:lineRule="auto"/>
        <w:rPr>
          <w:rFonts w:cstheme="minorHAnsi"/>
        </w:rPr>
      </w:pPr>
      <w:r>
        <w:rPr>
          <w:rFonts w:cstheme="minorHAnsi"/>
        </w:rPr>
        <w:t>February 1, 2018</w:t>
      </w:r>
    </w:p>
    <w:p w14:paraId="42CE8306" w14:textId="77777777" w:rsidR="00F61A8A" w:rsidRDefault="00F61A8A" w:rsidP="006F4CF5">
      <w:pPr>
        <w:spacing w:after="0" w:line="240" w:lineRule="auto"/>
        <w:rPr>
          <w:rFonts w:cstheme="minorHAnsi"/>
        </w:rPr>
        <w:sectPr w:rsidR="00F61A8A" w:rsidSect="00117CD0">
          <w:headerReference w:type="default" r:id="rId8"/>
          <w:headerReference w:type="first" r:id="rId9"/>
          <w:pgSz w:w="12240" w:h="15840"/>
          <w:pgMar w:top="1440" w:right="1440" w:bottom="1440" w:left="1440" w:header="720" w:footer="720" w:gutter="0"/>
          <w:cols w:space="720"/>
          <w:titlePg/>
          <w:docGrid w:linePitch="360"/>
        </w:sectPr>
      </w:pPr>
    </w:p>
    <w:p w14:paraId="078546D7" w14:textId="77777777" w:rsidR="006F4CF5" w:rsidRDefault="006F4CF5" w:rsidP="006F4CF5">
      <w:pPr>
        <w:spacing w:after="0" w:line="240" w:lineRule="auto"/>
        <w:rPr>
          <w:rFonts w:cstheme="minorHAnsi"/>
        </w:rPr>
      </w:pPr>
      <w:r w:rsidRPr="0057234F">
        <w:rPr>
          <w:rFonts w:cstheme="minorHAnsi"/>
        </w:rPr>
        <w:t>Mr. Dan Hull, Chair</w:t>
      </w:r>
    </w:p>
    <w:p w14:paraId="1EFB486D" w14:textId="77777777" w:rsidR="006F4CF5" w:rsidRPr="006F4CF5" w:rsidRDefault="006F4CF5" w:rsidP="006F4CF5">
      <w:pPr>
        <w:spacing w:after="0" w:line="240" w:lineRule="auto"/>
        <w:rPr>
          <w:rFonts w:cstheme="minorHAnsi"/>
        </w:rPr>
      </w:pPr>
      <w:r w:rsidRPr="0057234F">
        <w:t>North Pacific Fishery Management Council</w:t>
      </w:r>
    </w:p>
    <w:p w14:paraId="2916386B" w14:textId="77777777" w:rsidR="006F4CF5" w:rsidRPr="0057234F" w:rsidRDefault="006F4CF5" w:rsidP="006F4CF5">
      <w:pPr>
        <w:spacing w:after="0" w:line="240" w:lineRule="auto"/>
      </w:pPr>
      <w:r w:rsidRPr="0057234F">
        <w:t>605 W. 4th Avenue, Suite 306</w:t>
      </w:r>
    </w:p>
    <w:p w14:paraId="547F2AE6" w14:textId="77777777" w:rsidR="006F4CF5" w:rsidRPr="0057234F" w:rsidRDefault="006F4CF5" w:rsidP="006F4CF5">
      <w:pPr>
        <w:spacing w:after="0" w:line="240" w:lineRule="auto"/>
      </w:pPr>
      <w:r w:rsidRPr="0057234F">
        <w:t>Anchorage, AK 99501-2252</w:t>
      </w:r>
    </w:p>
    <w:p w14:paraId="2D9DA514" w14:textId="77777777" w:rsidR="006F4CF5" w:rsidRDefault="006F4CF5" w:rsidP="00F61A8A">
      <w:pPr>
        <w:tabs>
          <w:tab w:val="left" w:pos="4500"/>
        </w:tabs>
        <w:spacing w:after="0"/>
      </w:pPr>
    </w:p>
    <w:p w14:paraId="13D2BCD8" w14:textId="77777777" w:rsidR="006F4CF5" w:rsidRPr="0057234F" w:rsidRDefault="006F4CF5" w:rsidP="006F4CF5">
      <w:pPr>
        <w:tabs>
          <w:tab w:val="left" w:pos="4500"/>
        </w:tabs>
        <w:spacing w:after="0" w:line="240" w:lineRule="auto"/>
      </w:pPr>
      <w:r w:rsidRPr="0057234F">
        <w:t>Dr. James Balsiger, Regional Administrator</w:t>
      </w:r>
    </w:p>
    <w:p w14:paraId="16A37660" w14:textId="77777777" w:rsidR="006F4CF5" w:rsidRPr="0057234F" w:rsidRDefault="006F4CF5" w:rsidP="006F4CF5">
      <w:pPr>
        <w:tabs>
          <w:tab w:val="left" w:pos="4500"/>
        </w:tabs>
        <w:spacing w:after="0" w:line="240" w:lineRule="auto"/>
      </w:pPr>
      <w:r w:rsidRPr="0057234F">
        <w:t>NOAA Fisheries, Alaska Region</w:t>
      </w:r>
    </w:p>
    <w:p w14:paraId="1800F46E" w14:textId="77777777" w:rsidR="006F4CF5" w:rsidRPr="0057234F" w:rsidRDefault="006F4CF5" w:rsidP="006F4CF5">
      <w:pPr>
        <w:tabs>
          <w:tab w:val="left" w:pos="720"/>
          <w:tab w:val="left" w:pos="1440"/>
          <w:tab w:val="left" w:pos="2160"/>
          <w:tab w:val="left" w:pos="2880"/>
          <w:tab w:val="left" w:pos="3600"/>
          <w:tab w:val="left" w:pos="4320"/>
          <w:tab w:val="left" w:pos="4500"/>
          <w:tab w:val="left" w:pos="5040"/>
          <w:tab w:val="left" w:pos="5760"/>
          <w:tab w:val="left" w:pos="6480"/>
          <w:tab w:val="left" w:pos="7215"/>
        </w:tabs>
        <w:spacing w:after="0" w:line="240" w:lineRule="auto"/>
      </w:pPr>
      <w:r w:rsidRPr="0057234F">
        <w:t>709 West Ninth Street</w:t>
      </w:r>
    </w:p>
    <w:p w14:paraId="77ADD23C" w14:textId="77777777" w:rsidR="006F4CF5" w:rsidRPr="0057234F" w:rsidRDefault="006F4CF5" w:rsidP="00F61A8A">
      <w:pPr>
        <w:tabs>
          <w:tab w:val="left" w:pos="4500"/>
        </w:tabs>
        <w:spacing w:line="240" w:lineRule="auto"/>
      </w:pPr>
      <w:r w:rsidRPr="0057234F">
        <w:t>Juneau, AK 99802-1668</w:t>
      </w:r>
    </w:p>
    <w:p w14:paraId="6267436D" w14:textId="77777777" w:rsidR="00F61A8A" w:rsidRDefault="00F61A8A" w:rsidP="006F4CF5">
      <w:pPr>
        <w:spacing w:line="240" w:lineRule="auto"/>
        <w:rPr>
          <w:rFonts w:cstheme="minorHAnsi"/>
        </w:rPr>
        <w:sectPr w:rsidR="00F61A8A" w:rsidSect="00F61A8A">
          <w:type w:val="continuous"/>
          <w:pgSz w:w="12240" w:h="15840"/>
          <w:pgMar w:top="1440" w:right="1440" w:bottom="1440" w:left="1440" w:header="720" w:footer="720" w:gutter="0"/>
          <w:cols w:num="2" w:space="720"/>
          <w:docGrid w:linePitch="360"/>
        </w:sectPr>
      </w:pPr>
    </w:p>
    <w:p w14:paraId="2E92A1B6" w14:textId="77777777" w:rsidR="006F4CF5" w:rsidRPr="0057234F" w:rsidRDefault="006F4CF5" w:rsidP="00F61A8A">
      <w:pPr>
        <w:spacing w:before="240" w:line="240" w:lineRule="auto"/>
        <w:rPr>
          <w:rFonts w:cstheme="minorHAnsi"/>
        </w:rPr>
      </w:pPr>
      <w:r w:rsidRPr="0057234F">
        <w:rPr>
          <w:rFonts w:cstheme="minorHAnsi"/>
        </w:rPr>
        <w:t xml:space="preserve">RE: </w:t>
      </w:r>
      <w:r>
        <w:rPr>
          <w:rFonts w:cstheme="minorHAnsi"/>
        </w:rPr>
        <w:t xml:space="preserve">Agenda Item D2 </w:t>
      </w:r>
      <w:r>
        <w:t>Observer and Electronic Monitoring Projects</w:t>
      </w:r>
    </w:p>
    <w:p w14:paraId="5DCF5B03" w14:textId="77777777" w:rsidR="006F4CF5" w:rsidRPr="00691019" w:rsidRDefault="006F4CF5" w:rsidP="00691019">
      <w:pPr>
        <w:rPr>
          <w:rFonts w:cstheme="minorHAnsi"/>
        </w:rPr>
      </w:pPr>
      <w:r w:rsidRPr="00691019">
        <w:rPr>
          <w:rFonts w:cstheme="minorHAnsi"/>
        </w:rPr>
        <w:t>Dear Chairman Hull, Dr. Balsiger and Council Members:</w:t>
      </w:r>
    </w:p>
    <w:p w14:paraId="76E36597" w14:textId="066115FA" w:rsidR="00172E5A" w:rsidRPr="00691019" w:rsidRDefault="00172E5A" w:rsidP="00691019">
      <w:pPr>
        <w:rPr>
          <w:rFonts w:cstheme="minorHAnsi"/>
        </w:rPr>
      </w:pPr>
      <w:r w:rsidRPr="00691019">
        <w:rPr>
          <w:rFonts w:cstheme="minorHAnsi"/>
        </w:rPr>
        <w:t xml:space="preserve">Thank you for taking comments on </w:t>
      </w:r>
      <w:r w:rsidR="00E82EA1" w:rsidRPr="00691019">
        <w:rPr>
          <w:rFonts w:cstheme="minorHAnsi"/>
        </w:rPr>
        <w:t xml:space="preserve">prioritization of the North Pacific Observer Program and Electronic Monitoring (EM). More observer coverage is needed in the Gulf of Alaska (GOA) trawl stratum. The GOA trawl bycatch management plan would have implemented full coverage through a catch share system, and while 100% observer coverage was widely accepted (list of public comments attached), the entire program was tabled. No solution has been introduced to alleviate the concerns that </w:t>
      </w:r>
      <w:r w:rsidR="002A572E" w:rsidRPr="00691019">
        <w:rPr>
          <w:rFonts w:cstheme="minorHAnsi"/>
        </w:rPr>
        <w:t>motivat</w:t>
      </w:r>
      <w:r w:rsidR="00E82EA1" w:rsidRPr="00691019">
        <w:rPr>
          <w:rFonts w:cstheme="minorHAnsi"/>
        </w:rPr>
        <w:t>ed discussion for a bycatch management plan, including</w:t>
      </w:r>
      <w:r w:rsidR="00283B76" w:rsidRPr="00691019">
        <w:rPr>
          <w:rFonts w:cstheme="minorHAnsi"/>
        </w:rPr>
        <w:t xml:space="preserve"> providing mechanisms to control and reduce bycatch, and creating accountability measures when utilizing target, secondary, and Prohibited Species Catch (PSC) species.</w:t>
      </w:r>
      <w:r w:rsidR="00283B76" w:rsidRPr="00691019">
        <w:rPr>
          <w:rStyle w:val="FootnoteReference"/>
          <w:rFonts w:cstheme="minorHAnsi"/>
        </w:rPr>
        <w:footnoteReference w:id="1"/>
      </w:r>
      <w:r w:rsidR="00283B76" w:rsidRPr="00691019">
        <w:rPr>
          <w:rFonts w:cstheme="minorHAnsi"/>
        </w:rPr>
        <w:t xml:space="preserve"> </w:t>
      </w:r>
      <w:r w:rsidR="00A557EF" w:rsidRPr="00691019">
        <w:rPr>
          <w:rFonts w:cstheme="minorHAnsi"/>
          <w:b/>
        </w:rPr>
        <w:t>T</w:t>
      </w:r>
      <w:r w:rsidR="00E82EA1" w:rsidRPr="00691019">
        <w:rPr>
          <w:rFonts w:cstheme="minorHAnsi"/>
          <w:b/>
        </w:rPr>
        <w:t xml:space="preserve">he Council </w:t>
      </w:r>
      <w:r w:rsidR="00A557EF" w:rsidRPr="00691019">
        <w:rPr>
          <w:rFonts w:cstheme="minorHAnsi"/>
          <w:b/>
        </w:rPr>
        <w:t>should</w:t>
      </w:r>
      <w:r w:rsidR="00226E36" w:rsidRPr="00691019">
        <w:rPr>
          <w:rFonts w:cstheme="minorHAnsi"/>
          <w:b/>
        </w:rPr>
        <w:t xml:space="preserve"> therefore</w:t>
      </w:r>
      <w:r w:rsidR="00E82EA1" w:rsidRPr="00691019">
        <w:rPr>
          <w:rFonts w:cstheme="minorHAnsi"/>
          <w:b/>
        </w:rPr>
        <w:t xml:space="preserve"> reopen </w:t>
      </w:r>
      <w:r w:rsidR="00E276CC">
        <w:rPr>
          <w:rFonts w:cstheme="minorHAnsi"/>
          <w:b/>
        </w:rPr>
        <w:t xml:space="preserve">this </w:t>
      </w:r>
      <w:r w:rsidR="00E82EA1" w:rsidRPr="00691019">
        <w:rPr>
          <w:rFonts w:cstheme="minorHAnsi"/>
          <w:b/>
        </w:rPr>
        <w:t xml:space="preserve">discussion </w:t>
      </w:r>
      <w:r w:rsidR="00E276CC">
        <w:rPr>
          <w:rFonts w:cstheme="minorHAnsi"/>
          <w:b/>
        </w:rPr>
        <w:t>and initiate</w:t>
      </w:r>
      <w:r w:rsidR="00E276CC" w:rsidRPr="00691019">
        <w:rPr>
          <w:rFonts w:cstheme="minorHAnsi"/>
          <w:b/>
        </w:rPr>
        <w:t xml:space="preserve"> </w:t>
      </w:r>
      <w:r w:rsidR="00E82EA1" w:rsidRPr="00691019">
        <w:rPr>
          <w:rFonts w:cstheme="minorHAnsi"/>
          <w:b/>
        </w:rPr>
        <w:t>a separate management strategy for full observer coverage in the GOA trawl fleet</w:t>
      </w:r>
      <w:r w:rsidR="00E82EA1" w:rsidRPr="00691019">
        <w:rPr>
          <w:rFonts w:cstheme="minorHAnsi"/>
        </w:rPr>
        <w:t>.</w:t>
      </w:r>
    </w:p>
    <w:p w14:paraId="0CBD5A74" w14:textId="77777777" w:rsidR="00754C08" w:rsidRPr="00691019" w:rsidRDefault="00754C08" w:rsidP="00691019">
      <w:pPr>
        <w:autoSpaceDE w:val="0"/>
        <w:autoSpaceDN w:val="0"/>
        <w:adjustRightInd w:val="0"/>
        <w:rPr>
          <w:rFonts w:cs="Times New Roman"/>
        </w:rPr>
      </w:pPr>
      <w:r w:rsidRPr="00691019">
        <w:rPr>
          <w:rFonts w:cs="Times New Roman"/>
        </w:rPr>
        <w:t xml:space="preserve">Fisheries throughout Alaska are managed </w:t>
      </w:r>
      <w:r w:rsidR="00152987" w:rsidRPr="00691019">
        <w:rPr>
          <w:rFonts w:cs="Times New Roman"/>
        </w:rPr>
        <w:t xml:space="preserve">with both target species limits and </w:t>
      </w:r>
      <w:r w:rsidRPr="00691019">
        <w:rPr>
          <w:rFonts w:cs="Times New Roman"/>
        </w:rPr>
        <w:t xml:space="preserve">with PSC </w:t>
      </w:r>
      <w:r w:rsidR="00152987" w:rsidRPr="00691019">
        <w:rPr>
          <w:rFonts w:cs="Times New Roman"/>
        </w:rPr>
        <w:t>caps</w:t>
      </w:r>
      <w:r w:rsidRPr="00691019">
        <w:rPr>
          <w:rFonts w:cs="Times New Roman"/>
        </w:rPr>
        <w:t>.</w:t>
      </w:r>
      <w:r w:rsidR="00152987" w:rsidRPr="00691019">
        <w:rPr>
          <w:rFonts w:cs="Times New Roman"/>
        </w:rPr>
        <w:t xml:space="preserve"> </w:t>
      </w:r>
      <w:r w:rsidR="008B5A0E" w:rsidRPr="00691019">
        <w:rPr>
          <w:rFonts w:cs="Times New Roman"/>
        </w:rPr>
        <w:t>The majority of those with PSC limits are monitored with 100% observer coverage t</w:t>
      </w:r>
      <w:r w:rsidR="00152987" w:rsidRPr="00691019">
        <w:rPr>
          <w:rFonts w:cs="Times New Roman"/>
        </w:rPr>
        <w:t xml:space="preserve">o accurately </w:t>
      </w:r>
      <w:r w:rsidR="008B5A0E" w:rsidRPr="00691019">
        <w:rPr>
          <w:rFonts w:cs="Times New Roman"/>
        </w:rPr>
        <w:t xml:space="preserve">identify and </w:t>
      </w:r>
      <w:r w:rsidR="00152987" w:rsidRPr="00691019">
        <w:rPr>
          <w:rFonts w:cs="Times New Roman"/>
        </w:rPr>
        <w:t xml:space="preserve">measure bycatch </w:t>
      </w:r>
      <w:r w:rsidR="008B5A0E" w:rsidRPr="00691019">
        <w:rPr>
          <w:rFonts w:cs="Times New Roman"/>
        </w:rPr>
        <w:t xml:space="preserve">species. For example, </w:t>
      </w:r>
      <w:r w:rsidRPr="00691019">
        <w:rPr>
          <w:rFonts w:cs="Times New Roman"/>
        </w:rPr>
        <w:t xml:space="preserve">Amendment 80 Fisheries </w:t>
      </w:r>
      <w:r w:rsidR="00F9708A" w:rsidRPr="00691019">
        <w:rPr>
          <w:rFonts w:cs="Times New Roman"/>
        </w:rPr>
        <w:t>in the Bering Sea and Aleutian Islands</w:t>
      </w:r>
      <w:r w:rsidR="00F22C4C" w:rsidRPr="00691019">
        <w:rPr>
          <w:rFonts w:cs="Times New Roman"/>
        </w:rPr>
        <w:t xml:space="preserve"> (BSAI)</w:t>
      </w:r>
      <w:r w:rsidR="00F9708A" w:rsidRPr="00691019">
        <w:rPr>
          <w:rFonts w:cs="Times New Roman"/>
        </w:rPr>
        <w:t xml:space="preserve"> </w:t>
      </w:r>
      <w:r w:rsidRPr="00691019">
        <w:rPr>
          <w:rFonts w:cs="Times New Roman"/>
        </w:rPr>
        <w:t>have</w:t>
      </w:r>
      <w:r w:rsidR="007A6AF3" w:rsidRPr="00691019">
        <w:rPr>
          <w:rFonts w:cs="Times New Roman"/>
        </w:rPr>
        <w:t xml:space="preserve"> PSC limits for Pacific halibut mortality, herring bycatch, Tanner crab (</w:t>
      </w:r>
      <w:r w:rsidR="007A6AF3" w:rsidRPr="00691019">
        <w:rPr>
          <w:rFonts w:cs="Times New Roman"/>
          <w:i/>
        </w:rPr>
        <w:t xml:space="preserve">C. opilio </w:t>
      </w:r>
      <w:r w:rsidR="007A6AF3" w:rsidRPr="00691019">
        <w:rPr>
          <w:rFonts w:cs="Times New Roman"/>
        </w:rPr>
        <w:t xml:space="preserve">and </w:t>
      </w:r>
      <w:r w:rsidR="007A6AF3" w:rsidRPr="00691019">
        <w:rPr>
          <w:rFonts w:cs="Times New Roman"/>
          <w:i/>
        </w:rPr>
        <w:t>C. bairdi</w:t>
      </w:r>
      <w:r w:rsidR="007A6AF3" w:rsidRPr="00691019">
        <w:rPr>
          <w:rFonts w:cs="Times New Roman"/>
        </w:rPr>
        <w:t>) bycatch, and red king crab bycatch;</w:t>
      </w:r>
      <w:r w:rsidRPr="00691019">
        <w:rPr>
          <w:rFonts w:cs="Times New Roman"/>
        </w:rPr>
        <w:t xml:space="preserve"> full observer coverage </w:t>
      </w:r>
      <w:r w:rsidR="007A6AF3" w:rsidRPr="00691019">
        <w:rPr>
          <w:rFonts w:cs="Times New Roman"/>
        </w:rPr>
        <w:t>i</w:t>
      </w:r>
      <w:r w:rsidRPr="00691019">
        <w:rPr>
          <w:rFonts w:cs="Times New Roman"/>
        </w:rPr>
        <w:t>s part of t</w:t>
      </w:r>
      <w:r w:rsidR="007A6AF3" w:rsidRPr="00691019">
        <w:rPr>
          <w:rFonts w:cs="Times New Roman"/>
        </w:rPr>
        <w:t xml:space="preserve">he Amendment 80 </w:t>
      </w:r>
      <w:r w:rsidRPr="00691019">
        <w:rPr>
          <w:rFonts w:cs="Times New Roman"/>
        </w:rPr>
        <w:t xml:space="preserve">groundfish catch share program. </w:t>
      </w:r>
      <w:r w:rsidR="00F9708A" w:rsidRPr="00691019">
        <w:rPr>
          <w:rFonts w:cs="Times New Roman"/>
        </w:rPr>
        <w:t>Amendment 80 was implemented to reduce bycatch and minimiz</w:t>
      </w:r>
      <w:r w:rsidR="00170D6C">
        <w:rPr>
          <w:rFonts w:cs="Times New Roman"/>
        </w:rPr>
        <w:t>e</w:t>
      </w:r>
      <w:r w:rsidR="00F9708A" w:rsidRPr="00691019">
        <w:rPr>
          <w:rFonts w:cs="Times New Roman"/>
        </w:rPr>
        <w:t xml:space="preserve"> waste by reducing discards, and required full observer coverage to collect bycatch data and monitor compliance.</w:t>
      </w:r>
      <w:r w:rsidR="00F9708A" w:rsidRPr="00691019">
        <w:rPr>
          <w:rStyle w:val="FootnoteReference"/>
          <w:rFonts w:cs="Times New Roman"/>
        </w:rPr>
        <w:footnoteReference w:id="2"/>
      </w:r>
      <w:r w:rsidR="00F9708A" w:rsidRPr="00691019">
        <w:rPr>
          <w:rFonts w:cs="Times New Roman"/>
        </w:rPr>
        <w:t xml:space="preserve"> </w:t>
      </w:r>
      <w:r w:rsidR="00271A34" w:rsidRPr="00691019">
        <w:rPr>
          <w:rFonts w:cs="Times New Roman"/>
        </w:rPr>
        <w:t>The GOA trawl fisheries have PSC limits and should have full observer coverage, however</w:t>
      </w:r>
      <w:r w:rsidR="00F9708A" w:rsidRPr="00691019">
        <w:rPr>
          <w:rFonts w:cs="Times New Roman"/>
        </w:rPr>
        <w:t xml:space="preserve"> i</w:t>
      </w:r>
      <w:r w:rsidRPr="00691019">
        <w:rPr>
          <w:rFonts w:cs="Times New Roman"/>
        </w:rPr>
        <w:t xml:space="preserve">nstituting a catch share program should not be the </w:t>
      </w:r>
      <w:r w:rsidR="000E30F7" w:rsidRPr="00691019">
        <w:rPr>
          <w:rFonts w:cs="Times New Roman"/>
        </w:rPr>
        <w:t>only mechanism through which 100% observer coverage is employed</w:t>
      </w:r>
      <w:r w:rsidR="00F723A8">
        <w:rPr>
          <w:rFonts w:cs="Times New Roman"/>
        </w:rPr>
        <w:t>.</w:t>
      </w:r>
      <w:r w:rsidR="000E30F7" w:rsidRPr="00691019">
        <w:rPr>
          <w:rFonts w:cs="Times New Roman"/>
        </w:rPr>
        <w:t xml:space="preserve"> </w:t>
      </w:r>
    </w:p>
    <w:p w14:paraId="5743CCB6" w14:textId="77777777" w:rsidR="00F723A8" w:rsidRDefault="00271A34" w:rsidP="00691019">
      <w:pPr>
        <w:autoSpaceDE w:val="0"/>
        <w:autoSpaceDN w:val="0"/>
        <w:adjustRightInd w:val="0"/>
        <w:rPr>
          <w:rFonts w:cs="Times New Roman"/>
        </w:rPr>
      </w:pPr>
      <w:r w:rsidRPr="00691019">
        <w:rPr>
          <w:rFonts w:cs="Times New Roman"/>
        </w:rPr>
        <w:t xml:space="preserve">Pacific halibut is a PSC species and </w:t>
      </w:r>
      <w:r w:rsidR="008A054E">
        <w:rPr>
          <w:rFonts w:cs="Times New Roman"/>
        </w:rPr>
        <w:t>its</w:t>
      </w:r>
      <w:r w:rsidR="008A054E" w:rsidRPr="00691019">
        <w:rPr>
          <w:rFonts w:cs="Times New Roman"/>
        </w:rPr>
        <w:t xml:space="preserve"> </w:t>
      </w:r>
      <w:r w:rsidRPr="00691019">
        <w:rPr>
          <w:rFonts w:cs="Times New Roman"/>
        </w:rPr>
        <w:t>bycatch sometimes nears, reaches, or exceeds 100% of the limit. Last year the deep</w:t>
      </w:r>
      <w:r w:rsidR="00BD5F0E">
        <w:rPr>
          <w:rFonts w:cs="Times New Roman"/>
        </w:rPr>
        <w:t xml:space="preserve"> </w:t>
      </w:r>
      <w:r w:rsidRPr="00691019">
        <w:rPr>
          <w:rFonts w:cs="Times New Roman"/>
        </w:rPr>
        <w:t>water species complex trawl fishery caught 96% of its PSC limit (766 metric tons of the 800 metric ton limit).</w:t>
      </w:r>
      <w:r w:rsidRPr="00691019">
        <w:rPr>
          <w:rStyle w:val="FootnoteReference"/>
          <w:rFonts w:cs="Times New Roman"/>
        </w:rPr>
        <w:footnoteReference w:id="3"/>
      </w:r>
      <w:r w:rsidRPr="00691019">
        <w:rPr>
          <w:rFonts w:cs="Times New Roman"/>
        </w:rPr>
        <w:t xml:space="preserve"> Seasonally, </w:t>
      </w:r>
      <w:r w:rsidR="008A054E" w:rsidRPr="00691019">
        <w:rPr>
          <w:rFonts w:cs="Times New Roman"/>
        </w:rPr>
        <w:t>the</w:t>
      </w:r>
      <w:r w:rsidR="008A054E">
        <w:rPr>
          <w:rFonts w:cs="Times New Roman"/>
        </w:rPr>
        <w:t xml:space="preserve"> fleet</w:t>
      </w:r>
      <w:r w:rsidR="008A054E" w:rsidRPr="00691019">
        <w:rPr>
          <w:rFonts w:cs="Times New Roman"/>
        </w:rPr>
        <w:t xml:space="preserve"> </w:t>
      </w:r>
      <w:r w:rsidRPr="00691019">
        <w:rPr>
          <w:rFonts w:cs="Times New Roman"/>
        </w:rPr>
        <w:t>caught 100%</w:t>
      </w:r>
      <w:r w:rsidR="00691019">
        <w:rPr>
          <w:rFonts w:cs="Times New Roman"/>
        </w:rPr>
        <w:t xml:space="preserve"> of </w:t>
      </w:r>
      <w:r w:rsidR="008A054E">
        <w:rPr>
          <w:rFonts w:cs="Times New Roman"/>
        </w:rPr>
        <w:t xml:space="preserve">its </w:t>
      </w:r>
      <w:r w:rsidR="00691019">
        <w:rPr>
          <w:rFonts w:cs="Times New Roman"/>
        </w:rPr>
        <w:t xml:space="preserve">PSC limit during each of the first two seasons of 2017. </w:t>
      </w:r>
      <w:r w:rsidRPr="00691019">
        <w:rPr>
          <w:rFonts w:cs="Times New Roman"/>
        </w:rPr>
        <w:t>Similarly, the shallow water species complex trawl fishery caught 10</w:t>
      </w:r>
      <w:r w:rsidR="00691019">
        <w:rPr>
          <w:rFonts w:cs="Times New Roman"/>
        </w:rPr>
        <w:t>1</w:t>
      </w:r>
      <w:r w:rsidRPr="00691019">
        <w:rPr>
          <w:rFonts w:cs="Times New Roman"/>
        </w:rPr>
        <w:t>% and 10</w:t>
      </w:r>
      <w:r w:rsidR="00691019">
        <w:rPr>
          <w:rFonts w:cs="Times New Roman"/>
        </w:rPr>
        <w:t>0</w:t>
      </w:r>
      <w:r w:rsidRPr="00691019">
        <w:rPr>
          <w:rFonts w:cs="Times New Roman"/>
        </w:rPr>
        <w:t xml:space="preserve">% of the halibut PSC limit in the first two seasons of the year. This highlights </w:t>
      </w:r>
      <w:r w:rsidR="008F2384">
        <w:rPr>
          <w:rFonts w:cs="Times New Roman"/>
        </w:rPr>
        <w:t>the</w:t>
      </w:r>
      <w:r w:rsidR="00C670C5">
        <w:rPr>
          <w:rFonts w:cs="Times New Roman"/>
        </w:rPr>
        <w:t xml:space="preserve"> </w:t>
      </w:r>
      <w:r w:rsidR="00CD2315">
        <w:rPr>
          <w:rFonts w:cs="Times New Roman"/>
        </w:rPr>
        <w:t xml:space="preserve">critical </w:t>
      </w:r>
      <w:r w:rsidR="00C670C5">
        <w:rPr>
          <w:rFonts w:cs="Times New Roman"/>
        </w:rPr>
        <w:t>need to</w:t>
      </w:r>
      <w:r w:rsidRPr="00691019">
        <w:rPr>
          <w:rFonts w:cs="Times New Roman"/>
        </w:rPr>
        <w:t xml:space="preserve"> monitor </w:t>
      </w:r>
      <w:r w:rsidRPr="00691019">
        <w:rPr>
          <w:rFonts w:cs="Times New Roman"/>
        </w:rPr>
        <w:lastRenderedPageBreak/>
        <w:t>halibut bycatch in</w:t>
      </w:r>
      <w:r w:rsidR="00F723A8">
        <w:rPr>
          <w:rFonts w:cs="Times New Roman"/>
        </w:rPr>
        <w:t xml:space="preserve"> </w:t>
      </w:r>
      <w:r w:rsidRPr="00691019">
        <w:rPr>
          <w:rFonts w:cs="Times New Roman"/>
        </w:rPr>
        <w:t>trawl fisheri</w:t>
      </w:r>
      <w:bookmarkStart w:id="0" w:name="_GoBack"/>
      <w:bookmarkEnd w:id="0"/>
      <w:r w:rsidRPr="00691019">
        <w:rPr>
          <w:rFonts w:cs="Times New Roman"/>
        </w:rPr>
        <w:t>es</w:t>
      </w:r>
      <w:r w:rsidR="006707A0">
        <w:rPr>
          <w:rFonts w:cs="Times New Roman"/>
        </w:rPr>
        <w:t xml:space="preserve"> that </w:t>
      </w:r>
      <w:r w:rsidR="00D82235">
        <w:rPr>
          <w:rFonts w:cs="Times New Roman"/>
        </w:rPr>
        <w:t xml:space="preserve">are </w:t>
      </w:r>
      <w:r w:rsidR="006707A0">
        <w:rPr>
          <w:rFonts w:cs="Times New Roman"/>
        </w:rPr>
        <w:t>manage</w:t>
      </w:r>
      <w:r w:rsidR="00D82235">
        <w:rPr>
          <w:rFonts w:cs="Times New Roman"/>
        </w:rPr>
        <w:t>d</w:t>
      </w:r>
      <w:r w:rsidR="006707A0">
        <w:rPr>
          <w:rFonts w:cs="Times New Roman"/>
        </w:rPr>
        <w:t xml:space="preserve"> as much based on their bycatch limits as their target catch limits </w:t>
      </w:r>
      <w:r w:rsidRPr="00691019">
        <w:rPr>
          <w:rFonts w:cs="Times New Roman"/>
        </w:rPr>
        <w:t xml:space="preserve">to ensure the bycatch caps are being </w:t>
      </w:r>
      <w:r w:rsidR="001C244C" w:rsidRPr="00691019">
        <w:rPr>
          <w:rFonts w:cs="Times New Roman"/>
        </w:rPr>
        <w:t>upheld</w:t>
      </w:r>
      <w:r w:rsidRPr="00691019">
        <w:rPr>
          <w:rFonts w:cs="Times New Roman"/>
        </w:rPr>
        <w:t>.</w:t>
      </w:r>
    </w:p>
    <w:p w14:paraId="5F114146" w14:textId="156E4361" w:rsidR="001C244C" w:rsidRPr="00691019" w:rsidRDefault="001C244C" w:rsidP="00691019">
      <w:pPr>
        <w:autoSpaceDE w:val="0"/>
        <w:autoSpaceDN w:val="0"/>
        <w:adjustRightInd w:val="0"/>
        <w:rPr>
          <w:rFonts w:cs="Times New Roman"/>
          <w:b/>
        </w:rPr>
      </w:pPr>
      <w:r w:rsidRPr="00691019">
        <w:rPr>
          <w:rFonts w:cs="Times New Roman"/>
        </w:rPr>
        <w:t xml:space="preserve">Determining and applying discard mortality rates (DMR) to Pacific halibut in different fisheries is an important component of </w:t>
      </w:r>
      <w:r w:rsidR="000F498E">
        <w:rPr>
          <w:rFonts w:cs="Times New Roman"/>
        </w:rPr>
        <w:t xml:space="preserve">halibut bycatch </w:t>
      </w:r>
      <w:r w:rsidRPr="00691019">
        <w:rPr>
          <w:rFonts w:cs="Times New Roman"/>
        </w:rPr>
        <w:t xml:space="preserve">management. A PSC limit is not managed by the amount of halibut caught but by the amount of halibut killed. </w:t>
      </w:r>
      <w:r w:rsidR="00AA3EA9" w:rsidRPr="00691019">
        <w:rPr>
          <w:rFonts w:cs="Times New Roman"/>
        </w:rPr>
        <w:t>To</w:t>
      </w:r>
      <w:r w:rsidRPr="00691019">
        <w:rPr>
          <w:rFonts w:cs="Times New Roman"/>
        </w:rPr>
        <w:t xml:space="preserve"> calculate the DMR, halibut need to be assessed by observers for injuries, viability, and the likelihood </w:t>
      </w:r>
      <w:r w:rsidR="00CC6B04">
        <w:rPr>
          <w:rFonts w:cs="Times New Roman"/>
        </w:rPr>
        <w:t>of survival</w:t>
      </w:r>
      <w:r w:rsidRPr="00691019">
        <w:rPr>
          <w:rFonts w:cs="Times New Roman"/>
        </w:rPr>
        <w:t xml:space="preserve">. </w:t>
      </w:r>
      <w:r w:rsidR="00A403F4">
        <w:rPr>
          <w:rFonts w:cs="Times New Roman"/>
        </w:rPr>
        <w:t xml:space="preserve">Collecting </w:t>
      </w:r>
      <w:r w:rsidR="005D7254">
        <w:rPr>
          <w:rFonts w:cs="Times New Roman"/>
        </w:rPr>
        <w:t>h</w:t>
      </w:r>
      <w:r w:rsidR="003D3A99">
        <w:rPr>
          <w:rFonts w:cs="Times New Roman"/>
        </w:rPr>
        <w:t>alibut viabilities</w:t>
      </w:r>
      <w:r w:rsidR="00947348">
        <w:rPr>
          <w:rFonts w:cs="Times New Roman"/>
        </w:rPr>
        <w:t xml:space="preserve"> is </w:t>
      </w:r>
      <w:r w:rsidR="005D7254">
        <w:rPr>
          <w:rFonts w:cs="Times New Roman"/>
        </w:rPr>
        <w:t xml:space="preserve">an </w:t>
      </w:r>
      <w:r w:rsidR="00947348">
        <w:rPr>
          <w:rFonts w:cs="Times New Roman"/>
        </w:rPr>
        <w:t>important</w:t>
      </w:r>
      <w:r w:rsidR="005D7254">
        <w:rPr>
          <w:rFonts w:cs="Times New Roman"/>
        </w:rPr>
        <w:t xml:space="preserve"> observer task, however, i</w:t>
      </w:r>
      <w:r w:rsidR="008B02F1">
        <w:t>n 2015</w:t>
      </w:r>
      <w:r w:rsidR="005D7254">
        <w:t xml:space="preserve"> NMFS </w:t>
      </w:r>
      <w:r w:rsidR="008B02F1">
        <w:t>recorded</w:t>
      </w:r>
      <w:r w:rsidRPr="00691019">
        <w:t xml:space="preserve"> viabilities for</w:t>
      </w:r>
      <w:r w:rsidR="008B02F1">
        <w:t xml:space="preserve"> only 0.2% of </w:t>
      </w:r>
      <w:r w:rsidR="008E1057">
        <w:t xml:space="preserve">estimated </w:t>
      </w:r>
      <w:r w:rsidR="008B02F1">
        <w:t xml:space="preserve">halibut </w:t>
      </w:r>
      <w:r w:rsidR="008E1057">
        <w:t>caught</w:t>
      </w:r>
      <w:r w:rsidR="008B02F1">
        <w:t xml:space="preserve"> on sampled hauls of GOA trawl vessels</w:t>
      </w:r>
      <w:r w:rsidRPr="00691019">
        <w:t>.</w:t>
      </w:r>
      <w:r w:rsidRPr="00691019">
        <w:rPr>
          <w:rStyle w:val="FootnoteReference"/>
        </w:rPr>
        <w:footnoteReference w:id="4"/>
      </w:r>
      <w:r w:rsidR="00F22C4C" w:rsidRPr="00691019">
        <w:t xml:space="preserve"> </w:t>
      </w:r>
      <w:r w:rsidR="008B02F1">
        <w:t xml:space="preserve">That </w:t>
      </w:r>
      <w:r w:rsidR="00094116">
        <w:t>means</w:t>
      </w:r>
      <w:r w:rsidR="008B02F1">
        <w:t xml:space="preserve"> 1 halibut </w:t>
      </w:r>
      <w:r w:rsidR="00094116">
        <w:t xml:space="preserve">was </w:t>
      </w:r>
      <w:r w:rsidR="008B02F1">
        <w:t xml:space="preserve">assessed by an observer for every 500 caught </w:t>
      </w:r>
      <w:r w:rsidR="005D7254">
        <w:t xml:space="preserve">during 2015 </w:t>
      </w:r>
      <w:r w:rsidR="008B02F1">
        <w:t>in GOA trawl fisheries.</w:t>
      </w:r>
      <w:r w:rsidR="005D7254">
        <w:t xml:space="preserve"> </w:t>
      </w:r>
      <w:r w:rsidR="008E1057">
        <w:t>Of the 3,828 hauls sampled for the GOA trawl fleet in 2015, halibut viabilities were collected on 97 hauls (</w:t>
      </w:r>
      <w:r w:rsidR="0016131E">
        <w:t xml:space="preserve">while </w:t>
      </w:r>
      <w:r w:rsidR="008E1057">
        <w:t>halibut lengths were collected on 1,112 hauls).</w:t>
      </w:r>
      <w:r w:rsidR="008E1057">
        <w:rPr>
          <w:rStyle w:val="FootnoteReference"/>
        </w:rPr>
        <w:footnoteReference w:id="5"/>
      </w:r>
      <w:r w:rsidR="008E1057">
        <w:t xml:space="preserve"> </w:t>
      </w:r>
      <w:r w:rsidR="005D7254">
        <w:t>The most recent DMRs accepted for GOA pelagic trawl vessels are 100% and non-pelagic trawls between 62-84%,</w:t>
      </w:r>
      <w:r w:rsidR="00094116" w:rsidRPr="00691019">
        <w:rPr>
          <w:rStyle w:val="FootnoteReference"/>
          <w:rFonts w:cs="Times New Roman"/>
        </w:rPr>
        <w:footnoteReference w:id="6"/>
      </w:r>
      <w:r w:rsidR="005D7254">
        <w:t xml:space="preserve"> but these numbers are based on a small fraction of halibut caught in trawls, handled by fishermen, assessed by observers, and rele</w:t>
      </w:r>
      <w:r w:rsidR="0018313A">
        <w:t>ased back to the ocean.</w:t>
      </w:r>
      <w:r w:rsidR="008B02F1">
        <w:t xml:space="preserve"> </w:t>
      </w:r>
      <w:r w:rsidR="005D7254">
        <w:rPr>
          <w:rFonts w:cs="Times New Roman"/>
        </w:rPr>
        <w:t>Higher observer coverage can yield more halibut data</w:t>
      </w:r>
      <w:r w:rsidR="00F22C4C" w:rsidRPr="00691019">
        <w:t>, and better DMRs could be calculated and applied to trawl fisheries to monitor PSC caps</w:t>
      </w:r>
      <w:r w:rsidR="0018313A">
        <w:t>.</w:t>
      </w:r>
    </w:p>
    <w:p w14:paraId="34020E7F" w14:textId="77777777" w:rsidR="008A403F" w:rsidRPr="00496858" w:rsidRDefault="00C44BED" w:rsidP="00496858">
      <w:pPr>
        <w:autoSpaceDE w:val="0"/>
        <w:autoSpaceDN w:val="0"/>
        <w:adjustRightInd w:val="0"/>
        <w:rPr>
          <w:rFonts w:cs="Times New Roman"/>
        </w:rPr>
      </w:pPr>
      <w:r>
        <w:rPr>
          <w:rFonts w:cs="Times New Roman"/>
        </w:rPr>
        <w:t xml:space="preserve">Chinook salmon are another PSC species which can directly affect trawl fisheries in the GOA. Just as there are concerns over sampling </w:t>
      </w:r>
      <w:r w:rsidR="00170D6C">
        <w:rPr>
          <w:rFonts w:cs="Times New Roman"/>
        </w:rPr>
        <w:t>a representative number of halibut</w:t>
      </w:r>
      <w:r>
        <w:rPr>
          <w:rFonts w:cs="Times New Roman"/>
        </w:rPr>
        <w:t xml:space="preserve">, </w:t>
      </w:r>
      <w:r w:rsidR="00170D6C">
        <w:rPr>
          <w:rFonts w:cs="Times New Roman"/>
        </w:rPr>
        <w:t xml:space="preserve">NMFS has been unsuccessful at meeting its goal of </w:t>
      </w:r>
      <w:r w:rsidR="00292D75">
        <w:rPr>
          <w:rFonts w:cs="Times New Roman"/>
        </w:rPr>
        <w:t xml:space="preserve">a representative </w:t>
      </w:r>
      <w:r w:rsidR="00170D6C">
        <w:rPr>
          <w:rFonts w:cs="Times New Roman"/>
        </w:rPr>
        <w:t>sampl</w:t>
      </w:r>
      <w:r w:rsidR="00292D75">
        <w:rPr>
          <w:rFonts w:cs="Times New Roman"/>
        </w:rPr>
        <w:t>e of</w:t>
      </w:r>
      <w:r w:rsidR="00170D6C">
        <w:rPr>
          <w:rFonts w:cs="Times New Roman"/>
        </w:rPr>
        <w:t xml:space="preserve"> salmon bycatch in the GOA pollock trawl fleet.</w:t>
      </w:r>
      <w:r w:rsidR="00170D6C">
        <w:rPr>
          <w:rStyle w:val="FootnoteReference"/>
          <w:rFonts w:cs="Times New Roman"/>
        </w:rPr>
        <w:footnoteReference w:id="7"/>
      </w:r>
      <w:r w:rsidR="00A35642">
        <w:rPr>
          <w:rFonts w:cs="Times New Roman"/>
        </w:rPr>
        <w:t xml:space="preserve"> Potential solutions to increase salmon bycatch monitoring </w:t>
      </w:r>
      <w:r w:rsidR="00496858">
        <w:rPr>
          <w:rFonts w:cs="Times New Roman"/>
        </w:rPr>
        <w:t>and decrease any possible biases from observed trips delivering to tender vessels were discussed during the October 2017 Council meeting.</w:t>
      </w:r>
      <w:r w:rsidR="00496858">
        <w:rPr>
          <w:rStyle w:val="FootnoteReference"/>
          <w:rFonts w:cs="Times New Roman"/>
        </w:rPr>
        <w:footnoteReference w:id="8"/>
      </w:r>
      <w:r w:rsidR="00496858">
        <w:rPr>
          <w:rFonts w:cs="Times New Roman"/>
        </w:rPr>
        <w:t xml:space="preserve"> A straightforward solution is 100% observer coverage on trawl vessels delivering to tenders, an option proposed in the 2016 Observer Annual Report.</w:t>
      </w:r>
      <w:r w:rsidR="00162C7C">
        <w:rPr>
          <w:rFonts w:cs="Times New Roman"/>
        </w:rPr>
        <w:t xml:space="preserve"> Opposition to that solution argues that it is difficult to predict which trips will deliver to tenders, therefore making it difficult to know if an observer is needed for that trip and offload;</w:t>
      </w:r>
      <w:r w:rsidR="00496858">
        <w:rPr>
          <w:rFonts w:cs="Times New Roman"/>
        </w:rPr>
        <w:t xml:space="preserve"> a straightforward solution is 100% observer coverage on all GOA pollock trawl vessels.</w:t>
      </w:r>
    </w:p>
    <w:p w14:paraId="4DF2DF79" w14:textId="77777777" w:rsidR="00E76188" w:rsidRPr="00283B76" w:rsidRDefault="00E76188" w:rsidP="0018313A">
      <w:pPr>
        <w:autoSpaceDE w:val="0"/>
        <w:autoSpaceDN w:val="0"/>
        <w:adjustRightInd w:val="0"/>
        <w:rPr>
          <w:rFonts w:cs="Times New Roman"/>
        </w:rPr>
      </w:pPr>
      <w:r w:rsidRPr="00283B76">
        <w:rPr>
          <w:rFonts w:cs="Times New Roman"/>
        </w:rPr>
        <w:t xml:space="preserve">There is public support for full observer coverage of the GOA trawl fleet. During discussion of the trawl bycatch management plan, thirty companies, non-profits, vessel </w:t>
      </w:r>
      <w:r w:rsidR="00627B67" w:rsidRPr="00283B76">
        <w:rPr>
          <w:rFonts w:cs="Times New Roman"/>
        </w:rPr>
        <w:t>owner</w:t>
      </w:r>
      <w:r w:rsidRPr="00283B76">
        <w:rPr>
          <w:rFonts w:cs="Times New Roman"/>
        </w:rPr>
        <w:t xml:space="preserve">/operators, and Alaska citizens </w:t>
      </w:r>
      <w:r w:rsidRPr="00283B76">
        <w:rPr>
          <w:rFonts w:cs="Times New Roman"/>
        </w:rPr>
        <w:lastRenderedPageBreak/>
        <w:t>offered public comment</w:t>
      </w:r>
      <w:r w:rsidRPr="00283B76">
        <w:rPr>
          <w:rStyle w:val="FootnoteReference"/>
          <w:rFonts w:cs="Times New Roman"/>
        </w:rPr>
        <w:footnoteReference w:id="9"/>
      </w:r>
      <w:r w:rsidRPr="00283B76">
        <w:rPr>
          <w:rFonts w:cs="Times New Roman"/>
        </w:rPr>
        <w:t xml:space="preserve"> in support of plan alternatives that included 100% observer </w:t>
      </w:r>
      <w:r w:rsidR="003B185F">
        <w:rPr>
          <w:rFonts w:cs="Times New Roman"/>
        </w:rPr>
        <w:t>coverage</w:t>
      </w:r>
      <w:r w:rsidRPr="00283B76">
        <w:rPr>
          <w:rFonts w:cs="Times New Roman"/>
        </w:rPr>
        <w:t>. Those groups include GOA coastal city councils, fishermen, conservation organizations, and Native Alaskan tribal councils.</w:t>
      </w:r>
    </w:p>
    <w:p w14:paraId="79740DC7" w14:textId="77777777" w:rsidR="0018313A" w:rsidRPr="009168B9" w:rsidRDefault="003B185F" w:rsidP="0018313A">
      <w:pPr>
        <w:autoSpaceDE w:val="0"/>
        <w:autoSpaceDN w:val="0"/>
        <w:adjustRightInd w:val="0"/>
        <w:rPr>
          <w:rFonts w:cs="Times New Roman"/>
        </w:rPr>
      </w:pPr>
      <w:r w:rsidRPr="009168B9">
        <w:rPr>
          <w:rFonts w:cs="Times New Roman"/>
        </w:rPr>
        <w:t xml:space="preserve">Observer coverage is fundamental to effective fisheries management. More coverage yields more data which results in better management. A goal of the proposed GOA trawl bycatch management plan was to include measures for improved monitoring and reporting. Tabling the discussion of a catch-share program for the GOA trawl fleet does not remove that need and should not hinder the Council and NMFS from implementing a full coverage management strategy. </w:t>
      </w:r>
    </w:p>
    <w:p w14:paraId="74418FEA" w14:textId="77777777" w:rsidR="008A403F" w:rsidRPr="009168B9" w:rsidRDefault="008A403F" w:rsidP="008A403F">
      <w:pPr>
        <w:spacing w:line="240" w:lineRule="auto"/>
        <w:rPr>
          <w:rFonts w:cs="Times New Roman"/>
        </w:rPr>
      </w:pPr>
      <w:r w:rsidRPr="009168B9">
        <w:rPr>
          <w:rFonts w:cs="Times New Roman"/>
          <w:noProof/>
        </w:rPr>
        <w:drawing>
          <wp:anchor distT="0" distB="0" distL="114300" distR="114300" simplePos="0" relativeHeight="251659264" behindDoc="0" locked="0" layoutInCell="1" allowOverlap="1" wp14:anchorId="4EF89049" wp14:editId="30C42CF1">
            <wp:simplePos x="0" y="0"/>
            <wp:positionH relativeFrom="column">
              <wp:posOffset>-152400</wp:posOffset>
            </wp:positionH>
            <wp:positionV relativeFrom="paragraph">
              <wp:posOffset>283845</wp:posOffset>
            </wp:positionV>
            <wp:extent cx="1705365" cy="73152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san_Murray_Signature.jpg"/>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705365" cy="731520"/>
                    </a:xfrm>
                    <a:prstGeom prst="rect">
                      <a:avLst/>
                    </a:prstGeom>
                  </pic:spPr>
                </pic:pic>
              </a:graphicData>
            </a:graphic>
            <wp14:sizeRelH relativeFrom="page">
              <wp14:pctWidth>0</wp14:pctWidth>
            </wp14:sizeRelH>
            <wp14:sizeRelV relativeFrom="page">
              <wp14:pctHeight>0</wp14:pctHeight>
            </wp14:sizeRelV>
          </wp:anchor>
        </w:drawing>
      </w:r>
      <w:r w:rsidRPr="009168B9">
        <w:rPr>
          <w:rFonts w:cs="Times New Roman"/>
        </w:rPr>
        <w:t>Sincerely,</w:t>
      </w:r>
    </w:p>
    <w:p w14:paraId="123AF155" w14:textId="77777777" w:rsidR="008A403F" w:rsidRPr="00B8325F" w:rsidRDefault="008A403F" w:rsidP="008A403F">
      <w:pPr>
        <w:spacing w:after="0" w:line="240" w:lineRule="auto"/>
        <w:rPr>
          <w:rFonts w:cs="Times New Roman"/>
          <w:sz w:val="16"/>
          <w:szCs w:val="16"/>
        </w:rPr>
      </w:pPr>
      <w:r w:rsidRPr="0057234F">
        <w:rPr>
          <w:rFonts w:cs="Times New Roman"/>
        </w:rPr>
        <w:t xml:space="preserve"> </w:t>
      </w:r>
    </w:p>
    <w:p w14:paraId="7A48FDF3" w14:textId="77777777" w:rsidR="008A403F" w:rsidRDefault="008A403F" w:rsidP="008A403F">
      <w:pPr>
        <w:spacing w:after="0" w:line="240" w:lineRule="auto"/>
        <w:rPr>
          <w:rFonts w:cs="Times New Roman"/>
          <w:sz w:val="16"/>
          <w:szCs w:val="16"/>
        </w:rPr>
      </w:pPr>
    </w:p>
    <w:p w14:paraId="5D435CB2" w14:textId="77777777" w:rsidR="008A403F" w:rsidRDefault="008A403F" w:rsidP="008A403F">
      <w:pPr>
        <w:spacing w:after="0" w:line="240" w:lineRule="auto"/>
        <w:rPr>
          <w:rFonts w:cs="Times New Roman"/>
          <w:sz w:val="16"/>
          <w:szCs w:val="16"/>
        </w:rPr>
      </w:pPr>
    </w:p>
    <w:p w14:paraId="7C47F798" w14:textId="77777777" w:rsidR="008A403F" w:rsidRDefault="008A403F" w:rsidP="008A403F">
      <w:pPr>
        <w:spacing w:after="0" w:line="240" w:lineRule="auto"/>
        <w:rPr>
          <w:rFonts w:cs="Times New Roman"/>
          <w:sz w:val="16"/>
          <w:szCs w:val="16"/>
        </w:rPr>
      </w:pPr>
    </w:p>
    <w:p w14:paraId="6FF287BD" w14:textId="77777777" w:rsidR="008A403F" w:rsidRDefault="008A403F" w:rsidP="008A403F">
      <w:pPr>
        <w:spacing w:after="0" w:line="240" w:lineRule="auto"/>
        <w:rPr>
          <w:rFonts w:cs="Times New Roman"/>
          <w:sz w:val="16"/>
          <w:szCs w:val="16"/>
        </w:rPr>
      </w:pPr>
    </w:p>
    <w:p w14:paraId="464E51E0" w14:textId="77777777" w:rsidR="008A403F" w:rsidRPr="00283BD7" w:rsidRDefault="008A403F" w:rsidP="008A403F">
      <w:pPr>
        <w:spacing w:after="0" w:line="240" w:lineRule="auto"/>
        <w:rPr>
          <w:rFonts w:cs="Times New Roman"/>
          <w:sz w:val="16"/>
          <w:szCs w:val="16"/>
        </w:rPr>
      </w:pPr>
    </w:p>
    <w:p w14:paraId="45A7CDB9" w14:textId="77777777" w:rsidR="008A403F" w:rsidRPr="0057234F" w:rsidRDefault="008A403F" w:rsidP="008A403F">
      <w:pPr>
        <w:pStyle w:val="NoSpacing"/>
      </w:pPr>
      <w:r w:rsidRPr="0057234F">
        <w:t>Susan Murray</w:t>
      </w:r>
    </w:p>
    <w:p w14:paraId="518C19C2" w14:textId="77777777" w:rsidR="008A403F" w:rsidRPr="0057234F" w:rsidRDefault="008A403F" w:rsidP="008A403F">
      <w:pPr>
        <w:pStyle w:val="NoSpacing"/>
      </w:pPr>
      <w:r w:rsidRPr="0057234F">
        <w:t>Deputy Vice President, Pacific</w:t>
      </w:r>
    </w:p>
    <w:p w14:paraId="06C5025E" w14:textId="77777777" w:rsidR="00992855" w:rsidRDefault="008A403F" w:rsidP="00F61A8A">
      <w:pPr>
        <w:pStyle w:val="NoSpacing"/>
      </w:pPr>
      <w:r w:rsidRPr="0057234F">
        <w:t>Oceana</w:t>
      </w:r>
    </w:p>
    <w:sectPr w:rsidR="00992855" w:rsidSect="00F61A8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91741" w14:textId="77777777" w:rsidR="004F2359" w:rsidRDefault="004F2359" w:rsidP="00472D48">
      <w:pPr>
        <w:spacing w:after="0" w:line="240" w:lineRule="auto"/>
      </w:pPr>
      <w:r>
        <w:separator/>
      </w:r>
    </w:p>
  </w:endnote>
  <w:endnote w:type="continuationSeparator" w:id="0">
    <w:p w14:paraId="087CA9A8" w14:textId="77777777" w:rsidR="004F2359" w:rsidRDefault="004F2359" w:rsidP="0047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B51C2" w14:textId="77777777" w:rsidR="004F2359" w:rsidRDefault="004F2359" w:rsidP="00472D48">
      <w:pPr>
        <w:spacing w:after="0" w:line="240" w:lineRule="auto"/>
      </w:pPr>
      <w:r>
        <w:separator/>
      </w:r>
    </w:p>
  </w:footnote>
  <w:footnote w:type="continuationSeparator" w:id="0">
    <w:p w14:paraId="5E2326DD" w14:textId="77777777" w:rsidR="004F2359" w:rsidRDefault="004F2359" w:rsidP="00472D48">
      <w:pPr>
        <w:spacing w:after="0" w:line="240" w:lineRule="auto"/>
      </w:pPr>
      <w:r>
        <w:continuationSeparator/>
      </w:r>
    </w:p>
  </w:footnote>
  <w:footnote w:id="1">
    <w:p w14:paraId="6544661F" w14:textId="77777777" w:rsidR="003A4C09" w:rsidRPr="00170D6C" w:rsidRDefault="003A4C09" w:rsidP="00283B76">
      <w:pPr>
        <w:spacing w:after="0"/>
        <w:rPr>
          <w:sz w:val="20"/>
          <w:szCs w:val="20"/>
        </w:rPr>
      </w:pPr>
      <w:r w:rsidRPr="00170D6C">
        <w:rPr>
          <w:rStyle w:val="FootnoteReference"/>
          <w:sz w:val="20"/>
          <w:szCs w:val="20"/>
        </w:rPr>
        <w:footnoteRef/>
      </w:r>
      <w:r w:rsidRPr="00170D6C">
        <w:rPr>
          <w:sz w:val="20"/>
          <w:szCs w:val="20"/>
        </w:rPr>
        <w:t xml:space="preserve"> NPFMC meeting, October 9, 2012, D-1(a) Council Motion - GOA Trawl PSC tools</w:t>
      </w:r>
    </w:p>
  </w:footnote>
  <w:footnote w:id="2">
    <w:p w14:paraId="0C0EA1DC" w14:textId="77777777" w:rsidR="003A4C09" w:rsidRPr="00170D6C" w:rsidRDefault="003A4C09">
      <w:pPr>
        <w:pStyle w:val="FootnoteText"/>
      </w:pPr>
      <w:r w:rsidRPr="00170D6C">
        <w:rPr>
          <w:rStyle w:val="FootnoteReference"/>
        </w:rPr>
        <w:footnoteRef/>
      </w:r>
      <w:r w:rsidRPr="00170D6C">
        <w:t xml:space="preserve"> </w:t>
      </w:r>
      <w:hyperlink r:id="rId1" w:history="1">
        <w:r w:rsidRPr="00170D6C">
          <w:rPr>
            <w:rStyle w:val="Hyperlink"/>
          </w:rPr>
          <w:t>https://www.federalregister.gov/documents/2007/05/30/E7-9828/fisheries-of-the-exclusive-economic-zone-off-alaska-allocating-bering-seaaleutian-islands-fishery</w:t>
        </w:r>
      </w:hyperlink>
    </w:p>
  </w:footnote>
  <w:footnote w:id="3">
    <w:p w14:paraId="28642C4C" w14:textId="77777777" w:rsidR="003A4C09" w:rsidRDefault="003A4C09">
      <w:pPr>
        <w:pStyle w:val="FootnoteText"/>
      </w:pPr>
      <w:r w:rsidRPr="00170D6C">
        <w:rPr>
          <w:rStyle w:val="FootnoteReference"/>
        </w:rPr>
        <w:footnoteRef/>
      </w:r>
      <w:r w:rsidRPr="00170D6C">
        <w:t xml:space="preserve"> </w:t>
      </w:r>
      <w:hyperlink r:id="rId2" w:history="1">
        <w:r w:rsidRPr="00170D6C">
          <w:rPr>
            <w:rStyle w:val="Hyperlink"/>
            <w:rFonts w:cs="Times New Roman"/>
          </w:rPr>
          <w:t>https://alaskafisheries.noaa.gov/sites/default/files/reports/car150_goa_halibut_mortality2017.pdf</w:t>
        </w:r>
      </w:hyperlink>
    </w:p>
  </w:footnote>
  <w:footnote w:id="4">
    <w:p w14:paraId="26041C01" w14:textId="77777777" w:rsidR="003A4C09" w:rsidRPr="00691019" w:rsidRDefault="003A4C09" w:rsidP="001C244C">
      <w:pPr>
        <w:pStyle w:val="FootnoteText"/>
      </w:pPr>
      <w:r>
        <w:rPr>
          <w:rStyle w:val="FootnoteReference"/>
        </w:rPr>
        <w:footnoteRef/>
      </w:r>
      <w:r>
        <w:t xml:space="preserve"> </w:t>
      </w:r>
      <w:r w:rsidRPr="00691019">
        <w:t>Armstrong, J., J. Cahalan, L. Chilton, D. Evans, M. Fey, M. Furuness, J. Gasper, B. Leaman, C. Rilling, and I. Stewart. 2016. Halibut Discard Mortality Rates for the Alaska groundfish fisheries, Discussion draft, April 2016 (Agenda Item C7). NPMFC, Anchorage, AK, 46 p.</w:t>
      </w:r>
    </w:p>
  </w:footnote>
  <w:footnote w:id="5">
    <w:p w14:paraId="06B31547" w14:textId="77777777" w:rsidR="008E1057" w:rsidRDefault="008E1057">
      <w:pPr>
        <w:pStyle w:val="FootnoteText"/>
      </w:pPr>
      <w:r>
        <w:rPr>
          <w:rStyle w:val="FootnoteReference"/>
        </w:rPr>
        <w:footnoteRef/>
      </w:r>
      <w:r>
        <w:t xml:space="preserve"> Id.</w:t>
      </w:r>
    </w:p>
  </w:footnote>
  <w:footnote w:id="6">
    <w:p w14:paraId="1F440023" w14:textId="77777777" w:rsidR="00094116" w:rsidRDefault="00094116" w:rsidP="00094116">
      <w:pPr>
        <w:autoSpaceDE w:val="0"/>
        <w:autoSpaceDN w:val="0"/>
        <w:adjustRightInd w:val="0"/>
        <w:spacing w:after="0" w:line="240" w:lineRule="auto"/>
      </w:pPr>
      <w:r w:rsidRPr="00691019">
        <w:rPr>
          <w:rStyle w:val="FootnoteReference"/>
        </w:rPr>
        <w:footnoteRef/>
      </w:r>
      <w:r w:rsidRPr="00691019">
        <w:t xml:space="preserve"> </w:t>
      </w:r>
      <w:r w:rsidRPr="00691019">
        <w:rPr>
          <w:rFonts w:cs="Times New Roman"/>
          <w:sz w:val="20"/>
          <w:szCs w:val="20"/>
        </w:rPr>
        <w:t>December 2017 NPFMC meeting agenda item C5</w:t>
      </w:r>
      <w:r>
        <w:rPr>
          <w:rFonts w:cs="Times New Roman"/>
          <w:sz w:val="20"/>
          <w:szCs w:val="20"/>
        </w:rPr>
        <w:t>:</w:t>
      </w:r>
      <w:r w:rsidRPr="00691019">
        <w:rPr>
          <w:rFonts w:cs="Times New Roman"/>
          <w:sz w:val="20"/>
          <w:szCs w:val="20"/>
        </w:rPr>
        <w:t xml:space="preserve"> GOA Groundfish SAFE Report and 2018/2019 Harvest Specifications</w:t>
      </w:r>
    </w:p>
  </w:footnote>
  <w:footnote w:id="7">
    <w:p w14:paraId="0EC6132A" w14:textId="77777777" w:rsidR="003A4C09" w:rsidRPr="00496858" w:rsidRDefault="003A4C09" w:rsidP="00496858">
      <w:pPr>
        <w:spacing w:after="0"/>
        <w:rPr>
          <w:sz w:val="20"/>
          <w:szCs w:val="20"/>
        </w:rPr>
      </w:pPr>
      <w:r w:rsidRPr="00170D6C">
        <w:rPr>
          <w:rStyle w:val="FootnoteReference"/>
          <w:sz w:val="20"/>
          <w:szCs w:val="20"/>
        </w:rPr>
        <w:footnoteRef/>
      </w:r>
      <w:r w:rsidRPr="00170D6C">
        <w:rPr>
          <w:sz w:val="20"/>
          <w:szCs w:val="20"/>
        </w:rPr>
        <w:t xml:space="preserve"> </w:t>
      </w:r>
      <w:r w:rsidR="00292D75">
        <w:rPr>
          <w:sz w:val="20"/>
          <w:szCs w:val="20"/>
        </w:rPr>
        <w:t>See Chapter 3 concerning the coverage rates for dockside monitoring and tendering activity and Chapter 5 con</w:t>
      </w:r>
      <w:r w:rsidR="00162C7C">
        <w:rPr>
          <w:sz w:val="20"/>
          <w:szCs w:val="20"/>
        </w:rPr>
        <w:t>c</w:t>
      </w:r>
      <w:r w:rsidR="00292D75">
        <w:rPr>
          <w:sz w:val="20"/>
          <w:szCs w:val="20"/>
        </w:rPr>
        <w:t xml:space="preserve">erning Observer Program complaints on Gulf of Alaska salmon bycatch: </w:t>
      </w:r>
      <w:r w:rsidRPr="00170D6C">
        <w:rPr>
          <w:sz w:val="20"/>
          <w:szCs w:val="20"/>
        </w:rPr>
        <w:t>Alaska Fisheries Science Center and Alaska Regional Office. 2017. North Pacific Observer Program 2016 Annual Report. AFSC Processed Rep. 2017-07, 143p. AFSC, NOAA, NMFS, 7600 Sand Point Way NE, Seattle, WA 98115</w:t>
      </w:r>
    </w:p>
  </w:footnote>
  <w:footnote w:id="8">
    <w:p w14:paraId="5FD9DA91" w14:textId="77777777" w:rsidR="003A4C09" w:rsidRDefault="003A4C09">
      <w:pPr>
        <w:pStyle w:val="FootnoteText"/>
      </w:pPr>
      <w:r>
        <w:rPr>
          <w:rStyle w:val="FootnoteReference"/>
        </w:rPr>
        <w:footnoteRef/>
      </w:r>
      <w:r>
        <w:t xml:space="preserve"> October 2017 NPFMC meeting agenda item C5: Observer issues associated with delivering to tender vessels, draft scoping paper for the Observer Advisory Committee</w:t>
      </w:r>
    </w:p>
  </w:footnote>
  <w:footnote w:id="9">
    <w:p w14:paraId="43A2E23D" w14:textId="77777777" w:rsidR="003A4C09" w:rsidRDefault="003A4C09" w:rsidP="00E76188">
      <w:pPr>
        <w:pStyle w:val="FootnoteText"/>
      </w:pPr>
      <w:r>
        <w:rPr>
          <w:rStyle w:val="FootnoteReference"/>
        </w:rPr>
        <w:footnoteRef/>
      </w:r>
      <w:r>
        <w:t xml:space="preserve"> C</w:t>
      </w:r>
      <w:r w:rsidRPr="006D6298">
        <w:t>5 GOA Trawl Bycatch Management – Discussion Paper Public Comments, June 2016 http://legistar2.granicus.com/npfmc/meetings/2016/6/939_A_North_Pacific_Council_16-06-06_Meeting_Agenda.pdf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B6320" w14:textId="2064D154" w:rsidR="003A4C09" w:rsidRDefault="006C4EDC" w:rsidP="00AA3EA9">
    <w:pPr>
      <w:spacing w:after="0" w:line="240" w:lineRule="auto"/>
      <w:rPr>
        <w:rFonts w:cs="Times New Roman"/>
      </w:rPr>
    </w:pPr>
    <w:r>
      <w:rPr>
        <w:rFonts w:cs="Times New Roman"/>
      </w:rPr>
      <w:t xml:space="preserve">D2 </w:t>
    </w:r>
    <w:r w:rsidR="003A4C09" w:rsidRPr="00AA3EA9">
      <w:rPr>
        <w:rFonts w:cs="Times New Roman"/>
      </w:rPr>
      <w:t>Observer and Electronic Monitoring Projects</w:t>
    </w:r>
  </w:p>
  <w:p w14:paraId="38A66C8F" w14:textId="4007A5FE" w:rsidR="00BF7F42" w:rsidRPr="00AA3EA9" w:rsidRDefault="00BF7F42" w:rsidP="00AA3EA9">
    <w:pPr>
      <w:spacing w:after="0" w:line="240" w:lineRule="auto"/>
      <w:rPr>
        <w:rFonts w:cs="Times New Roman"/>
      </w:rPr>
    </w:pPr>
    <w:r w:rsidRPr="00AA3EA9">
      <w:rPr>
        <w:rFonts w:cs="Times New Roman"/>
      </w:rPr>
      <w:t>Oceana Comment</w:t>
    </w:r>
  </w:p>
  <w:p w14:paraId="2CB6B950" w14:textId="77777777" w:rsidR="003A4C09" w:rsidRPr="00AA3EA9" w:rsidRDefault="003A4C09" w:rsidP="00AA3EA9">
    <w:pPr>
      <w:spacing w:after="0" w:line="240" w:lineRule="auto"/>
      <w:rPr>
        <w:rFonts w:cs="Times New Roman"/>
      </w:rPr>
    </w:pPr>
    <w:r w:rsidRPr="00AA3EA9">
      <w:rPr>
        <w:rFonts w:cs="Times New Roman"/>
      </w:rPr>
      <w:t>February 1, 2018</w:t>
    </w:r>
  </w:p>
  <w:p w14:paraId="78F0011C" w14:textId="1BD822A6" w:rsidR="003A4C09" w:rsidRPr="00AA3EA9" w:rsidRDefault="003A4C09" w:rsidP="00AA3EA9">
    <w:pPr>
      <w:pStyle w:val="Header"/>
      <w:rPr>
        <w:rFonts w:cs="Times New Roman"/>
      </w:rPr>
    </w:pPr>
    <w:r w:rsidRPr="00AA3EA9">
      <w:rPr>
        <w:rFonts w:cs="Times New Roman"/>
      </w:rPr>
      <w:t xml:space="preserve">Page </w:t>
    </w:r>
    <w:r w:rsidRPr="00AA3EA9">
      <w:rPr>
        <w:rFonts w:cs="Times New Roman"/>
      </w:rPr>
      <w:fldChar w:fldCharType="begin"/>
    </w:r>
    <w:r w:rsidRPr="00AA3EA9">
      <w:rPr>
        <w:rFonts w:cs="Times New Roman"/>
      </w:rPr>
      <w:instrText xml:space="preserve"> PAGE   \* MERGEFORMAT </w:instrText>
    </w:r>
    <w:r w:rsidRPr="00AA3EA9">
      <w:rPr>
        <w:rFonts w:cs="Times New Roman"/>
      </w:rPr>
      <w:fldChar w:fldCharType="separate"/>
    </w:r>
    <w:r w:rsidR="00BF7F42">
      <w:rPr>
        <w:rFonts w:cs="Times New Roman"/>
        <w:noProof/>
      </w:rPr>
      <w:t>2</w:t>
    </w:r>
    <w:r w:rsidRPr="00AA3EA9">
      <w:rPr>
        <w:rFonts w:cs="Times New Roman"/>
        <w:noProof/>
      </w:rPr>
      <w:fldChar w:fldCharType="end"/>
    </w:r>
  </w:p>
  <w:p w14:paraId="2A678137" w14:textId="77777777" w:rsidR="003A4C09" w:rsidRDefault="003A4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91A9" w14:textId="77777777" w:rsidR="003A4C09" w:rsidRDefault="003A4C09">
    <w:pPr>
      <w:pStyle w:val="Header"/>
    </w:pPr>
    <w:r>
      <w:rPr>
        <w:noProof/>
      </w:rPr>
      <w:drawing>
        <wp:anchor distT="0" distB="0" distL="114300" distR="114300" simplePos="0" relativeHeight="251658240" behindDoc="0" locked="1" layoutInCell="1" allowOverlap="1" wp14:anchorId="19887A4E" wp14:editId="23C8B13E">
          <wp:simplePos x="0" y="0"/>
          <wp:positionH relativeFrom="column">
            <wp:posOffset>-323850</wp:posOffset>
          </wp:positionH>
          <wp:positionV relativeFrom="paragraph">
            <wp:posOffset>-276225</wp:posOffset>
          </wp:positionV>
          <wp:extent cx="3200400" cy="137033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Image.pdf"/>
                  <pic:cNvPicPr/>
                </pic:nvPicPr>
                <pic:blipFill rotWithShape="1">
                  <a:blip r:embed="rId1">
                    <a:extLst>
                      <a:ext uri="{28A0092B-C50C-407E-A947-70E740481C1C}">
                        <a14:useLocalDpi xmlns:a14="http://schemas.microsoft.com/office/drawing/2010/main" val="0"/>
                      </a:ext>
                    </a:extLst>
                  </a:blip>
                  <a:srcRect r="58824"/>
                  <a:stretch/>
                </pic:blipFill>
                <pic:spPr bwMode="auto">
                  <a:xfrm>
                    <a:off x="0" y="0"/>
                    <a:ext cx="3200400" cy="1370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5655EF"/>
    <w:multiLevelType w:val="hybridMultilevel"/>
    <w:tmpl w:val="81261C36"/>
    <w:lvl w:ilvl="0" w:tplc="710A17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D48"/>
    <w:rsid w:val="000210BE"/>
    <w:rsid w:val="00037425"/>
    <w:rsid w:val="000705A7"/>
    <w:rsid w:val="00072B7A"/>
    <w:rsid w:val="00094116"/>
    <w:rsid w:val="000E30F7"/>
    <w:rsid w:val="000F498E"/>
    <w:rsid w:val="00117CD0"/>
    <w:rsid w:val="00133F36"/>
    <w:rsid w:val="00146F4A"/>
    <w:rsid w:val="00152987"/>
    <w:rsid w:val="0016131E"/>
    <w:rsid w:val="00162550"/>
    <w:rsid w:val="00162C7C"/>
    <w:rsid w:val="001656D1"/>
    <w:rsid w:val="00170D6C"/>
    <w:rsid w:val="00172E5A"/>
    <w:rsid w:val="0018313A"/>
    <w:rsid w:val="001B7B7E"/>
    <w:rsid w:val="001C06A3"/>
    <w:rsid w:val="001C244C"/>
    <w:rsid w:val="001F6CC8"/>
    <w:rsid w:val="002260E1"/>
    <w:rsid w:val="00226E36"/>
    <w:rsid w:val="00231F31"/>
    <w:rsid w:val="0023695C"/>
    <w:rsid w:val="00266964"/>
    <w:rsid w:val="00271A34"/>
    <w:rsid w:val="00283B76"/>
    <w:rsid w:val="00292D75"/>
    <w:rsid w:val="00296F30"/>
    <w:rsid w:val="002A572E"/>
    <w:rsid w:val="002C2134"/>
    <w:rsid w:val="002D4D5B"/>
    <w:rsid w:val="002E7AF6"/>
    <w:rsid w:val="00323ABB"/>
    <w:rsid w:val="00333C75"/>
    <w:rsid w:val="00336FC5"/>
    <w:rsid w:val="00352B33"/>
    <w:rsid w:val="00373A83"/>
    <w:rsid w:val="00386B27"/>
    <w:rsid w:val="00392743"/>
    <w:rsid w:val="003A4C09"/>
    <w:rsid w:val="003B185F"/>
    <w:rsid w:val="003B4DAF"/>
    <w:rsid w:val="003B67A0"/>
    <w:rsid w:val="003D3A99"/>
    <w:rsid w:val="00403722"/>
    <w:rsid w:val="00472D48"/>
    <w:rsid w:val="0048551D"/>
    <w:rsid w:val="004878BB"/>
    <w:rsid w:val="00487DFA"/>
    <w:rsid w:val="00496858"/>
    <w:rsid w:val="004B1726"/>
    <w:rsid w:val="004F219D"/>
    <w:rsid w:val="004F2359"/>
    <w:rsid w:val="005013FA"/>
    <w:rsid w:val="00507993"/>
    <w:rsid w:val="005279FB"/>
    <w:rsid w:val="005302EC"/>
    <w:rsid w:val="00546F2A"/>
    <w:rsid w:val="00573D99"/>
    <w:rsid w:val="00594E6A"/>
    <w:rsid w:val="005C7E47"/>
    <w:rsid w:val="005D4BF1"/>
    <w:rsid w:val="005D7254"/>
    <w:rsid w:val="005E1629"/>
    <w:rsid w:val="00606A17"/>
    <w:rsid w:val="00627B67"/>
    <w:rsid w:val="00652A36"/>
    <w:rsid w:val="00652FAE"/>
    <w:rsid w:val="006707A0"/>
    <w:rsid w:val="0067337A"/>
    <w:rsid w:val="00686FEF"/>
    <w:rsid w:val="00691019"/>
    <w:rsid w:val="006C4EDC"/>
    <w:rsid w:val="006E0698"/>
    <w:rsid w:val="006F4CF5"/>
    <w:rsid w:val="0070068D"/>
    <w:rsid w:val="00714586"/>
    <w:rsid w:val="007434F6"/>
    <w:rsid w:val="00754C08"/>
    <w:rsid w:val="0078037A"/>
    <w:rsid w:val="00783CC5"/>
    <w:rsid w:val="007A6AF3"/>
    <w:rsid w:val="007B4978"/>
    <w:rsid w:val="007D4912"/>
    <w:rsid w:val="007D5BA0"/>
    <w:rsid w:val="007E56CA"/>
    <w:rsid w:val="007F65A6"/>
    <w:rsid w:val="00816F57"/>
    <w:rsid w:val="00834D39"/>
    <w:rsid w:val="0083743F"/>
    <w:rsid w:val="0084602D"/>
    <w:rsid w:val="008467B2"/>
    <w:rsid w:val="00871317"/>
    <w:rsid w:val="00874DBC"/>
    <w:rsid w:val="008A054E"/>
    <w:rsid w:val="008A403F"/>
    <w:rsid w:val="008B02F1"/>
    <w:rsid w:val="008B1665"/>
    <w:rsid w:val="008B5A0E"/>
    <w:rsid w:val="008D2B91"/>
    <w:rsid w:val="008E1057"/>
    <w:rsid w:val="008E571F"/>
    <w:rsid w:val="008E71C5"/>
    <w:rsid w:val="008F2384"/>
    <w:rsid w:val="008F28FC"/>
    <w:rsid w:val="0090166C"/>
    <w:rsid w:val="009168B9"/>
    <w:rsid w:val="00933EDA"/>
    <w:rsid w:val="00935F32"/>
    <w:rsid w:val="00947348"/>
    <w:rsid w:val="00992855"/>
    <w:rsid w:val="009949CD"/>
    <w:rsid w:val="009974A7"/>
    <w:rsid w:val="009C1165"/>
    <w:rsid w:val="00A30EB3"/>
    <w:rsid w:val="00A35642"/>
    <w:rsid w:val="00A403F4"/>
    <w:rsid w:val="00A557EF"/>
    <w:rsid w:val="00A57D58"/>
    <w:rsid w:val="00A630C2"/>
    <w:rsid w:val="00A81018"/>
    <w:rsid w:val="00A8425A"/>
    <w:rsid w:val="00AA3EA9"/>
    <w:rsid w:val="00AC2230"/>
    <w:rsid w:val="00AF2C92"/>
    <w:rsid w:val="00B353D0"/>
    <w:rsid w:val="00B95A58"/>
    <w:rsid w:val="00BA4609"/>
    <w:rsid w:val="00BB3712"/>
    <w:rsid w:val="00BC3379"/>
    <w:rsid w:val="00BD5F0E"/>
    <w:rsid w:val="00BE1BF2"/>
    <w:rsid w:val="00BF7F42"/>
    <w:rsid w:val="00C2218C"/>
    <w:rsid w:val="00C44BED"/>
    <w:rsid w:val="00C52004"/>
    <w:rsid w:val="00C66389"/>
    <w:rsid w:val="00C670C5"/>
    <w:rsid w:val="00C7528F"/>
    <w:rsid w:val="00C832BE"/>
    <w:rsid w:val="00C8494E"/>
    <w:rsid w:val="00CC49A9"/>
    <w:rsid w:val="00CC6B04"/>
    <w:rsid w:val="00CD0712"/>
    <w:rsid w:val="00CD1FA9"/>
    <w:rsid w:val="00CD2315"/>
    <w:rsid w:val="00CD64FF"/>
    <w:rsid w:val="00CF2D8A"/>
    <w:rsid w:val="00D0705E"/>
    <w:rsid w:val="00D24A45"/>
    <w:rsid w:val="00D32093"/>
    <w:rsid w:val="00D368A6"/>
    <w:rsid w:val="00D82235"/>
    <w:rsid w:val="00DC1616"/>
    <w:rsid w:val="00DC1DB5"/>
    <w:rsid w:val="00DD556C"/>
    <w:rsid w:val="00E00112"/>
    <w:rsid w:val="00E02439"/>
    <w:rsid w:val="00E20DB7"/>
    <w:rsid w:val="00E276CC"/>
    <w:rsid w:val="00E7528D"/>
    <w:rsid w:val="00E76188"/>
    <w:rsid w:val="00E82EA1"/>
    <w:rsid w:val="00EA4043"/>
    <w:rsid w:val="00EC0BD7"/>
    <w:rsid w:val="00EE2CD0"/>
    <w:rsid w:val="00EE685A"/>
    <w:rsid w:val="00EF2497"/>
    <w:rsid w:val="00F01EC6"/>
    <w:rsid w:val="00F217A7"/>
    <w:rsid w:val="00F22C4C"/>
    <w:rsid w:val="00F40908"/>
    <w:rsid w:val="00F60535"/>
    <w:rsid w:val="00F61A8A"/>
    <w:rsid w:val="00F722AB"/>
    <w:rsid w:val="00F723A8"/>
    <w:rsid w:val="00F9708A"/>
    <w:rsid w:val="00FC4052"/>
    <w:rsid w:val="00FD2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2733"/>
  <w15:docId w15:val="{5C61CA24-323E-4AAC-AADB-D605D981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2D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72D48"/>
    <w:pPr>
      <w:spacing w:after="0" w:line="240" w:lineRule="auto"/>
    </w:pPr>
    <w:rPr>
      <w:sz w:val="20"/>
      <w:szCs w:val="20"/>
    </w:rPr>
  </w:style>
  <w:style w:type="character" w:customStyle="1" w:styleId="FootnoteTextChar">
    <w:name w:val="Footnote Text Char"/>
    <w:basedOn w:val="DefaultParagraphFont"/>
    <w:link w:val="FootnoteText"/>
    <w:uiPriority w:val="99"/>
    <w:rsid w:val="00472D48"/>
    <w:rPr>
      <w:sz w:val="20"/>
      <w:szCs w:val="20"/>
    </w:rPr>
  </w:style>
  <w:style w:type="character" w:styleId="FootnoteReference">
    <w:name w:val="footnote reference"/>
    <w:basedOn w:val="DefaultParagraphFont"/>
    <w:uiPriority w:val="99"/>
    <w:unhideWhenUsed/>
    <w:rsid w:val="00472D48"/>
    <w:rPr>
      <w:vertAlign w:val="superscript"/>
    </w:rPr>
  </w:style>
  <w:style w:type="paragraph" w:styleId="ListParagraph">
    <w:name w:val="List Paragraph"/>
    <w:basedOn w:val="Normal"/>
    <w:uiPriority w:val="34"/>
    <w:qFormat/>
    <w:rsid w:val="00472D48"/>
    <w:pPr>
      <w:ind w:left="720"/>
      <w:contextualSpacing/>
    </w:pPr>
  </w:style>
  <w:style w:type="paragraph" w:styleId="Header">
    <w:name w:val="header"/>
    <w:basedOn w:val="Normal"/>
    <w:link w:val="HeaderChar"/>
    <w:uiPriority w:val="99"/>
    <w:unhideWhenUsed/>
    <w:rsid w:val="0047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D48"/>
  </w:style>
  <w:style w:type="character" w:styleId="Hyperlink">
    <w:name w:val="Hyperlink"/>
    <w:basedOn w:val="DefaultParagraphFont"/>
    <w:uiPriority w:val="99"/>
    <w:unhideWhenUsed/>
    <w:rsid w:val="00EF2497"/>
    <w:rPr>
      <w:color w:val="0000FF" w:themeColor="hyperlink"/>
      <w:u w:val="single"/>
    </w:rPr>
  </w:style>
  <w:style w:type="character" w:customStyle="1" w:styleId="UnresolvedMention1">
    <w:name w:val="Unresolved Mention1"/>
    <w:basedOn w:val="DefaultParagraphFont"/>
    <w:uiPriority w:val="99"/>
    <w:semiHidden/>
    <w:unhideWhenUsed/>
    <w:rsid w:val="00EF2497"/>
    <w:rPr>
      <w:color w:val="808080"/>
      <w:shd w:val="clear" w:color="auto" w:fill="E6E6E6"/>
    </w:rPr>
  </w:style>
  <w:style w:type="table" w:styleId="TableGrid">
    <w:name w:val="Table Grid"/>
    <w:basedOn w:val="TableNormal"/>
    <w:uiPriority w:val="59"/>
    <w:rsid w:val="0093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5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6CA"/>
    <w:rPr>
      <w:rFonts w:ascii="Segoe UI" w:hAnsi="Segoe UI" w:cs="Segoe UI"/>
      <w:sz w:val="18"/>
      <w:szCs w:val="18"/>
    </w:rPr>
  </w:style>
  <w:style w:type="paragraph" w:styleId="Footer">
    <w:name w:val="footer"/>
    <w:basedOn w:val="Normal"/>
    <w:link w:val="FooterChar"/>
    <w:uiPriority w:val="99"/>
    <w:unhideWhenUsed/>
    <w:rsid w:val="00EA4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043"/>
  </w:style>
  <w:style w:type="paragraph" w:styleId="NoSpacing">
    <w:name w:val="No Spacing"/>
    <w:uiPriority w:val="1"/>
    <w:qFormat/>
    <w:rsid w:val="008A403F"/>
    <w:pPr>
      <w:spacing w:after="0" w:line="240" w:lineRule="auto"/>
    </w:pPr>
    <w:rPr>
      <w:rFonts w:eastAsiaTheme="minorEastAsia"/>
    </w:rPr>
  </w:style>
  <w:style w:type="character" w:styleId="FollowedHyperlink">
    <w:name w:val="FollowedHyperlink"/>
    <w:basedOn w:val="DefaultParagraphFont"/>
    <w:uiPriority w:val="99"/>
    <w:semiHidden/>
    <w:unhideWhenUsed/>
    <w:rsid w:val="000E30F7"/>
    <w:rPr>
      <w:color w:val="800080" w:themeColor="followedHyperlink"/>
      <w:u w:val="single"/>
    </w:rPr>
  </w:style>
  <w:style w:type="character" w:styleId="UnresolvedMention">
    <w:name w:val="Unresolved Mention"/>
    <w:basedOn w:val="DefaultParagraphFont"/>
    <w:uiPriority w:val="99"/>
    <w:semiHidden/>
    <w:unhideWhenUsed/>
    <w:rsid w:val="00573D99"/>
    <w:rPr>
      <w:color w:val="808080"/>
      <w:shd w:val="clear" w:color="auto" w:fill="E6E6E6"/>
    </w:rPr>
  </w:style>
  <w:style w:type="character" w:styleId="CommentReference">
    <w:name w:val="annotation reference"/>
    <w:basedOn w:val="DefaultParagraphFont"/>
    <w:uiPriority w:val="99"/>
    <w:semiHidden/>
    <w:unhideWhenUsed/>
    <w:rsid w:val="00546F2A"/>
    <w:rPr>
      <w:sz w:val="16"/>
      <w:szCs w:val="16"/>
    </w:rPr>
  </w:style>
  <w:style w:type="paragraph" w:styleId="CommentText">
    <w:name w:val="annotation text"/>
    <w:basedOn w:val="Normal"/>
    <w:link w:val="CommentTextChar"/>
    <w:uiPriority w:val="99"/>
    <w:semiHidden/>
    <w:unhideWhenUsed/>
    <w:rsid w:val="00546F2A"/>
    <w:pPr>
      <w:spacing w:line="240" w:lineRule="auto"/>
    </w:pPr>
    <w:rPr>
      <w:sz w:val="20"/>
      <w:szCs w:val="20"/>
    </w:rPr>
  </w:style>
  <w:style w:type="character" w:customStyle="1" w:styleId="CommentTextChar">
    <w:name w:val="Comment Text Char"/>
    <w:basedOn w:val="DefaultParagraphFont"/>
    <w:link w:val="CommentText"/>
    <w:uiPriority w:val="99"/>
    <w:semiHidden/>
    <w:rsid w:val="00546F2A"/>
    <w:rPr>
      <w:sz w:val="20"/>
      <w:szCs w:val="20"/>
    </w:rPr>
  </w:style>
  <w:style w:type="paragraph" w:styleId="CommentSubject">
    <w:name w:val="annotation subject"/>
    <w:basedOn w:val="CommentText"/>
    <w:next w:val="CommentText"/>
    <w:link w:val="CommentSubjectChar"/>
    <w:uiPriority w:val="99"/>
    <w:semiHidden/>
    <w:unhideWhenUsed/>
    <w:rsid w:val="00546F2A"/>
    <w:rPr>
      <w:b/>
      <w:bCs/>
    </w:rPr>
  </w:style>
  <w:style w:type="character" w:customStyle="1" w:styleId="CommentSubjectChar">
    <w:name w:val="Comment Subject Char"/>
    <w:basedOn w:val="CommentTextChar"/>
    <w:link w:val="CommentSubject"/>
    <w:uiPriority w:val="99"/>
    <w:semiHidden/>
    <w:rsid w:val="00546F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alaskafisheries.noaa.gov/sites/default/files/reports/car150_goa_halibut_mortality2017.pdf" TargetMode="External"/><Relationship Id="rId1" Type="http://schemas.openxmlformats.org/officeDocument/2006/relationships/hyperlink" Target="https://www.federalregister.gov/documents/2007/05/30/E7-9828/fisheries-of-the-exclusive-economic-zone-off-alaska-allocating-bering-seaaleutian-islands-fishe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9AAA3-1624-4598-A676-E62FCB3C8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Zaleski, Marilyn</dc:creator>
  <cp:keywords/>
  <dc:description/>
  <cp:lastModifiedBy>Zaleski, Marilyn</cp:lastModifiedBy>
  <cp:revision>4</cp:revision>
  <dcterms:created xsi:type="dcterms:W3CDTF">2018-02-01T22:43:00Z</dcterms:created>
  <dcterms:modified xsi:type="dcterms:W3CDTF">2018-02-01T22:55:00Z</dcterms:modified>
</cp:coreProperties>
</file>