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FE1E1" w14:textId="53F39FD4" w:rsidR="00C45B17" w:rsidRPr="0015116B" w:rsidRDefault="00435BF8" w:rsidP="00C45B17">
      <w:pPr>
        <w:pStyle w:val="Title"/>
        <w:rPr>
          <w:b w:val="0"/>
        </w:rPr>
      </w:pPr>
      <w:r w:rsidRPr="0015116B">
        <w:t>20</w:t>
      </w:r>
      <w:r w:rsidR="00FB5DD8" w:rsidRPr="0015116B">
        <w:t>20</w:t>
      </w:r>
      <w:r w:rsidRPr="0015116B">
        <w:t xml:space="preserve"> Stock Assessment and Fishery Evaluation Report for the Tanner Crab Fisheries of the Bering Sea and Aleutian Islands Regions</w:t>
      </w:r>
    </w:p>
    <w:p w14:paraId="773961E8" w14:textId="77777777" w:rsidR="00435BF8" w:rsidRPr="0015116B" w:rsidRDefault="00435BF8" w:rsidP="00435BF8">
      <w:pPr>
        <w:autoSpaceDE w:val="0"/>
        <w:autoSpaceDN w:val="0"/>
        <w:adjustRightInd w:val="0"/>
        <w:spacing w:after="0"/>
        <w:jc w:val="center"/>
        <w:rPr>
          <w:rFonts w:ascii="Calibri" w:hAnsi="Calibri" w:cs="Calibri"/>
        </w:rPr>
      </w:pPr>
      <w:r w:rsidRPr="0015116B">
        <w:rPr>
          <w:rFonts w:ascii="Calibri" w:hAnsi="Calibri" w:cs="Calibri"/>
        </w:rPr>
        <w:t>William T. Stockhausen</w:t>
      </w:r>
    </w:p>
    <w:p w14:paraId="6F6DF425" w14:textId="77777777" w:rsidR="00435BF8" w:rsidRPr="0015116B" w:rsidRDefault="00435BF8" w:rsidP="00435BF8">
      <w:pPr>
        <w:autoSpaceDE w:val="0"/>
        <w:autoSpaceDN w:val="0"/>
        <w:adjustRightInd w:val="0"/>
        <w:spacing w:after="0"/>
        <w:jc w:val="center"/>
        <w:rPr>
          <w:rFonts w:ascii="Calibri" w:hAnsi="Calibri" w:cs="Calibri"/>
        </w:rPr>
      </w:pPr>
      <w:r w:rsidRPr="0015116B">
        <w:rPr>
          <w:rFonts w:ascii="Calibri" w:hAnsi="Calibri" w:cs="Calibri"/>
        </w:rPr>
        <w:t>Alaska Fisheries Science Center</w:t>
      </w:r>
    </w:p>
    <w:p w14:paraId="683C1AD0" w14:textId="7F33CDE2" w:rsidR="00435BF8" w:rsidRPr="0015116B" w:rsidRDefault="00373D8D" w:rsidP="00435BF8">
      <w:pPr>
        <w:autoSpaceDE w:val="0"/>
        <w:autoSpaceDN w:val="0"/>
        <w:adjustRightInd w:val="0"/>
        <w:spacing w:after="0"/>
        <w:jc w:val="center"/>
        <w:rPr>
          <w:rFonts w:ascii="Calibri" w:hAnsi="Calibri" w:cs="Calibri"/>
        </w:rPr>
      </w:pPr>
      <w:r w:rsidRPr="0015116B">
        <w:rPr>
          <w:rFonts w:ascii="Calibri" w:hAnsi="Calibri" w:cs="Calibri"/>
        </w:rPr>
        <w:t>September</w:t>
      </w:r>
      <w:r w:rsidR="00435BF8" w:rsidRPr="0015116B">
        <w:rPr>
          <w:rFonts w:ascii="Calibri" w:hAnsi="Calibri" w:cs="Calibri"/>
        </w:rPr>
        <w:t xml:space="preserve"> 20</w:t>
      </w:r>
      <w:r w:rsidR="00FB5DD8" w:rsidRPr="0015116B">
        <w:rPr>
          <w:rFonts w:ascii="Calibri" w:hAnsi="Calibri" w:cs="Calibri"/>
        </w:rPr>
        <w:t>20</w:t>
      </w:r>
    </w:p>
    <w:p w14:paraId="64DD82A4" w14:textId="77777777" w:rsidR="00435BF8" w:rsidRPr="0015116B" w:rsidRDefault="00435BF8" w:rsidP="00435BF8">
      <w:pPr>
        <w:autoSpaceDE w:val="0"/>
        <w:autoSpaceDN w:val="0"/>
        <w:adjustRightInd w:val="0"/>
        <w:spacing w:after="0"/>
        <w:rPr>
          <w:rFonts w:ascii="Calibri" w:hAnsi="Calibri" w:cs="Calibri"/>
        </w:rPr>
      </w:pPr>
    </w:p>
    <w:p w14:paraId="20E9A8B1" w14:textId="77777777" w:rsidR="00435BF8" w:rsidRPr="0015116B" w:rsidRDefault="00435BF8" w:rsidP="002578BA">
      <w:pPr>
        <w:autoSpaceDE w:val="0"/>
        <w:autoSpaceDN w:val="0"/>
        <w:adjustRightInd w:val="0"/>
        <w:spacing w:after="0"/>
        <w:jc w:val="center"/>
        <w:rPr>
          <w:rFonts w:ascii="Calibri" w:hAnsi="Calibri" w:cs="Calibri"/>
          <w:sz w:val="19"/>
          <w:szCs w:val="19"/>
        </w:rPr>
      </w:pPr>
      <w:r w:rsidRPr="0015116B">
        <w:rPr>
          <w:rFonts w:ascii="Calibri" w:hAnsi="Calibri" w:cs="Calibri"/>
          <w:sz w:val="19"/>
          <w:szCs w:val="19"/>
        </w:rPr>
        <w:t>THIS INFORMATION IS DISTRIBUTED SOLELY FOR THE PURPOSE OF PREDISSEMINATION PEER REVIEW UNDER APPLICABLE INFORMATION QUALITY GUIDELINES. IT HAS NOT BEEN FORMALLY DISSEMINATED BY NOAA FISHERIES/ALASKA FISHERIES SCIENCE CENTER AND SHOULD NOT BE CONSTRUED TO REPRESENT ANY</w:t>
      </w:r>
      <w:r w:rsidR="002578BA" w:rsidRPr="0015116B">
        <w:rPr>
          <w:rFonts w:ascii="Calibri" w:hAnsi="Calibri" w:cs="Calibri"/>
          <w:sz w:val="19"/>
          <w:szCs w:val="19"/>
        </w:rPr>
        <w:t xml:space="preserve"> AGENCY DETERMINATION OR POLICY</w:t>
      </w:r>
    </w:p>
    <w:p w14:paraId="3EF96358" w14:textId="77777777" w:rsidR="00435BF8" w:rsidRPr="0015116B" w:rsidRDefault="00435BF8" w:rsidP="00C45B17">
      <w:pPr>
        <w:pStyle w:val="Heading1"/>
      </w:pPr>
      <w:r w:rsidRPr="0015116B">
        <w:t>Executive Summary</w:t>
      </w:r>
    </w:p>
    <w:p w14:paraId="00650708" w14:textId="77777777" w:rsidR="00D747BE" w:rsidRPr="0015116B" w:rsidRDefault="00D747BE" w:rsidP="00D747BE">
      <w:pPr>
        <w:pStyle w:val="Heading3"/>
      </w:pPr>
      <w:r w:rsidRPr="0015116B">
        <w:t xml:space="preserve">1. </w:t>
      </w:r>
      <w:r w:rsidR="00435BF8" w:rsidRPr="0015116B">
        <w:t xml:space="preserve">Stock: </w:t>
      </w:r>
      <w:r w:rsidRPr="0015116B">
        <w:t>species/area.</w:t>
      </w:r>
    </w:p>
    <w:p w14:paraId="3ECB6C23" w14:textId="77777777" w:rsidR="00831ADF" w:rsidRPr="0015116B" w:rsidRDefault="006B3848" w:rsidP="0071276E">
      <w:r w:rsidRPr="0015116B">
        <w:t xml:space="preserve">Southern </w:t>
      </w:r>
      <w:r w:rsidR="0071276E" w:rsidRPr="0015116B">
        <w:t>Tanner crab (</w:t>
      </w:r>
      <w:r w:rsidR="0071276E" w:rsidRPr="0015116B">
        <w:rPr>
          <w:i/>
        </w:rPr>
        <w:t>Chionoecetes bairdi</w:t>
      </w:r>
      <w:r w:rsidR="0071276E" w:rsidRPr="0015116B">
        <w:t>) in the eastern Bering Sea (EBS).</w:t>
      </w:r>
    </w:p>
    <w:p w14:paraId="1D005755" w14:textId="77777777" w:rsidR="00895389" w:rsidRPr="0015116B" w:rsidRDefault="00895389" w:rsidP="00831ADF">
      <w:pPr>
        <w:pStyle w:val="Heading3"/>
      </w:pPr>
      <w:r w:rsidRPr="0015116B">
        <w:t xml:space="preserve">2. </w:t>
      </w:r>
      <w:r w:rsidR="00435BF8" w:rsidRPr="0015116B">
        <w:t>Catches: trends and current levels.</w:t>
      </w:r>
    </w:p>
    <w:p w14:paraId="170AA10B" w14:textId="3E22FBDB" w:rsidR="001B10F0" w:rsidRPr="0015116B" w:rsidRDefault="0071276E" w:rsidP="0071276E">
      <w:r w:rsidRPr="0015116B">
        <w:t xml:space="preserve">Legal-sized </w:t>
      </w:r>
      <w:r w:rsidR="0073240E" w:rsidRPr="0015116B">
        <w:t xml:space="preserve">male </w:t>
      </w:r>
      <w:r w:rsidRPr="0015116B">
        <w:t xml:space="preserve">Tanner crab are caught and retained in the directed </w:t>
      </w:r>
      <w:r w:rsidR="004160BC" w:rsidRPr="0015116B">
        <w:t>(</w:t>
      </w:r>
      <w:r w:rsidR="0073240E" w:rsidRPr="0015116B">
        <w:t>male-only</w:t>
      </w:r>
      <w:r w:rsidR="004160BC" w:rsidRPr="0015116B">
        <w:t>)</w:t>
      </w:r>
      <w:r w:rsidR="0073240E" w:rsidRPr="0015116B">
        <w:t xml:space="preserve"> </w:t>
      </w:r>
      <w:r w:rsidR="0074425D" w:rsidRPr="0015116B">
        <w:t>Tanner crab fishery</w:t>
      </w:r>
      <w:r w:rsidRPr="0015116B">
        <w:t xml:space="preserve"> in the EBS. </w:t>
      </w:r>
      <w:r w:rsidR="0074425D" w:rsidRPr="0015116B">
        <w:t>The NPFMC annually determines the overfishing limit (OFL) and acceptable biological catch (ABC) levels for Tanner crab in the EBS, while the Alaska Department of Fish and Game (ADFG) determines the total allowable catch (TAC) separately for areas east and west of 166</w:t>
      </w:r>
      <w:r w:rsidR="0074425D" w:rsidRPr="0015116B">
        <w:rPr>
          <w:vertAlign w:val="superscript"/>
        </w:rPr>
        <w:t>o</w:t>
      </w:r>
      <w:r w:rsidR="0074425D" w:rsidRPr="0015116B">
        <w:t xml:space="preserve">W longitude in the Eastern Subdistrict of the Bering Sea District Tanner crab Registration Area J. Following rationalization of the Bering Sea and Aleutian Islands (BSAI) crab fisheries in 2005/06, the directed fishery for Tanner crab was open through 2009/10, after which time it was determined that the stock was overfished in the EBS and directed fishing was closed. Prior to the closure, the retained catch averaged 770 t per year between 2005/06-2009/10. The directed fishery </w:t>
      </w:r>
      <w:r w:rsidR="00C931C2" w:rsidRPr="0015116B">
        <w:t xml:space="preserve">was </w:t>
      </w:r>
      <w:r w:rsidR="0074425D" w:rsidRPr="0015116B">
        <w:t>re-</w:t>
      </w:r>
      <w:r w:rsidR="00C931C2" w:rsidRPr="0015116B">
        <w:t xml:space="preserve">opened in 2013/14 </w:t>
      </w:r>
      <w:r w:rsidR="0074425D" w:rsidRPr="0015116B">
        <w:t>following determinations by NMFS in</w:t>
      </w:r>
      <w:r w:rsidR="001B10F0" w:rsidRPr="0015116B">
        <w:t xml:space="preserve"> 2012</w:t>
      </w:r>
      <w:r w:rsidR="0074425D" w:rsidRPr="0015116B">
        <w:t xml:space="preserve"> that the stock was rebuilt and no longer overfished and by ADFG that the stock met state harvest guidelines</w:t>
      </w:r>
      <w:r w:rsidR="006F1418" w:rsidRPr="0015116B">
        <w:t xml:space="preserve"> </w:t>
      </w:r>
      <w:r w:rsidR="0074425D" w:rsidRPr="0015116B">
        <w:t>for</w:t>
      </w:r>
      <w:r w:rsidR="006F1418" w:rsidRPr="0015116B">
        <w:t xml:space="preserve"> opening the fishery. </w:t>
      </w:r>
      <w:r w:rsidR="0074425D" w:rsidRPr="0015116B">
        <w:t xml:space="preserve">ADFG set the </w:t>
      </w:r>
      <w:r w:rsidR="006F1418" w:rsidRPr="0015116B">
        <w:t xml:space="preserve">TAC at 1,645,000 </w:t>
      </w:r>
      <w:proofErr w:type="spellStart"/>
      <w:r w:rsidR="006F1418" w:rsidRPr="0015116B">
        <w:t>lbs</w:t>
      </w:r>
      <w:proofErr w:type="spellEnd"/>
      <w:r w:rsidR="006F1418" w:rsidRPr="0015116B">
        <w:t xml:space="preserve"> </w:t>
      </w:r>
      <w:r w:rsidR="00902889" w:rsidRPr="0015116B">
        <w:t>(</w:t>
      </w:r>
      <w:r w:rsidR="00B7767C" w:rsidRPr="0015116B">
        <w:t>746</w:t>
      </w:r>
      <w:r w:rsidR="00902889" w:rsidRPr="0015116B">
        <w:t xml:space="preserve"> t) </w:t>
      </w:r>
      <w:r w:rsidR="006F1418" w:rsidRPr="0015116B">
        <w:t>for the area west of 166</w:t>
      </w:r>
      <w:r w:rsidR="006F1418" w:rsidRPr="0015116B">
        <w:rPr>
          <w:vertAlign w:val="superscript"/>
        </w:rPr>
        <w:t>o</w:t>
      </w:r>
      <w:r w:rsidR="006F1418" w:rsidRPr="0015116B">
        <w:t xml:space="preserve"> W and at 1,463,000 </w:t>
      </w:r>
      <w:proofErr w:type="spellStart"/>
      <w:r w:rsidR="006F1418" w:rsidRPr="0015116B">
        <w:t>lbs</w:t>
      </w:r>
      <w:proofErr w:type="spellEnd"/>
      <w:r w:rsidR="006F1418" w:rsidRPr="0015116B">
        <w:t xml:space="preserve"> </w:t>
      </w:r>
      <w:r w:rsidR="00902889" w:rsidRPr="0015116B">
        <w:t>(66</w:t>
      </w:r>
      <w:r w:rsidR="00B7767C" w:rsidRPr="0015116B">
        <w:t>4</w:t>
      </w:r>
      <w:r w:rsidR="00902889" w:rsidRPr="0015116B">
        <w:t xml:space="preserve"> t) </w:t>
      </w:r>
      <w:r w:rsidR="006F1418" w:rsidRPr="0015116B">
        <w:t>for the area east of 166</w:t>
      </w:r>
      <w:r w:rsidR="006F1418" w:rsidRPr="0015116B">
        <w:rPr>
          <w:vertAlign w:val="superscript"/>
        </w:rPr>
        <w:t>o</w:t>
      </w:r>
      <w:r w:rsidR="00922843" w:rsidRPr="0015116B">
        <w:t xml:space="preserve"> W</w:t>
      </w:r>
      <w:r w:rsidR="006F1418" w:rsidRPr="0015116B">
        <w:t xml:space="preserve">. </w:t>
      </w:r>
      <w:r w:rsidR="0074425D" w:rsidRPr="0015116B">
        <w:t>O</w:t>
      </w:r>
      <w:r w:rsidR="006F1418" w:rsidRPr="0015116B">
        <w:t xml:space="preserve">n closing, </w:t>
      </w:r>
      <w:r w:rsidR="004D002F" w:rsidRPr="0015116B">
        <w:t>79.6</w:t>
      </w:r>
      <w:r w:rsidR="006F1418" w:rsidRPr="0015116B">
        <w:t xml:space="preserve">% </w:t>
      </w:r>
      <w:r w:rsidR="00902889" w:rsidRPr="0015116B">
        <w:t>(</w:t>
      </w:r>
      <w:r w:rsidR="004D002F" w:rsidRPr="0015116B">
        <w:t>59</w:t>
      </w:r>
      <w:r w:rsidR="00B7767C" w:rsidRPr="0015116B">
        <w:t>4</w:t>
      </w:r>
      <w:r w:rsidR="00902889" w:rsidRPr="0015116B">
        <w:t xml:space="preserve"> t) </w:t>
      </w:r>
      <w:r w:rsidR="006F1418" w:rsidRPr="0015116B">
        <w:t xml:space="preserve">of the TAC </w:t>
      </w:r>
      <w:r w:rsidR="001B10F0" w:rsidRPr="0015116B">
        <w:t>w</w:t>
      </w:r>
      <w:r w:rsidR="004D002F" w:rsidRPr="0015116B">
        <w:t>as</w:t>
      </w:r>
      <w:r w:rsidR="006F1418" w:rsidRPr="0015116B">
        <w:t xml:space="preserve"> taken in the western area while </w:t>
      </w:r>
      <w:r w:rsidR="004D002F" w:rsidRPr="0015116B">
        <w:t>98.6</w:t>
      </w:r>
      <w:r w:rsidR="006F1418" w:rsidRPr="0015116B">
        <w:t xml:space="preserve">% </w:t>
      </w:r>
      <w:r w:rsidR="003942CB" w:rsidRPr="0015116B">
        <w:t>(</w:t>
      </w:r>
      <w:r w:rsidR="00902889" w:rsidRPr="0015116B">
        <w:t>6</w:t>
      </w:r>
      <w:r w:rsidR="004D002F" w:rsidRPr="0015116B">
        <w:t>5</w:t>
      </w:r>
      <w:r w:rsidR="00B7767C" w:rsidRPr="0015116B">
        <w:t>4</w:t>
      </w:r>
      <w:r w:rsidR="00902889" w:rsidRPr="0015116B">
        <w:t xml:space="preserve"> t) </w:t>
      </w:r>
      <w:r w:rsidR="001B10F0" w:rsidRPr="0015116B">
        <w:t>w</w:t>
      </w:r>
      <w:r w:rsidR="004D002F" w:rsidRPr="0015116B">
        <w:t>as</w:t>
      </w:r>
      <w:r w:rsidR="006F1418" w:rsidRPr="0015116B">
        <w:t xml:space="preserve"> taken in the eastern area</w:t>
      </w:r>
      <w:r w:rsidR="0074425D" w:rsidRPr="0015116B">
        <w:t>.</w:t>
      </w:r>
      <w:r w:rsidR="0078715D" w:rsidRPr="0015116B">
        <w:t xml:space="preserve"> </w:t>
      </w:r>
    </w:p>
    <w:p w14:paraId="312306DC" w14:textId="3D1C6AD0" w:rsidR="0073240E" w:rsidRPr="0015116B" w:rsidRDefault="0074425D" w:rsidP="00CC5E35">
      <w:r w:rsidRPr="0015116B">
        <w:t xml:space="preserve">TACs were </w:t>
      </w:r>
      <w:r w:rsidR="00CC5E35" w:rsidRPr="0015116B">
        <w:t>steadily increased for the next two years, with concomitant increasing harvests. In</w:t>
      </w:r>
      <w:r w:rsidRPr="0015116B">
        <w:t xml:space="preserve"> 2014/15</w:t>
      </w:r>
      <w:r w:rsidR="001B10F0" w:rsidRPr="0015116B">
        <w:t xml:space="preserve">, TAC was set at </w:t>
      </w:r>
      <w:r w:rsidR="004D002F" w:rsidRPr="0015116B">
        <w:t>6,625</w:t>
      </w:r>
      <w:r w:rsidR="001B10F0" w:rsidRPr="0015116B">
        <w:t xml:space="preserve">,000 </w:t>
      </w:r>
      <w:proofErr w:type="spellStart"/>
      <w:r w:rsidR="001B10F0" w:rsidRPr="0015116B">
        <w:t>lbs</w:t>
      </w:r>
      <w:proofErr w:type="spellEnd"/>
      <w:r w:rsidR="001B10F0" w:rsidRPr="0015116B">
        <w:t xml:space="preserve"> (</w:t>
      </w:r>
      <w:r w:rsidR="004D002F" w:rsidRPr="0015116B">
        <w:t>2,32</w:t>
      </w:r>
      <w:r w:rsidR="00B7767C" w:rsidRPr="0015116B">
        <w:t>9</w:t>
      </w:r>
      <w:r w:rsidR="001B10F0" w:rsidRPr="0015116B">
        <w:t xml:space="preserve"> t) for the area west of 166</w:t>
      </w:r>
      <w:r w:rsidR="001B10F0" w:rsidRPr="0015116B">
        <w:rPr>
          <w:vertAlign w:val="superscript"/>
        </w:rPr>
        <w:t>o</w:t>
      </w:r>
      <w:r w:rsidR="001B10F0" w:rsidRPr="0015116B">
        <w:t xml:space="preserve"> W and at </w:t>
      </w:r>
      <w:r w:rsidR="004D002F" w:rsidRPr="0015116B">
        <w:t>8</w:t>
      </w:r>
      <w:r w:rsidR="001B10F0" w:rsidRPr="0015116B">
        <w:t>,</w:t>
      </w:r>
      <w:r w:rsidR="004D002F" w:rsidRPr="0015116B">
        <w:t>480,</w:t>
      </w:r>
      <w:r w:rsidR="001B10F0" w:rsidRPr="0015116B">
        <w:t xml:space="preserve">000 </w:t>
      </w:r>
      <w:proofErr w:type="spellStart"/>
      <w:r w:rsidR="001B10F0" w:rsidRPr="0015116B">
        <w:t>lbs</w:t>
      </w:r>
      <w:proofErr w:type="spellEnd"/>
      <w:r w:rsidR="001B10F0" w:rsidRPr="0015116B">
        <w:t xml:space="preserve"> (</w:t>
      </w:r>
      <w:r w:rsidR="004D002F" w:rsidRPr="0015116B">
        <w:t>3,829</w:t>
      </w:r>
      <w:r w:rsidR="001B10F0" w:rsidRPr="0015116B">
        <w:t xml:space="preserve"> t) for the area east of 166</w:t>
      </w:r>
      <w:r w:rsidR="001B10F0" w:rsidRPr="0015116B">
        <w:rPr>
          <w:vertAlign w:val="superscript"/>
        </w:rPr>
        <w:t>o</w:t>
      </w:r>
      <w:r w:rsidR="001B10F0" w:rsidRPr="0015116B">
        <w:t xml:space="preserve"> W.</w:t>
      </w:r>
      <w:r w:rsidR="004D002F" w:rsidRPr="0015116B">
        <w:t xml:space="preserve"> On closing, 77.5% (2,32</w:t>
      </w:r>
      <w:r w:rsidR="00B7767C" w:rsidRPr="0015116B">
        <w:t>9</w:t>
      </w:r>
      <w:r w:rsidR="004D002F" w:rsidRPr="0015116B">
        <w:t xml:space="preserve"> t) of the TAC was taken in the western area while 99.6% (</w:t>
      </w:r>
      <w:r w:rsidR="00B7767C" w:rsidRPr="0015116B">
        <w:t>3,829</w:t>
      </w:r>
      <w:r w:rsidR="004D002F" w:rsidRPr="0015116B">
        <w:t xml:space="preserve"> t) were taken in the eastern area.</w:t>
      </w:r>
      <w:r w:rsidR="00CC5E35" w:rsidRPr="0015116B">
        <w:t xml:space="preserve"> In 2015/16</w:t>
      </w:r>
      <w:r w:rsidR="00B7767C" w:rsidRPr="0015116B">
        <w:t xml:space="preserve">, </w:t>
      </w:r>
      <w:r w:rsidR="0047318A" w:rsidRPr="0015116B">
        <w:t xml:space="preserve">TAC was set at </w:t>
      </w:r>
      <w:r w:rsidR="00AB1AC0" w:rsidRPr="0015116B">
        <w:t xml:space="preserve">8,396,000 </w:t>
      </w:r>
      <w:proofErr w:type="spellStart"/>
      <w:r w:rsidR="00AB1AC0" w:rsidRPr="0015116B">
        <w:t>lbs</w:t>
      </w:r>
      <w:proofErr w:type="spellEnd"/>
      <w:r w:rsidR="00AB1AC0" w:rsidRPr="0015116B">
        <w:t xml:space="preserve"> (3,808 t) for the western area</w:t>
      </w:r>
      <w:r w:rsidR="0047318A" w:rsidRPr="0015116B">
        <w:t xml:space="preserve"> and</w:t>
      </w:r>
      <w:r w:rsidR="00AB1AC0" w:rsidRPr="0015116B">
        <w:t xml:space="preserve"> 11,272,000 </w:t>
      </w:r>
      <w:proofErr w:type="spellStart"/>
      <w:r w:rsidR="00AB1AC0" w:rsidRPr="0015116B">
        <w:t>lbs</w:t>
      </w:r>
      <w:proofErr w:type="spellEnd"/>
      <w:r w:rsidR="00AB1AC0" w:rsidRPr="0015116B">
        <w:t xml:space="preserve"> (5,113 t) for the eastern area</w:t>
      </w:r>
      <w:r w:rsidR="0047318A" w:rsidRPr="0015116B">
        <w:t>. On closing, essentially 100% of the TAC was taken in both areas (</w:t>
      </w:r>
      <w:r w:rsidR="00AB1AC0" w:rsidRPr="0015116B">
        <w:t xml:space="preserve">8,373,493 </w:t>
      </w:r>
      <w:proofErr w:type="spellStart"/>
      <w:r w:rsidR="00AB1AC0" w:rsidRPr="0015116B">
        <w:t>lbs</w:t>
      </w:r>
      <w:proofErr w:type="spellEnd"/>
      <w:r w:rsidR="00AB1AC0" w:rsidRPr="0015116B">
        <w:t xml:space="preserve"> [3,798 t] in the western area, </w:t>
      </w:r>
      <w:r w:rsidR="0047318A" w:rsidRPr="0015116B">
        <w:t xml:space="preserve">11,268,885 </w:t>
      </w:r>
      <w:proofErr w:type="spellStart"/>
      <w:r w:rsidR="0047318A" w:rsidRPr="0015116B">
        <w:t>lbs</w:t>
      </w:r>
      <w:proofErr w:type="spellEnd"/>
      <w:r w:rsidR="0047318A" w:rsidRPr="0015116B">
        <w:t xml:space="preserve"> [5,111 t] in the eastern area</w:t>
      </w:r>
      <w:r w:rsidR="00AB1AC0" w:rsidRPr="0015116B">
        <w:t xml:space="preserve"> based on the 5/20/2016 in-season catch report</w:t>
      </w:r>
      <w:r w:rsidR="0047318A" w:rsidRPr="0015116B">
        <w:t>).</w:t>
      </w:r>
    </w:p>
    <w:p w14:paraId="429E154E" w14:textId="4344D64E" w:rsidR="00902372" w:rsidRPr="0015116B" w:rsidRDefault="00CC5E35" w:rsidP="0071276E">
      <w:r w:rsidRPr="0015116B">
        <w:t>Although</w:t>
      </w:r>
      <w:r w:rsidR="00902372" w:rsidRPr="0015116B">
        <w:t xml:space="preserve"> </w:t>
      </w:r>
      <w:r w:rsidRPr="0015116B">
        <w:t xml:space="preserve">the NPFMC determined an OFL of almost 60,000,000 </w:t>
      </w:r>
      <w:proofErr w:type="spellStart"/>
      <w:r w:rsidRPr="0015116B">
        <w:t>lbs</w:t>
      </w:r>
      <w:proofErr w:type="spellEnd"/>
      <w:r w:rsidRPr="0015116B">
        <w:t xml:space="preserve"> (~25,000 t) based on t</w:t>
      </w:r>
      <w:r w:rsidR="00902372" w:rsidRPr="0015116B">
        <w:t>he 2016 assessment (Stockhausen, 2016)</w:t>
      </w:r>
      <w:r w:rsidRPr="0015116B">
        <w:t>, mature female Tanner crab biomass fell below t</w:t>
      </w:r>
      <w:r w:rsidR="00902372" w:rsidRPr="0015116B">
        <w:t>he</w:t>
      </w:r>
      <w:r w:rsidRPr="0015116B">
        <w:t xml:space="preserve"> threshold set in the</w:t>
      </w:r>
      <w:r w:rsidR="00902372" w:rsidRPr="0015116B">
        <w:t xml:space="preserve"> </w:t>
      </w:r>
      <w:r w:rsidRPr="0015116B">
        <w:t>State of Alaska’s harvest strategy for opening</w:t>
      </w:r>
      <w:r w:rsidR="00902372" w:rsidRPr="0015116B">
        <w:t xml:space="preserve"> </w:t>
      </w:r>
      <w:r w:rsidRPr="0015116B">
        <w:t>the</w:t>
      </w:r>
      <w:r w:rsidR="00902372" w:rsidRPr="0015116B">
        <w:t xml:space="preserve"> fishery; </w:t>
      </w:r>
      <w:r w:rsidRPr="0015116B">
        <w:t>consequently</w:t>
      </w:r>
      <w:r w:rsidR="00902372" w:rsidRPr="0015116B">
        <w:t>, the fishery was cl</w:t>
      </w:r>
      <w:r w:rsidRPr="0015116B">
        <w:t>osed and the TAC was set to 0. Thus, n</w:t>
      </w:r>
      <w:r w:rsidR="00902372" w:rsidRPr="0015116B">
        <w:t>o directed harvest occurred in 2016/17.</w:t>
      </w:r>
      <w:r w:rsidRPr="0015116B">
        <w:t xml:space="preserve"> In 2017/18, ADFG determined that a directed fishery could occur in the area west of 166</w:t>
      </w:r>
      <w:r w:rsidRPr="0015116B">
        <w:rPr>
          <w:vertAlign w:val="superscript"/>
        </w:rPr>
        <w:t>o</w:t>
      </w:r>
      <w:r w:rsidRPr="0015116B">
        <w:t xml:space="preserve">W longitude. The TAC was set at 2,500,200 </w:t>
      </w:r>
      <w:proofErr w:type="spellStart"/>
      <w:r w:rsidRPr="0015116B">
        <w:t>lbs</w:t>
      </w:r>
      <w:proofErr w:type="spellEnd"/>
      <w:r w:rsidRPr="0015116B">
        <w:t xml:space="preserve"> (1,130 t), of which 100% was taken.</w:t>
      </w:r>
      <w:r w:rsidR="006842A6" w:rsidRPr="0015116B">
        <w:t xml:space="preserve"> A similar situation occurred in 2018/19, with only the area west of 166</w:t>
      </w:r>
      <w:r w:rsidR="006842A6" w:rsidRPr="0015116B">
        <w:rPr>
          <w:vertAlign w:val="superscript"/>
        </w:rPr>
        <w:t>o</w:t>
      </w:r>
      <w:r w:rsidR="006842A6" w:rsidRPr="0015116B">
        <w:t xml:space="preserve">W open to directed fishing. The TAC for 2018/19 was 2,439,000 </w:t>
      </w:r>
      <w:proofErr w:type="spellStart"/>
      <w:r w:rsidR="006842A6" w:rsidRPr="0015116B">
        <w:t>lbs</w:t>
      </w:r>
      <w:proofErr w:type="spellEnd"/>
      <w:r w:rsidR="006842A6" w:rsidRPr="0015116B">
        <w:t xml:space="preserve"> (</w:t>
      </w:r>
      <w:r w:rsidR="00EF6C07" w:rsidRPr="0015116B">
        <w:t>1,106</w:t>
      </w:r>
      <w:r w:rsidR="006842A6" w:rsidRPr="0015116B">
        <w:t xml:space="preserve"> t), with slightly more actually harvested (2,441,201 </w:t>
      </w:r>
      <w:proofErr w:type="spellStart"/>
      <w:r w:rsidR="006842A6" w:rsidRPr="0015116B">
        <w:t>lbs</w:t>
      </w:r>
      <w:proofErr w:type="spellEnd"/>
      <w:r w:rsidR="006842A6" w:rsidRPr="0015116B">
        <w:t xml:space="preserve"> [</w:t>
      </w:r>
      <w:r w:rsidR="00EF6C07" w:rsidRPr="0015116B">
        <w:t>1,107</w:t>
      </w:r>
      <w:r w:rsidR="006842A6" w:rsidRPr="0015116B">
        <w:t xml:space="preserve"> t]).</w:t>
      </w:r>
      <w:r w:rsidR="00F76D23" w:rsidRPr="0015116B">
        <w:t xml:space="preserve"> Mature female biomass again fell below State of Alaska’s threshold for opening the 2019/20 Tanner crab fishery (The 2019/20 OFL was 63,620,000 </w:t>
      </w:r>
      <w:proofErr w:type="spellStart"/>
      <w:r w:rsidR="00F76D23" w:rsidRPr="0015116B">
        <w:t>lbs</w:t>
      </w:r>
      <w:proofErr w:type="spellEnd"/>
      <w:r w:rsidR="00F76D23" w:rsidRPr="0015116B">
        <w:t xml:space="preserve"> [28,860 t]) and no directed occurred in 2019/20.  </w:t>
      </w:r>
    </w:p>
    <w:p w14:paraId="27CAFB7E" w14:textId="3BFA9F9B" w:rsidR="004160BC" w:rsidRPr="0015116B" w:rsidRDefault="00CC5E35" w:rsidP="0071276E">
      <w:r w:rsidRPr="0015116B">
        <w:lastRenderedPageBreak/>
        <w:t xml:space="preserve">In addition to legal-sized males, </w:t>
      </w:r>
      <w:r w:rsidR="0071276E" w:rsidRPr="0015116B">
        <w:t>females and sub-legal males are</w:t>
      </w:r>
      <w:r w:rsidRPr="0015116B">
        <w:t xml:space="preserve"> taken </w:t>
      </w:r>
      <w:r w:rsidR="0073240E" w:rsidRPr="0015116B">
        <w:t>in the directed fishery</w:t>
      </w:r>
      <w:r w:rsidR="0071276E" w:rsidRPr="0015116B">
        <w:t xml:space="preserve"> as bycatch </w:t>
      </w:r>
      <w:r w:rsidR="00524DCF" w:rsidRPr="0015116B">
        <w:t xml:space="preserve">and </w:t>
      </w:r>
      <w:r w:rsidRPr="0015116B">
        <w:t xml:space="preserve">must be </w:t>
      </w:r>
      <w:r w:rsidR="00524DCF" w:rsidRPr="0015116B">
        <w:t>discarded</w:t>
      </w:r>
      <w:r w:rsidR="0073240E" w:rsidRPr="0015116B">
        <w:t xml:space="preserve">. </w:t>
      </w:r>
      <w:r w:rsidRPr="0015116B">
        <w:t>Discarding of legal-sized males also occurs, primarily because the minimum size</w:t>
      </w:r>
      <w:r w:rsidR="00141208" w:rsidRPr="0015116B">
        <w:t xml:space="preserve"> </w:t>
      </w:r>
      <w:r w:rsidRPr="0015116B">
        <w:t>preferred by processors is larger than the minimum legal size but al</w:t>
      </w:r>
      <w:r w:rsidR="00E6367C" w:rsidRPr="0015116B">
        <w:t xml:space="preserve">so because “old shell” crab can be </w:t>
      </w:r>
      <w:r w:rsidRPr="0015116B">
        <w:t xml:space="preserve">less desirable than “new shell” males. </w:t>
      </w:r>
      <w:r w:rsidR="00D27A87" w:rsidRPr="0015116B">
        <w:t xml:space="preserve">No bycatch occurred in the directed fishery in 2019/20, of course, because it was closed. The average bycatch over the </w:t>
      </w:r>
      <w:r w:rsidR="000F02CB" w:rsidRPr="0015116B">
        <w:t xml:space="preserve">last </w:t>
      </w:r>
      <w:r w:rsidR="00D27A87" w:rsidRPr="0015116B">
        <w:t>five years the fishery was open (i.e., since 2013/14)</w:t>
      </w:r>
      <w:r w:rsidR="000F02CB" w:rsidRPr="0015116B">
        <w:t xml:space="preserve"> in the directed fishery was 1,396 t. </w:t>
      </w:r>
      <w:r w:rsidR="0073240E" w:rsidRPr="0015116B">
        <w:t xml:space="preserve">Tanner crab are also </w:t>
      </w:r>
      <w:r w:rsidRPr="0015116B">
        <w:t>taken</w:t>
      </w:r>
      <w:r w:rsidR="0073240E" w:rsidRPr="0015116B">
        <w:t xml:space="preserve"> as bycatch </w:t>
      </w:r>
      <w:r w:rsidR="0071276E" w:rsidRPr="0015116B">
        <w:t xml:space="preserve">in </w:t>
      </w:r>
      <w:r w:rsidR="0073240E" w:rsidRPr="0015116B">
        <w:t xml:space="preserve">the </w:t>
      </w:r>
      <w:r w:rsidR="0071276E" w:rsidRPr="0015116B">
        <w:t>snow crab and Bristol Bay red king crab</w:t>
      </w:r>
      <w:r w:rsidR="0073240E" w:rsidRPr="0015116B">
        <w:t xml:space="preserve"> fisheries</w:t>
      </w:r>
      <w:r w:rsidR="0071276E" w:rsidRPr="0015116B">
        <w:t xml:space="preserve">, </w:t>
      </w:r>
      <w:r w:rsidR="0073240E" w:rsidRPr="0015116B">
        <w:t xml:space="preserve">in </w:t>
      </w:r>
      <w:r w:rsidR="0071276E" w:rsidRPr="0015116B">
        <w:t xml:space="preserve">the groundfish fisheries and, to a </w:t>
      </w:r>
      <w:r w:rsidRPr="0015116B">
        <w:t xml:space="preserve">very </w:t>
      </w:r>
      <w:r w:rsidR="0071276E" w:rsidRPr="0015116B">
        <w:t xml:space="preserve">minor extent, </w:t>
      </w:r>
      <w:r w:rsidR="0073240E" w:rsidRPr="0015116B">
        <w:t xml:space="preserve">in </w:t>
      </w:r>
      <w:r w:rsidR="0071276E" w:rsidRPr="0015116B">
        <w:t>the scallop fishery.</w:t>
      </w:r>
      <w:r w:rsidR="00524DCF" w:rsidRPr="0015116B">
        <w:t xml:space="preserve"> </w:t>
      </w:r>
      <w:r w:rsidR="004160BC" w:rsidRPr="0015116B">
        <w:t xml:space="preserve">Over the last five years, the snow crab fishery has been the major source of Tanner crab bycatch among these fisheries, averaging </w:t>
      </w:r>
      <w:r w:rsidR="00E6367C" w:rsidRPr="0015116B">
        <w:t>~</w:t>
      </w:r>
      <w:r w:rsidR="00D27A87" w:rsidRPr="0015116B">
        <w:t>1,9</w:t>
      </w:r>
      <w:r w:rsidR="008D3A89" w:rsidRPr="0015116B">
        <w:t>00</w:t>
      </w:r>
      <w:r w:rsidR="00F70C12" w:rsidRPr="0015116B">
        <w:t xml:space="preserve"> t for </w:t>
      </w:r>
      <w:r w:rsidR="00532B67" w:rsidRPr="0015116B">
        <w:t xml:space="preserve">the </w:t>
      </w:r>
      <w:r w:rsidR="00141208" w:rsidRPr="0015116B">
        <w:t>5-</w:t>
      </w:r>
      <w:r w:rsidR="00532B67" w:rsidRPr="0015116B">
        <w:t xml:space="preserve">year period </w:t>
      </w:r>
      <w:r w:rsidR="00F70C12" w:rsidRPr="0015116B">
        <w:t>20</w:t>
      </w:r>
      <w:r w:rsidR="004D1E76" w:rsidRPr="0015116B">
        <w:t>1</w:t>
      </w:r>
      <w:r w:rsidR="00D27A87" w:rsidRPr="0015116B">
        <w:t>5</w:t>
      </w:r>
      <w:r w:rsidR="00F70C12" w:rsidRPr="0015116B">
        <w:t>/</w:t>
      </w:r>
      <w:r w:rsidR="004D1E76" w:rsidRPr="0015116B">
        <w:t>1</w:t>
      </w:r>
      <w:r w:rsidR="00D27A87" w:rsidRPr="0015116B">
        <w:t>6</w:t>
      </w:r>
      <w:r w:rsidR="00F70C12" w:rsidRPr="0015116B">
        <w:t>-20</w:t>
      </w:r>
      <w:r w:rsidR="00D27A87" w:rsidRPr="0015116B">
        <w:t>19</w:t>
      </w:r>
      <w:r w:rsidR="00E6367C" w:rsidRPr="0015116B">
        <w:t>/</w:t>
      </w:r>
      <w:r w:rsidR="00D27A87" w:rsidRPr="0015116B">
        <w:t>20</w:t>
      </w:r>
      <w:r w:rsidR="00F70C12" w:rsidRPr="0015116B">
        <w:t>. Bycatch in the snow crab fishery in 201</w:t>
      </w:r>
      <w:r w:rsidR="00D27A87" w:rsidRPr="0015116B">
        <w:t>9</w:t>
      </w:r>
      <w:r w:rsidR="00F70C12" w:rsidRPr="0015116B">
        <w:t>/</w:t>
      </w:r>
      <w:r w:rsidR="00D27A87" w:rsidRPr="0015116B">
        <w:t>20</w:t>
      </w:r>
      <w:r w:rsidR="00F70C12" w:rsidRPr="0015116B">
        <w:t xml:space="preserve"> was</w:t>
      </w:r>
      <w:r w:rsidRPr="0015116B">
        <w:t xml:space="preserve"> </w:t>
      </w:r>
      <w:r w:rsidR="00D27A87" w:rsidRPr="0015116B">
        <w:t>1,018</w:t>
      </w:r>
      <w:r w:rsidR="00F70C12" w:rsidRPr="0015116B">
        <w:t xml:space="preserve"> t. The groundfish fisheries have been the next major source of Tanner crab bycatch over th</w:t>
      </w:r>
      <w:r w:rsidR="00532B67" w:rsidRPr="0015116B">
        <w:t xml:space="preserve">e </w:t>
      </w:r>
      <w:r w:rsidR="004D1E76" w:rsidRPr="0015116B">
        <w:t xml:space="preserve">same </w:t>
      </w:r>
      <w:r w:rsidR="00532B67" w:rsidRPr="0015116B">
        <w:t>five year time period</w:t>
      </w:r>
      <w:r w:rsidR="00F70C12" w:rsidRPr="0015116B">
        <w:t>, averaging</w:t>
      </w:r>
      <w:r w:rsidR="00FE1C4E" w:rsidRPr="0015116B">
        <w:t xml:space="preserve"> </w:t>
      </w:r>
      <w:r w:rsidR="00D27A87" w:rsidRPr="0015116B">
        <w:t>229</w:t>
      </w:r>
      <w:r w:rsidR="00F70C12" w:rsidRPr="0015116B">
        <w:t xml:space="preserve"> t. Bycatch in the groundfish fisheries in 201</w:t>
      </w:r>
      <w:r w:rsidR="00D27A87" w:rsidRPr="0015116B">
        <w:t>9</w:t>
      </w:r>
      <w:r w:rsidR="00F70C12" w:rsidRPr="0015116B">
        <w:t>/</w:t>
      </w:r>
      <w:r w:rsidR="00D27A87" w:rsidRPr="0015116B">
        <w:t>20</w:t>
      </w:r>
      <w:r w:rsidR="00141208" w:rsidRPr="0015116B">
        <w:t xml:space="preserve"> was </w:t>
      </w:r>
      <w:r w:rsidR="00D27A87" w:rsidRPr="0015116B">
        <w:t>148</w:t>
      </w:r>
      <w:r w:rsidR="00F70C12" w:rsidRPr="0015116B">
        <w:t xml:space="preserve"> t. </w:t>
      </w:r>
      <w:r w:rsidRPr="0015116B">
        <w:t>Excluding the scallop fishery, t</w:t>
      </w:r>
      <w:r w:rsidR="00F70C12" w:rsidRPr="0015116B">
        <w:t xml:space="preserve">he Bristol Bay red king crab fishery </w:t>
      </w:r>
      <w:r w:rsidR="00532B67" w:rsidRPr="0015116B">
        <w:t>has typically been</w:t>
      </w:r>
      <w:r w:rsidR="00F70C12" w:rsidRPr="0015116B">
        <w:t xml:space="preserve"> the </w:t>
      </w:r>
      <w:r w:rsidR="00532B67" w:rsidRPr="0015116B">
        <w:t xml:space="preserve">smallest source of Tanner crab bycatch among these fisheries, averaging </w:t>
      </w:r>
      <w:r w:rsidR="00D27A87" w:rsidRPr="0015116B">
        <w:t>134</w:t>
      </w:r>
      <w:r w:rsidR="00532B67" w:rsidRPr="0015116B">
        <w:t xml:space="preserve"> t over the </w:t>
      </w:r>
      <w:r w:rsidR="00141208" w:rsidRPr="0015116B">
        <w:t>5-</w:t>
      </w:r>
      <w:r w:rsidR="00532B67" w:rsidRPr="0015116B">
        <w:t>year time period</w:t>
      </w:r>
      <w:r w:rsidR="00141208" w:rsidRPr="0015116B">
        <w:t>.</w:t>
      </w:r>
      <w:r w:rsidR="00B7767C" w:rsidRPr="0015116B">
        <w:t xml:space="preserve"> In 20</w:t>
      </w:r>
      <w:r w:rsidR="00D27A87" w:rsidRPr="0015116B">
        <w:t>19/20</w:t>
      </w:r>
      <w:r w:rsidR="00B7767C" w:rsidRPr="0015116B">
        <w:t xml:space="preserve">, this fishery accounted for </w:t>
      </w:r>
      <w:r w:rsidR="00163F54" w:rsidRPr="0015116B">
        <w:t xml:space="preserve">only </w:t>
      </w:r>
      <w:r w:rsidR="00D27A87" w:rsidRPr="0015116B">
        <w:t>18</w:t>
      </w:r>
      <w:r w:rsidR="00FE1C4E" w:rsidRPr="0015116B">
        <w:t xml:space="preserve"> t of Tanner crab bycatch.</w:t>
      </w:r>
    </w:p>
    <w:p w14:paraId="311ED4E2" w14:textId="2BDCDD53" w:rsidR="00831ADF" w:rsidRPr="0015116B" w:rsidRDefault="00524DCF" w:rsidP="0071276E">
      <w:r w:rsidRPr="0015116B">
        <w:t xml:space="preserve">In order to account for mortality </w:t>
      </w:r>
      <w:r w:rsidR="0073240E" w:rsidRPr="0015116B">
        <w:t>o</w:t>
      </w:r>
      <w:r w:rsidR="00502BC9" w:rsidRPr="0015116B">
        <w:t>f</w:t>
      </w:r>
      <w:r w:rsidRPr="0015116B">
        <w:t xml:space="preserve"> discarded cr</w:t>
      </w:r>
      <w:r w:rsidR="00E2051F" w:rsidRPr="0015116B">
        <w:t xml:space="preserve">ab, </w:t>
      </w:r>
      <w:r w:rsidR="00141208" w:rsidRPr="0015116B">
        <w:t xml:space="preserve">handling </w:t>
      </w:r>
      <w:r w:rsidR="00E2051F" w:rsidRPr="0015116B">
        <w:t xml:space="preserve">mortality rates </w:t>
      </w:r>
      <w:r w:rsidR="004D1E76" w:rsidRPr="0015116B">
        <w:t>are</w:t>
      </w:r>
      <w:r w:rsidRPr="0015116B">
        <w:t xml:space="preserve"> assumed to be </w:t>
      </w:r>
      <w:r w:rsidR="004D1E76" w:rsidRPr="0015116B">
        <w:t>32.1</w:t>
      </w:r>
      <w:r w:rsidRPr="0015116B">
        <w:t>% for</w:t>
      </w:r>
      <w:r w:rsidR="000E77E5" w:rsidRPr="0015116B">
        <w:t xml:space="preserve"> </w:t>
      </w:r>
      <w:r w:rsidR="00E2051F" w:rsidRPr="0015116B">
        <w:t>Tanner crab</w:t>
      </w:r>
      <w:r w:rsidRPr="0015116B">
        <w:t xml:space="preserve"> </w:t>
      </w:r>
      <w:r w:rsidR="00502BC9" w:rsidRPr="0015116B">
        <w:t>discarded</w:t>
      </w:r>
      <w:r w:rsidRPr="0015116B">
        <w:t xml:space="preserve"> in the crab</w:t>
      </w:r>
      <w:r w:rsidR="00D8748B" w:rsidRPr="0015116B">
        <w:t xml:space="preserve"> </w:t>
      </w:r>
      <w:r w:rsidRPr="0015116B">
        <w:t>fisheries</w:t>
      </w:r>
      <w:r w:rsidR="00902372" w:rsidRPr="0015116B">
        <w:t>, 50% for Tanner crab in the groundfish fisheries</w:t>
      </w:r>
      <w:r w:rsidR="0073240E" w:rsidRPr="0015116B">
        <w:t xml:space="preserve"> </w:t>
      </w:r>
      <w:r w:rsidR="00902372" w:rsidRPr="0015116B">
        <w:t xml:space="preserve">using fixed gear, </w:t>
      </w:r>
      <w:r w:rsidR="0073240E" w:rsidRPr="0015116B">
        <w:t xml:space="preserve">and </w:t>
      </w:r>
      <w:r w:rsidR="00502BC9" w:rsidRPr="0015116B">
        <w:t xml:space="preserve">80% for </w:t>
      </w:r>
      <w:r w:rsidR="00E2051F" w:rsidRPr="0015116B">
        <w:t>Tanner crab</w:t>
      </w:r>
      <w:r w:rsidR="00502BC9" w:rsidRPr="0015116B">
        <w:t xml:space="preserve"> discarded in the groundfish fisheries to account for differences in gear and handling procedures used in the various fisheries.</w:t>
      </w:r>
    </w:p>
    <w:p w14:paraId="06D9C037" w14:textId="77777777" w:rsidR="00435BF8" w:rsidRPr="0015116B" w:rsidRDefault="00895389" w:rsidP="00895389">
      <w:pPr>
        <w:pStyle w:val="Heading3"/>
      </w:pPr>
      <w:r w:rsidRPr="0015116B">
        <w:t xml:space="preserve">3. </w:t>
      </w:r>
      <w:r w:rsidR="00435BF8" w:rsidRPr="0015116B">
        <w:t>Stock biomass: trends and current levels relative to virgin or historic levels</w:t>
      </w:r>
    </w:p>
    <w:p w14:paraId="6AAFB6D9" w14:textId="3DCC1B46" w:rsidR="00831ADF" w:rsidRPr="0015116B" w:rsidRDefault="00C63F4B" w:rsidP="00831ADF">
      <w:r w:rsidRPr="0015116B">
        <w:t>For EBS Tanner crab, spawning stock biomass is expressed as m</w:t>
      </w:r>
      <w:r w:rsidR="005B485B" w:rsidRPr="0015116B">
        <w:t>ature male biomass (MMB)</w:t>
      </w:r>
      <w:r w:rsidRPr="0015116B">
        <w:t xml:space="preserve"> at the time of mating (mid</w:t>
      </w:r>
      <w:r w:rsidR="003006B3" w:rsidRPr="0015116B">
        <w:t>-</w:t>
      </w:r>
      <w:r w:rsidRPr="0015116B">
        <w:t>February).</w:t>
      </w:r>
      <w:r w:rsidR="005B485B" w:rsidRPr="0015116B">
        <w:t xml:space="preserve"> </w:t>
      </w:r>
      <w:r w:rsidRPr="0015116B">
        <w:t>From the author’s preferred model</w:t>
      </w:r>
      <w:r w:rsidR="00B92821" w:rsidRPr="0015116B">
        <w:t xml:space="preserve"> (</w:t>
      </w:r>
      <w:r w:rsidR="002241C2" w:rsidRPr="0015116B">
        <w:t>20.07</w:t>
      </w:r>
      <w:r w:rsidR="00B92821" w:rsidRPr="0015116B">
        <w:t>)</w:t>
      </w:r>
      <w:r w:rsidRPr="0015116B">
        <w:t xml:space="preserve">, estimated MMB </w:t>
      </w:r>
      <w:r w:rsidR="00B92821" w:rsidRPr="0015116B">
        <w:t>for</w:t>
      </w:r>
      <w:r w:rsidRPr="0015116B">
        <w:t xml:space="preserve"> 201</w:t>
      </w:r>
      <w:r w:rsidR="002241C2" w:rsidRPr="0015116B">
        <w:t>9/20</w:t>
      </w:r>
      <w:r w:rsidRPr="0015116B">
        <w:t xml:space="preserve"> was </w:t>
      </w:r>
      <w:r w:rsidR="001C0D16" w:rsidRPr="0015116B">
        <w:t>56.1</w:t>
      </w:r>
      <w:r w:rsidRPr="0015116B">
        <w:t xml:space="preserve"> thousand t</w:t>
      </w:r>
      <w:r w:rsidR="00450D2E" w:rsidRPr="0015116B">
        <w:t xml:space="preserve"> (Table </w:t>
      </w:r>
      <w:r w:rsidR="001C0D16" w:rsidRPr="0015116B">
        <w:t>30</w:t>
      </w:r>
      <w:r w:rsidR="00450D2E" w:rsidRPr="0015116B">
        <w:t>)</w:t>
      </w:r>
      <w:r w:rsidRPr="0015116B">
        <w:t xml:space="preserve">. </w:t>
      </w:r>
      <w:r w:rsidR="00D624CE" w:rsidRPr="0015116B">
        <w:t xml:space="preserve">MMB has been on a declining trend since 2014/15 when it peaked at </w:t>
      </w:r>
      <w:r w:rsidR="00D318E6" w:rsidRPr="0015116B">
        <w:t>1</w:t>
      </w:r>
      <w:r w:rsidR="001C0D16" w:rsidRPr="0015116B">
        <w:t>31.7</w:t>
      </w:r>
      <w:r w:rsidR="00D318E6" w:rsidRPr="0015116B">
        <w:t xml:space="preserve"> thousand t</w:t>
      </w:r>
      <w:r w:rsidR="003006B3" w:rsidRPr="0015116B">
        <w:t>,</w:t>
      </w:r>
      <w:r w:rsidR="00953651" w:rsidRPr="0015116B">
        <w:t xml:space="preserve"> </w:t>
      </w:r>
      <w:r w:rsidR="00D318E6" w:rsidRPr="0015116B">
        <w:t xml:space="preserve">and it is approaching </w:t>
      </w:r>
      <w:r w:rsidR="00450D2E" w:rsidRPr="0015116B">
        <w:t xml:space="preserve">the very low </w:t>
      </w:r>
      <w:r w:rsidRPr="0015116B">
        <w:t>levels seen in the mid-1990s to early 2000s</w:t>
      </w:r>
      <w:r w:rsidR="00450D2E" w:rsidRPr="0015116B">
        <w:t xml:space="preserve"> (199</w:t>
      </w:r>
      <w:r w:rsidR="00D318E6" w:rsidRPr="0015116B">
        <w:t>3</w:t>
      </w:r>
      <w:r w:rsidR="00450D2E" w:rsidRPr="0015116B">
        <w:t xml:space="preserve"> to 200</w:t>
      </w:r>
      <w:r w:rsidR="00D318E6" w:rsidRPr="0015116B">
        <w:t>3</w:t>
      </w:r>
      <w:r w:rsidR="00450D2E" w:rsidRPr="0015116B">
        <w:t xml:space="preserve"> average: </w:t>
      </w:r>
      <w:r w:rsidR="00D318E6" w:rsidRPr="0015116B">
        <w:t>55.1</w:t>
      </w:r>
      <w:r w:rsidR="00450D2E" w:rsidRPr="0015116B">
        <w:t xml:space="preserve"> thousand t)</w:t>
      </w:r>
      <w:r w:rsidRPr="0015116B">
        <w:t>.</w:t>
      </w:r>
    </w:p>
    <w:p w14:paraId="72069DDD" w14:textId="77777777" w:rsidR="00435BF8" w:rsidRPr="0015116B" w:rsidRDefault="00895389" w:rsidP="00895389">
      <w:pPr>
        <w:pStyle w:val="Heading3"/>
      </w:pPr>
      <w:r w:rsidRPr="0015116B">
        <w:t xml:space="preserve">4. </w:t>
      </w:r>
      <w:r w:rsidR="00435BF8" w:rsidRPr="0015116B">
        <w:t>Recruitment: trends and current levels relative to virgin or historic levels.</w:t>
      </w:r>
    </w:p>
    <w:p w14:paraId="02E30ADE" w14:textId="18C9E204" w:rsidR="00831ADF" w:rsidRPr="0015116B" w:rsidRDefault="002A6C8B" w:rsidP="00831ADF">
      <w:r w:rsidRPr="0015116B">
        <w:t>From the author’s preferred model</w:t>
      </w:r>
      <w:r w:rsidR="00B92821" w:rsidRPr="0015116B">
        <w:t xml:space="preserve"> (</w:t>
      </w:r>
      <w:r w:rsidR="001C0D16" w:rsidRPr="0015116B">
        <w:t>20.07</w:t>
      </w:r>
      <w:r w:rsidR="00B92821" w:rsidRPr="0015116B">
        <w:t>)</w:t>
      </w:r>
      <w:r w:rsidRPr="0015116B">
        <w:t xml:space="preserve">, </w:t>
      </w:r>
      <w:r w:rsidR="00D76C62" w:rsidRPr="0015116B">
        <w:t xml:space="preserve">the </w:t>
      </w:r>
      <w:r w:rsidRPr="0015116B">
        <w:t xml:space="preserve">estimated </w:t>
      </w:r>
      <w:r w:rsidR="00690D69" w:rsidRPr="0015116B">
        <w:t>total</w:t>
      </w:r>
      <w:r w:rsidRPr="0015116B">
        <w:t xml:space="preserve"> recruitment</w:t>
      </w:r>
      <w:r w:rsidR="00E41547" w:rsidRPr="0015116B">
        <w:t xml:space="preserve"> for </w:t>
      </w:r>
      <w:r w:rsidRPr="0015116B">
        <w:t>20</w:t>
      </w:r>
      <w:r w:rsidR="001C0D16" w:rsidRPr="0015116B">
        <w:t>20</w:t>
      </w:r>
      <w:r w:rsidRPr="0015116B">
        <w:t xml:space="preserve"> (</w:t>
      </w:r>
      <w:r w:rsidR="00E41547" w:rsidRPr="0015116B">
        <w:t xml:space="preserve">the </w:t>
      </w:r>
      <w:r w:rsidRPr="0015116B">
        <w:t xml:space="preserve">number of crab entering the population on July 1) </w:t>
      </w:r>
      <w:r w:rsidR="00D76C62" w:rsidRPr="0015116B">
        <w:t>i</w:t>
      </w:r>
      <w:r w:rsidRPr="0015116B">
        <w:t xml:space="preserve">s </w:t>
      </w:r>
      <w:r w:rsidR="001C0D16" w:rsidRPr="0015116B">
        <w:t>274.5</w:t>
      </w:r>
      <w:r w:rsidRPr="0015116B">
        <w:t xml:space="preserve"> </w:t>
      </w:r>
      <w:r w:rsidR="00D76C62" w:rsidRPr="0015116B">
        <w:t>million</w:t>
      </w:r>
      <w:r w:rsidRPr="0015116B">
        <w:t xml:space="preserve"> crab (Table </w:t>
      </w:r>
      <w:r w:rsidR="001C0D16" w:rsidRPr="0015116B">
        <w:t>33</w:t>
      </w:r>
      <w:r w:rsidR="003006B3" w:rsidRPr="0015116B">
        <w:t>)</w:t>
      </w:r>
      <w:r w:rsidR="008D4045" w:rsidRPr="0015116B">
        <w:t>.</w:t>
      </w:r>
      <w:r w:rsidR="00B054D6" w:rsidRPr="0015116B">
        <w:t xml:space="preserve"> </w:t>
      </w:r>
      <w:r w:rsidR="001C0D16" w:rsidRPr="0015116B">
        <w:t xml:space="preserve">However, this estimate is uninformed by data because the 2020 NMFS EBS shelf bottom trawl survey was canceled due to safety concerns </w:t>
      </w:r>
      <w:r w:rsidR="009607ED" w:rsidRPr="0015116B">
        <w:t>associated with</w:t>
      </w:r>
      <w:r w:rsidR="001C0D16" w:rsidRPr="0015116B">
        <w:t xml:space="preserve"> the COVID-19 pandemic. As such, it is highly uncertain. More believable, but still fairly uncertain, </w:t>
      </w:r>
      <w:r w:rsidR="009607ED" w:rsidRPr="0015116B">
        <w:t>last year’s estimated recruitment of 1193.6 million crab was the highest since 2008.</w:t>
      </w:r>
      <w:r w:rsidRPr="0015116B">
        <w:t xml:space="preserve"> </w:t>
      </w:r>
      <w:r w:rsidR="009607ED" w:rsidRPr="0015116B">
        <w:t>Average recruitment over the previous 10 years is</w:t>
      </w:r>
      <w:r w:rsidR="00E41547" w:rsidRPr="0015116B">
        <w:t xml:space="preserve"> </w:t>
      </w:r>
      <w:r w:rsidR="009607ED" w:rsidRPr="0015116B">
        <w:t xml:space="preserve">398 </w:t>
      </w:r>
      <w:r w:rsidR="00E41547" w:rsidRPr="0015116B">
        <w:t>million crab</w:t>
      </w:r>
      <w:r w:rsidR="003C088C" w:rsidRPr="0015116B">
        <w:t>, which is slightly above</w:t>
      </w:r>
      <w:r w:rsidR="008D4045" w:rsidRPr="0015116B">
        <w:t xml:space="preserve"> the</w:t>
      </w:r>
      <w:r w:rsidR="00E41547" w:rsidRPr="0015116B">
        <w:t xml:space="preserve"> </w:t>
      </w:r>
      <w:proofErr w:type="spellStart"/>
      <w:r w:rsidR="00E41547" w:rsidRPr="0015116B">
        <w:t>longterm</w:t>
      </w:r>
      <w:proofErr w:type="spellEnd"/>
      <w:r w:rsidR="00E41547" w:rsidRPr="0015116B">
        <w:t xml:space="preserve"> (1982+) mean </w:t>
      </w:r>
      <w:r w:rsidR="003C088C" w:rsidRPr="0015116B">
        <w:t>of</w:t>
      </w:r>
      <w:r w:rsidR="00E41547" w:rsidRPr="0015116B">
        <w:t xml:space="preserve"> </w:t>
      </w:r>
      <w:r w:rsidR="009607ED" w:rsidRPr="0015116B">
        <w:t>370</w:t>
      </w:r>
      <w:r w:rsidR="00E41547" w:rsidRPr="0015116B">
        <w:t xml:space="preserve"> million crab.</w:t>
      </w:r>
    </w:p>
    <w:p w14:paraId="5B24A98F" w14:textId="77777777" w:rsidR="00435BF8" w:rsidRPr="0015116B" w:rsidRDefault="00895389" w:rsidP="00895389">
      <w:pPr>
        <w:pStyle w:val="Heading3"/>
      </w:pPr>
      <w:r w:rsidRPr="0015116B">
        <w:t xml:space="preserve">5. </w:t>
      </w:r>
      <w:r w:rsidR="00435BF8" w:rsidRPr="0015116B">
        <w:t>Management performance</w:t>
      </w:r>
    </w:p>
    <w:p w14:paraId="76F415FA" w14:textId="1864B484" w:rsidR="006F7BDE" w:rsidRPr="0015116B" w:rsidRDefault="006F7BDE" w:rsidP="006F7BDE">
      <w:r w:rsidRPr="0015116B">
        <w:t>Historical status and catch specifications for eastern Bering Sea Tanner crab</w:t>
      </w:r>
      <w:r w:rsidR="00DC05AB" w:rsidRPr="0015116B">
        <w:t>, with 2020/21 values based on the author’s recommended model, 20.07</w:t>
      </w:r>
      <w:r w:rsidRPr="0015116B">
        <w:t>.</w:t>
      </w:r>
    </w:p>
    <w:p w14:paraId="2889B4A9" w14:textId="7ED35BD7" w:rsidR="00831ADF" w:rsidRPr="0015116B" w:rsidRDefault="006F7BDE" w:rsidP="00DA2BBA">
      <w:pPr>
        <w:pStyle w:val="SummaryTableCaption"/>
      </w:pPr>
      <w:r w:rsidRPr="0015116B">
        <w:t xml:space="preserve"> </w:t>
      </w:r>
      <w:r w:rsidR="00C66370" w:rsidRPr="0015116B">
        <w:t xml:space="preserve">(a) </w:t>
      </w:r>
      <w:r w:rsidRPr="0015116B">
        <w:t>in 1000’s t.</w:t>
      </w:r>
    </w:p>
    <w:tbl>
      <w:tblPr>
        <w:tblW w:w="9345" w:type="dxa"/>
        <w:tblInd w:w="123" w:type="dxa"/>
        <w:tblLook w:val="04A0" w:firstRow="1" w:lastRow="0" w:firstColumn="1" w:lastColumn="0" w:noHBand="0" w:noVBand="1"/>
      </w:tblPr>
      <w:tblGrid>
        <w:gridCol w:w="975"/>
        <w:gridCol w:w="990"/>
        <w:gridCol w:w="1240"/>
        <w:gridCol w:w="1520"/>
        <w:gridCol w:w="1300"/>
        <w:gridCol w:w="1440"/>
        <w:gridCol w:w="940"/>
        <w:gridCol w:w="940"/>
      </w:tblGrid>
      <w:tr w:rsidR="006F7BDE" w:rsidRPr="0015116B" w14:paraId="0AB8724F" w14:textId="77777777" w:rsidTr="006F7BDE">
        <w:trPr>
          <w:trHeight w:val="705"/>
        </w:trPr>
        <w:tc>
          <w:tcPr>
            <w:tcW w:w="975" w:type="dxa"/>
            <w:tcBorders>
              <w:top w:val="single" w:sz="12" w:space="0" w:color="auto"/>
              <w:left w:val="single" w:sz="12" w:space="0" w:color="FFFFFF"/>
              <w:bottom w:val="single" w:sz="12" w:space="0" w:color="auto"/>
              <w:right w:val="single" w:sz="12" w:space="0" w:color="FFFFFF"/>
            </w:tcBorders>
            <w:shd w:val="clear" w:color="auto" w:fill="auto"/>
            <w:vAlign w:val="bottom"/>
            <w:hideMark/>
          </w:tcPr>
          <w:p w14:paraId="7D3F1A4B"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Year</w:t>
            </w:r>
          </w:p>
        </w:tc>
        <w:tc>
          <w:tcPr>
            <w:tcW w:w="990" w:type="dxa"/>
            <w:tcBorders>
              <w:top w:val="single" w:sz="12" w:space="0" w:color="auto"/>
              <w:left w:val="nil"/>
              <w:bottom w:val="single" w:sz="12" w:space="0" w:color="auto"/>
              <w:right w:val="single" w:sz="12" w:space="0" w:color="FFFFFF"/>
            </w:tcBorders>
            <w:shd w:val="clear" w:color="auto" w:fill="auto"/>
            <w:vAlign w:val="bottom"/>
            <w:hideMark/>
          </w:tcPr>
          <w:p w14:paraId="78E0A7A7"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MSST</w:t>
            </w:r>
          </w:p>
        </w:tc>
        <w:tc>
          <w:tcPr>
            <w:tcW w:w="1240" w:type="dxa"/>
            <w:tcBorders>
              <w:top w:val="single" w:sz="12" w:space="0" w:color="auto"/>
              <w:left w:val="nil"/>
              <w:bottom w:val="single" w:sz="12" w:space="0" w:color="auto"/>
              <w:right w:val="single" w:sz="12" w:space="0" w:color="FFFFFF"/>
            </w:tcBorders>
            <w:shd w:val="clear" w:color="auto" w:fill="auto"/>
            <w:vAlign w:val="bottom"/>
            <w:hideMark/>
          </w:tcPr>
          <w:p w14:paraId="5D8CADF9"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Biomass (MMB)</w:t>
            </w:r>
          </w:p>
        </w:tc>
        <w:tc>
          <w:tcPr>
            <w:tcW w:w="1520" w:type="dxa"/>
            <w:tcBorders>
              <w:top w:val="single" w:sz="12" w:space="0" w:color="auto"/>
              <w:left w:val="nil"/>
              <w:bottom w:val="single" w:sz="12" w:space="0" w:color="auto"/>
              <w:right w:val="single" w:sz="12" w:space="0" w:color="FFFFFF"/>
            </w:tcBorders>
            <w:shd w:val="clear" w:color="auto" w:fill="auto"/>
            <w:vAlign w:val="bottom"/>
            <w:hideMark/>
          </w:tcPr>
          <w:p w14:paraId="78FB107B"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TAC               (East + West)</w:t>
            </w:r>
          </w:p>
        </w:tc>
        <w:tc>
          <w:tcPr>
            <w:tcW w:w="1300" w:type="dxa"/>
            <w:tcBorders>
              <w:top w:val="single" w:sz="12" w:space="0" w:color="auto"/>
              <w:left w:val="nil"/>
              <w:bottom w:val="single" w:sz="12" w:space="0" w:color="auto"/>
              <w:right w:val="single" w:sz="12" w:space="0" w:color="FFFFFF"/>
            </w:tcBorders>
            <w:shd w:val="clear" w:color="auto" w:fill="auto"/>
            <w:vAlign w:val="bottom"/>
            <w:hideMark/>
          </w:tcPr>
          <w:p w14:paraId="52B43585"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Retained Catch</w:t>
            </w:r>
          </w:p>
        </w:tc>
        <w:tc>
          <w:tcPr>
            <w:tcW w:w="1440" w:type="dxa"/>
            <w:tcBorders>
              <w:top w:val="single" w:sz="12" w:space="0" w:color="auto"/>
              <w:left w:val="nil"/>
              <w:bottom w:val="single" w:sz="12" w:space="0" w:color="auto"/>
              <w:right w:val="single" w:sz="12" w:space="0" w:color="FFFFFF"/>
            </w:tcBorders>
            <w:shd w:val="clear" w:color="auto" w:fill="auto"/>
            <w:vAlign w:val="bottom"/>
            <w:hideMark/>
          </w:tcPr>
          <w:p w14:paraId="66760C73"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Total Catch Mortality</w:t>
            </w:r>
          </w:p>
        </w:tc>
        <w:tc>
          <w:tcPr>
            <w:tcW w:w="940" w:type="dxa"/>
            <w:tcBorders>
              <w:top w:val="single" w:sz="12" w:space="0" w:color="auto"/>
              <w:left w:val="nil"/>
              <w:bottom w:val="single" w:sz="12" w:space="0" w:color="auto"/>
              <w:right w:val="nil"/>
            </w:tcBorders>
            <w:shd w:val="clear" w:color="auto" w:fill="auto"/>
            <w:vAlign w:val="bottom"/>
            <w:hideMark/>
          </w:tcPr>
          <w:p w14:paraId="59C88F83"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OFL</w:t>
            </w:r>
          </w:p>
        </w:tc>
        <w:tc>
          <w:tcPr>
            <w:tcW w:w="940" w:type="dxa"/>
            <w:tcBorders>
              <w:top w:val="single" w:sz="12" w:space="0" w:color="auto"/>
              <w:left w:val="single" w:sz="8" w:space="0" w:color="FFFFFF"/>
              <w:bottom w:val="single" w:sz="12" w:space="0" w:color="auto"/>
              <w:right w:val="single" w:sz="8" w:space="0" w:color="FFFFFF"/>
            </w:tcBorders>
            <w:shd w:val="clear" w:color="auto" w:fill="auto"/>
            <w:noWrap/>
            <w:vAlign w:val="bottom"/>
            <w:hideMark/>
          </w:tcPr>
          <w:p w14:paraId="7E367877"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ABC</w:t>
            </w:r>
          </w:p>
        </w:tc>
      </w:tr>
      <w:tr w:rsidR="00F76D23" w:rsidRPr="0015116B" w14:paraId="03F996C8" w14:textId="77777777" w:rsidTr="00DC05AB">
        <w:trPr>
          <w:trHeight w:val="315"/>
        </w:trPr>
        <w:tc>
          <w:tcPr>
            <w:tcW w:w="975" w:type="dxa"/>
            <w:tcBorders>
              <w:top w:val="single" w:sz="4" w:space="0" w:color="FFFFFF"/>
              <w:left w:val="single" w:sz="12" w:space="0" w:color="FFFFFF"/>
              <w:bottom w:val="single" w:sz="4" w:space="0" w:color="FFFFFF"/>
              <w:right w:val="single" w:sz="4" w:space="0" w:color="FFFFFF"/>
            </w:tcBorders>
            <w:shd w:val="clear" w:color="auto" w:fill="auto"/>
            <w:noWrap/>
            <w:vAlign w:val="center"/>
            <w:hideMark/>
          </w:tcPr>
          <w:p w14:paraId="6105E497" w14:textId="7519C982" w:rsidR="00F76D23" w:rsidRPr="0015116B" w:rsidRDefault="00F76D23" w:rsidP="00DC05AB">
            <w:pPr>
              <w:spacing w:after="0"/>
              <w:jc w:val="center"/>
              <w:rPr>
                <w:rFonts w:eastAsia="Times New Roman" w:cs="Times New Roman"/>
              </w:rPr>
            </w:pPr>
            <w:r w:rsidRPr="0015116B">
              <w:t>2016/17</w:t>
            </w:r>
          </w:p>
        </w:tc>
        <w:tc>
          <w:tcPr>
            <w:tcW w:w="990" w:type="dxa"/>
            <w:tcBorders>
              <w:top w:val="single" w:sz="4" w:space="0" w:color="FFFFFF"/>
              <w:left w:val="nil"/>
              <w:bottom w:val="single" w:sz="4" w:space="0" w:color="FFFFFF"/>
              <w:right w:val="single" w:sz="4" w:space="0" w:color="FFFFFF"/>
            </w:tcBorders>
            <w:shd w:val="clear" w:color="auto" w:fill="auto"/>
            <w:noWrap/>
            <w:vAlign w:val="center"/>
            <w:hideMark/>
          </w:tcPr>
          <w:p w14:paraId="3A1F4EEC" w14:textId="3834C021" w:rsidR="00F76D23" w:rsidRPr="0015116B" w:rsidRDefault="00F76D23" w:rsidP="00DC05AB">
            <w:pPr>
              <w:spacing w:after="0"/>
              <w:jc w:val="center"/>
              <w:rPr>
                <w:rFonts w:eastAsia="Times New Roman" w:cs="Times New Roman"/>
              </w:rPr>
            </w:pPr>
            <w:r w:rsidRPr="0015116B">
              <w:t>14.58</w:t>
            </w:r>
          </w:p>
        </w:tc>
        <w:tc>
          <w:tcPr>
            <w:tcW w:w="1240" w:type="dxa"/>
            <w:tcBorders>
              <w:top w:val="single" w:sz="4" w:space="0" w:color="FFFFFF"/>
              <w:left w:val="nil"/>
              <w:bottom w:val="single" w:sz="4" w:space="0" w:color="FFFFFF"/>
              <w:right w:val="single" w:sz="4" w:space="0" w:color="FFFFFF"/>
            </w:tcBorders>
            <w:shd w:val="clear" w:color="auto" w:fill="auto"/>
            <w:noWrap/>
            <w:vAlign w:val="center"/>
            <w:hideMark/>
          </w:tcPr>
          <w:p w14:paraId="5E2373F2" w14:textId="6435C09F" w:rsidR="00F76D23" w:rsidRPr="0015116B" w:rsidRDefault="00F76D23" w:rsidP="00DC05AB">
            <w:pPr>
              <w:spacing w:after="0"/>
              <w:jc w:val="center"/>
              <w:rPr>
                <w:rFonts w:eastAsia="Times New Roman" w:cs="Times New Roman"/>
              </w:rPr>
            </w:pPr>
            <w:r w:rsidRPr="0015116B">
              <w:t>77.96</w:t>
            </w:r>
          </w:p>
        </w:tc>
        <w:tc>
          <w:tcPr>
            <w:tcW w:w="1520" w:type="dxa"/>
            <w:tcBorders>
              <w:top w:val="single" w:sz="4" w:space="0" w:color="FFFFFF"/>
              <w:left w:val="nil"/>
              <w:bottom w:val="single" w:sz="4" w:space="0" w:color="FFFFFF"/>
              <w:right w:val="single" w:sz="4" w:space="0" w:color="FFFFFF"/>
            </w:tcBorders>
            <w:shd w:val="clear" w:color="auto" w:fill="auto"/>
            <w:noWrap/>
            <w:vAlign w:val="center"/>
            <w:hideMark/>
          </w:tcPr>
          <w:p w14:paraId="1123FE4F" w14:textId="09D8936D" w:rsidR="00F76D23" w:rsidRPr="0015116B" w:rsidRDefault="00F76D23" w:rsidP="00DC05AB">
            <w:pPr>
              <w:spacing w:after="0"/>
              <w:jc w:val="center"/>
              <w:rPr>
                <w:rFonts w:eastAsia="Times New Roman" w:cs="Times New Roman"/>
              </w:rPr>
            </w:pPr>
            <w:r w:rsidRPr="0015116B">
              <w:t>0.00</w:t>
            </w:r>
          </w:p>
        </w:tc>
        <w:tc>
          <w:tcPr>
            <w:tcW w:w="1300" w:type="dxa"/>
            <w:tcBorders>
              <w:top w:val="single" w:sz="4" w:space="0" w:color="FFFFFF"/>
              <w:left w:val="nil"/>
              <w:bottom w:val="single" w:sz="4" w:space="0" w:color="FFFFFF"/>
              <w:right w:val="single" w:sz="4" w:space="0" w:color="FFFFFF"/>
            </w:tcBorders>
            <w:shd w:val="clear" w:color="auto" w:fill="auto"/>
            <w:noWrap/>
            <w:vAlign w:val="center"/>
            <w:hideMark/>
          </w:tcPr>
          <w:p w14:paraId="2CDFC5B0" w14:textId="11255356" w:rsidR="00F76D23" w:rsidRPr="0015116B" w:rsidRDefault="00F76D23" w:rsidP="00DC05AB">
            <w:pPr>
              <w:spacing w:after="0"/>
              <w:jc w:val="center"/>
              <w:rPr>
                <w:rFonts w:eastAsia="Times New Roman" w:cs="Times New Roman"/>
              </w:rPr>
            </w:pPr>
            <w:r w:rsidRPr="0015116B">
              <w:t>0.00</w:t>
            </w:r>
          </w:p>
        </w:tc>
        <w:tc>
          <w:tcPr>
            <w:tcW w:w="1440" w:type="dxa"/>
            <w:tcBorders>
              <w:top w:val="single" w:sz="4" w:space="0" w:color="FFFFFF"/>
              <w:left w:val="nil"/>
              <w:bottom w:val="single" w:sz="4" w:space="0" w:color="FFFFFF"/>
              <w:right w:val="single" w:sz="4" w:space="0" w:color="FFFFFF"/>
            </w:tcBorders>
            <w:shd w:val="clear" w:color="auto" w:fill="auto"/>
            <w:noWrap/>
            <w:vAlign w:val="center"/>
            <w:hideMark/>
          </w:tcPr>
          <w:p w14:paraId="1FAFB221" w14:textId="3124CF54" w:rsidR="00F76D23" w:rsidRPr="0015116B" w:rsidRDefault="00F76D23" w:rsidP="00DC05AB">
            <w:pPr>
              <w:spacing w:after="0"/>
              <w:jc w:val="center"/>
              <w:rPr>
                <w:rFonts w:eastAsia="Times New Roman" w:cs="Times New Roman"/>
              </w:rPr>
            </w:pPr>
            <w:r w:rsidRPr="0015116B">
              <w:t>1.14</w:t>
            </w:r>
          </w:p>
        </w:tc>
        <w:tc>
          <w:tcPr>
            <w:tcW w:w="940" w:type="dxa"/>
            <w:tcBorders>
              <w:top w:val="single" w:sz="4" w:space="0" w:color="FFFFFF"/>
              <w:left w:val="nil"/>
              <w:bottom w:val="single" w:sz="4" w:space="0" w:color="FFFFFF"/>
              <w:right w:val="single" w:sz="4" w:space="0" w:color="FFFFFF"/>
            </w:tcBorders>
            <w:shd w:val="clear" w:color="auto" w:fill="auto"/>
            <w:noWrap/>
            <w:vAlign w:val="center"/>
            <w:hideMark/>
          </w:tcPr>
          <w:p w14:paraId="32515084" w14:textId="6AC64D5A" w:rsidR="00F76D23" w:rsidRPr="0015116B" w:rsidRDefault="00F76D23" w:rsidP="00DC05AB">
            <w:pPr>
              <w:spacing w:after="0"/>
              <w:jc w:val="center"/>
              <w:rPr>
                <w:rFonts w:eastAsia="Times New Roman" w:cs="Times New Roman"/>
              </w:rPr>
            </w:pPr>
            <w:r w:rsidRPr="0015116B">
              <w:t>25.61</w:t>
            </w:r>
          </w:p>
        </w:tc>
        <w:tc>
          <w:tcPr>
            <w:tcW w:w="940" w:type="dxa"/>
            <w:tcBorders>
              <w:top w:val="single" w:sz="4" w:space="0" w:color="FFFFFF"/>
              <w:left w:val="nil"/>
              <w:bottom w:val="single" w:sz="4" w:space="0" w:color="FFFFFF"/>
              <w:right w:val="single" w:sz="4" w:space="0" w:color="FFFFFF"/>
            </w:tcBorders>
            <w:shd w:val="clear" w:color="auto" w:fill="auto"/>
            <w:noWrap/>
            <w:vAlign w:val="center"/>
            <w:hideMark/>
          </w:tcPr>
          <w:p w14:paraId="748A9817" w14:textId="114ECF7A" w:rsidR="00F76D23" w:rsidRPr="0015116B" w:rsidRDefault="00F76D23" w:rsidP="00DC05AB">
            <w:pPr>
              <w:spacing w:after="0"/>
              <w:jc w:val="center"/>
              <w:rPr>
                <w:rFonts w:eastAsia="Times New Roman" w:cs="Times New Roman"/>
              </w:rPr>
            </w:pPr>
            <w:r w:rsidRPr="0015116B">
              <w:t>20.49</w:t>
            </w:r>
          </w:p>
        </w:tc>
      </w:tr>
      <w:tr w:rsidR="00F76D23" w:rsidRPr="0015116B" w14:paraId="66BE4019" w14:textId="77777777" w:rsidTr="00DC05AB">
        <w:trPr>
          <w:trHeight w:val="300"/>
        </w:trPr>
        <w:tc>
          <w:tcPr>
            <w:tcW w:w="975" w:type="dxa"/>
            <w:tcBorders>
              <w:top w:val="nil"/>
              <w:left w:val="single" w:sz="12" w:space="0" w:color="FFFFFF"/>
              <w:bottom w:val="single" w:sz="4" w:space="0" w:color="FFFFFF"/>
              <w:right w:val="single" w:sz="4" w:space="0" w:color="FFFFFF"/>
            </w:tcBorders>
            <w:shd w:val="clear" w:color="auto" w:fill="auto"/>
            <w:noWrap/>
            <w:vAlign w:val="center"/>
            <w:hideMark/>
          </w:tcPr>
          <w:p w14:paraId="191A23D7" w14:textId="48111ADF" w:rsidR="00F76D23" w:rsidRPr="0015116B" w:rsidRDefault="00F76D23" w:rsidP="00DC05AB">
            <w:pPr>
              <w:spacing w:after="0"/>
              <w:jc w:val="center"/>
              <w:rPr>
                <w:rFonts w:eastAsia="Times New Roman" w:cs="Times New Roman"/>
              </w:rPr>
            </w:pPr>
            <w:r w:rsidRPr="0015116B">
              <w:t>2017/18</w:t>
            </w:r>
          </w:p>
        </w:tc>
        <w:tc>
          <w:tcPr>
            <w:tcW w:w="990" w:type="dxa"/>
            <w:tcBorders>
              <w:top w:val="nil"/>
              <w:left w:val="nil"/>
              <w:bottom w:val="single" w:sz="4" w:space="0" w:color="FFFFFF"/>
              <w:right w:val="single" w:sz="4" w:space="0" w:color="FFFFFF"/>
            </w:tcBorders>
            <w:shd w:val="clear" w:color="auto" w:fill="auto"/>
            <w:noWrap/>
            <w:vAlign w:val="center"/>
            <w:hideMark/>
          </w:tcPr>
          <w:p w14:paraId="1ADDB6E4" w14:textId="7682660B" w:rsidR="00F76D23" w:rsidRPr="0015116B" w:rsidRDefault="00F76D23" w:rsidP="00DC05AB">
            <w:pPr>
              <w:spacing w:after="0"/>
              <w:jc w:val="center"/>
              <w:rPr>
                <w:rFonts w:eastAsia="Times New Roman" w:cs="Times New Roman"/>
              </w:rPr>
            </w:pPr>
            <w:r w:rsidRPr="0015116B">
              <w:t>15.15</w:t>
            </w:r>
          </w:p>
        </w:tc>
        <w:tc>
          <w:tcPr>
            <w:tcW w:w="1240" w:type="dxa"/>
            <w:tcBorders>
              <w:top w:val="nil"/>
              <w:left w:val="nil"/>
              <w:bottom w:val="single" w:sz="4" w:space="0" w:color="FFFFFF"/>
              <w:right w:val="single" w:sz="4" w:space="0" w:color="FFFFFF"/>
            </w:tcBorders>
            <w:shd w:val="clear" w:color="auto" w:fill="auto"/>
            <w:noWrap/>
            <w:vAlign w:val="center"/>
            <w:hideMark/>
          </w:tcPr>
          <w:p w14:paraId="46BDFCC1" w14:textId="05F78EA8" w:rsidR="00F76D23" w:rsidRPr="0015116B" w:rsidRDefault="00F76D23" w:rsidP="00DC05AB">
            <w:pPr>
              <w:spacing w:after="0"/>
              <w:jc w:val="center"/>
              <w:rPr>
                <w:rFonts w:eastAsia="Times New Roman" w:cs="Times New Roman"/>
              </w:rPr>
            </w:pPr>
            <w:r w:rsidRPr="0015116B">
              <w:t>64.09</w:t>
            </w:r>
          </w:p>
        </w:tc>
        <w:tc>
          <w:tcPr>
            <w:tcW w:w="1520" w:type="dxa"/>
            <w:tcBorders>
              <w:top w:val="nil"/>
              <w:left w:val="nil"/>
              <w:bottom w:val="single" w:sz="4" w:space="0" w:color="FFFFFF"/>
              <w:right w:val="single" w:sz="4" w:space="0" w:color="FFFFFF"/>
            </w:tcBorders>
            <w:shd w:val="clear" w:color="auto" w:fill="auto"/>
            <w:noWrap/>
            <w:vAlign w:val="center"/>
            <w:hideMark/>
          </w:tcPr>
          <w:p w14:paraId="01964D3C" w14:textId="7D963C8A" w:rsidR="00F76D23" w:rsidRPr="0015116B" w:rsidRDefault="00F76D23" w:rsidP="00DC05AB">
            <w:pPr>
              <w:spacing w:after="0"/>
              <w:jc w:val="center"/>
              <w:rPr>
                <w:rFonts w:eastAsia="Times New Roman" w:cs="Times New Roman"/>
              </w:rPr>
            </w:pPr>
            <w:r w:rsidRPr="0015116B">
              <w:t>1.13</w:t>
            </w:r>
          </w:p>
        </w:tc>
        <w:tc>
          <w:tcPr>
            <w:tcW w:w="1300" w:type="dxa"/>
            <w:tcBorders>
              <w:top w:val="nil"/>
              <w:left w:val="nil"/>
              <w:bottom w:val="single" w:sz="4" w:space="0" w:color="FFFFFF"/>
              <w:right w:val="single" w:sz="4" w:space="0" w:color="FFFFFF"/>
            </w:tcBorders>
            <w:shd w:val="clear" w:color="auto" w:fill="auto"/>
            <w:noWrap/>
            <w:vAlign w:val="center"/>
            <w:hideMark/>
          </w:tcPr>
          <w:p w14:paraId="7E1DB775" w14:textId="3FC9E2A6" w:rsidR="00F76D23" w:rsidRPr="0015116B" w:rsidRDefault="00F76D23" w:rsidP="00DC05AB">
            <w:pPr>
              <w:spacing w:after="0"/>
              <w:jc w:val="center"/>
              <w:rPr>
                <w:rFonts w:eastAsia="Times New Roman" w:cs="Times New Roman"/>
              </w:rPr>
            </w:pPr>
            <w:r w:rsidRPr="0015116B">
              <w:t>1.13</w:t>
            </w:r>
          </w:p>
        </w:tc>
        <w:tc>
          <w:tcPr>
            <w:tcW w:w="1440" w:type="dxa"/>
            <w:tcBorders>
              <w:top w:val="nil"/>
              <w:left w:val="nil"/>
              <w:bottom w:val="single" w:sz="4" w:space="0" w:color="FFFFFF"/>
              <w:right w:val="single" w:sz="4" w:space="0" w:color="FFFFFF"/>
            </w:tcBorders>
            <w:shd w:val="clear" w:color="auto" w:fill="auto"/>
            <w:noWrap/>
            <w:vAlign w:val="center"/>
            <w:hideMark/>
          </w:tcPr>
          <w:p w14:paraId="5513FA57" w14:textId="4D8C25F8" w:rsidR="00F76D23" w:rsidRPr="0015116B" w:rsidRDefault="00F76D23" w:rsidP="00DC05AB">
            <w:pPr>
              <w:spacing w:after="0"/>
              <w:jc w:val="center"/>
              <w:rPr>
                <w:rFonts w:eastAsia="Times New Roman" w:cs="Times New Roman"/>
              </w:rPr>
            </w:pPr>
            <w:r w:rsidRPr="0015116B">
              <w:t>2.37</w:t>
            </w:r>
          </w:p>
        </w:tc>
        <w:tc>
          <w:tcPr>
            <w:tcW w:w="940" w:type="dxa"/>
            <w:tcBorders>
              <w:top w:val="nil"/>
              <w:left w:val="nil"/>
              <w:bottom w:val="single" w:sz="4" w:space="0" w:color="FFFFFF"/>
              <w:right w:val="single" w:sz="4" w:space="0" w:color="FFFFFF"/>
            </w:tcBorders>
            <w:shd w:val="clear" w:color="auto" w:fill="auto"/>
            <w:noWrap/>
            <w:vAlign w:val="center"/>
            <w:hideMark/>
          </w:tcPr>
          <w:p w14:paraId="7A77C421" w14:textId="619FFE88" w:rsidR="00F76D23" w:rsidRPr="0015116B" w:rsidRDefault="00F76D23" w:rsidP="00DC05AB">
            <w:pPr>
              <w:spacing w:after="0"/>
              <w:jc w:val="center"/>
              <w:rPr>
                <w:rFonts w:eastAsia="Times New Roman" w:cs="Times New Roman"/>
              </w:rPr>
            </w:pPr>
            <w:r w:rsidRPr="0015116B">
              <w:t>25.42</w:t>
            </w:r>
          </w:p>
        </w:tc>
        <w:tc>
          <w:tcPr>
            <w:tcW w:w="940" w:type="dxa"/>
            <w:tcBorders>
              <w:top w:val="nil"/>
              <w:left w:val="nil"/>
              <w:bottom w:val="single" w:sz="4" w:space="0" w:color="FFFFFF"/>
              <w:right w:val="single" w:sz="4" w:space="0" w:color="FFFFFF"/>
            </w:tcBorders>
            <w:shd w:val="clear" w:color="auto" w:fill="auto"/>
            <w:noWrap/>
            <w:vAlign w:val="center"/>
            <w:hideMark/>
          </w:tcPr>
          <w:p w14:paraId="5FAC0EBD" w14:textId="30A10AED" w:rsidR="00F76D23" w:rsidRPr="0015116B" w:rsidRDefault="00F76D23" w:rsidP="00DC05AB">
            <w:pPr>
              <w:spacing w:after="0"/>
              <w:jc w:val="center"/>
              <w:rPr>
                <w:rFonts w:eastAsia="Times New Roman" w:cs="Times New Roman"/>
              </w:rPr>
            </w:pPr>
            <w:r w:rsidRPr="0015116B">
              <w:t>20.33</w:t>
            </w:r>
          </w:p>
        </w:tc>
      </w:tr>
      <w:tr w:rsidR="00F76D23" w:rsidRPr="0015116B" w14:paraId="10873DF7" w14:textId="77777777" w:rsidTr="00DC05AB">
        <w:trPr>
          <w:trHeight w:val="300"/>
        </w:trPr>
        <w:tc>
          <w:tcPr>
            <w:tcW w:w="975" w:type="dxa"/>
            <w:tcBorders>
              <w:top w:val="nil"/>
              <w:left w:val="single" w:sz="12" w:space="0" w:color="FFFFFF"/>
              <w:bottom w:val="single" w:sz="4" w:space="0" w:color="FFFFFF"/>
              <w:right w:val="single" w:sz="4" w:space="0" w:color="FFFFFF"/>
            </w:tcBorders>
            <w:shd w:val="clear" w:color="auto" w:fill="auto"/>
            <w:noWrap/>
            <w:vAlign w:val="center"/>
            <w:hideMark/>
          </w:tcPr>
          <w:p w14:paraId="2BADFE50" w14:textId="2E2D7C5C" w:rsidR="00F76D23" w:rsidRPr="0015116B" w:rsidRDefault="00F76D23" w:rsidP="00DC05AB">
            <w:pPr>
              <w:spacing w:after="0"/>
              <w:jc w:val="center"/>
              <w:rPr>
                <w:rFonts w:eastAsia="Times New Roman" w:cs="Times New Roman"/>
              </w:rPr>
            </w:pPr>
            <w:r w:rsidRPr="0015116B">
              <w:t>2018/19</w:t>
            </w:r>
          </w:p>
        </w:tc>
        <w:tc>
          <w:tcPr>
            <w:tcW w:w="990" w:type="dxa"/>
            <w:tcBorders>
              <w:top w:val="nil"/>
              <w:left w:val="nil"/>
              <w:bottom w:val="single" w:sz="4" w:space="0" w:color="FFFFFF"/>
              <w:right w:val="single" w:sz="4" w:space="0" w:color="FFFFFF"/>
            </w:tcBorders>
            <w:shd w:val="clear" w:color="auto" w:fill="auto"/>
            <w:noWrap/>
            <w:vAlign w:val="center"/>
            <w:hideMark/>
          </w:tcPr>
          <w:p w14:paraId="4D0206DF" w14:textId="3E083F40" w:rsidR="00F76D23" w:rsidRPr="0015116B" w:rsidRDefault="00F76D23" w:rsidP="00DC05AB">
            <w:pPr>
              <w:spacing w:after="0"/>
              <w:jc w:val="center"/>
              <w:rPr>
                <w:rFonts w:eastAsia="Times New Roman" w:cs="Times New Roman"/>
              </w:rPr>
            </w:pPr>
            <w:r w:rsidRPr="0015116B">
              <w:rPr>
                <w:color w:val="000000"/>
              </w:rPr>
              <w:t>20.54</w:t>
            </w:r>
          </w:p>
        </w:tc>
        <w:tc>
          <w:tcPr>
            <w:tcW w:w="1240" w:type="dxa"/>
            <w:tcBorders>
              <w:top w:val="nil"/>
              <w:left w:val="nil"/>
              <w:bottom w:val="single" w:sz="4" w:space="0" w:color="FFFFFF"/>
              <w:right w:val="single" w:sz="4" w:space="0" w:color="FFFFFF"/>
            </w:tcBorders>
            <w:shd w:val="clear" w:color="auto" w:fill="auto"/>
            <w:noWrap/>
            <w:vAlign w:val="center"/>
            <w:hideMark/>
          </w:tcPr>
          <w:p w14:paraId="61CE819C" w14:textId="134D2448" w:rsidR="00F76D23" w:rsidRPr="0015116B" w:rsidRDefault="00F76D23" w:rsidP="00DC05AB">
            <w:pPr>
              <w:spacing w:after="0"/>
              <w:jc w:val="center"/>
              <w:rPr>
                <w:rFonts w:eastAsia="Times New Roman" w:cs="Times New Roman"/>
              </w:rPr>
            </w:pPr>
            <w:r w:rsidRPr="0015116B">
              <w:rPr>
                <w:color w:val="000000"/>
              </w:rPr>
              <w:t>82.61</w:t>
            </w:r>
          </w:p>
        </w:tc>
        <w:tc>
          <w:tcPr>
            <w:tcW w:w="1520" w:type="dxa"/>
            <w:tcBorders>
              <w:top w:val="nil"/>
              <w:left w:val="nil"/>
              <w:bottom w:val="single" w:sz="4" w:space="0" w:color="FFFFFF"/>
              <w:right w:val="single" w:sz="4" w:space="0" w:color="FFFFFF"/>
            </w:tcBorders>
            <w:shd w:val="clear" w:color="auto" w:fill="auto"/>
            <w:noWrap/>
            <w:vAlign w:val="center"/>
            <w:hideMark/>
          </w:tcPr>
          <w:p w14:paraId="4A4F2D64" w14:textId="65A5EDED" w:rsidR="00F76D23" w:rsidRPr="0015116B" w:rsidRDefault="00F76D23" w:rsidP="00DC05AB">
            <w:pPr>
              <w:spacing w:after="0"/>
              <w:jc w:val="center"/>
              <w:rPr>
                <w:rFonts w:eastAsia="Times New Roman" w:cs="Times New Roman"/>
              </w:rPr>
            </w:pPr>
            <w:r w:rsidRPr="0015116B">
              <w:rPr>
                <w:rFonts w:cs="Times New Roman"/>
                <w:color w:val="000000"/>
              </w:rPr>
              <w:t>1.11</w:t>
            </w:r>
          </w:p>
        </w:tc>
        <w:tc>
          <w:tcPr>
            <w:tcW w:w="1300" w:type="dxa"/>
            <w:tcBorders>
              <w:top w:val="nil"/>
              <w:left w:val="nil"/>
              <w:bottom w:val="single" w:sz="4" w:space="0" w:color="FFFFFF"/>
              <w:right w:val="single" w:sz="4" w:space="0" w:color="FFFFFF"/>
            </w:tcBorders>
            <w:shd w:val="clear" w:color="auto" w:fill="auto"/>
            <w:noWrap/>
            <w:vAlign w:val="center"/>
            <w:hideMark/>
          </w:tcPr>
          <w:p w14:paraId="5A8D287F" w14:textId="51654695" w:rsidR="00F76D23" w:rsidRPr="0015116B" w:rsidRDefault="00F76D23" w:rsidP="00DC05AB">
            <w:pPr>
              <w:spacing w:after="0"/>
              <w:jc w:val="center"/>
              <w:rPr>
                <w:rFonts w:eastAsia="Times New Roman" w:cs="Times New Roman"/>
              </w:rPr>
            </w:pPr>
            <w:r w:rsidRPr="0015116B">
              <w:rPr>
                <w:rFonts w:cs="Times New Roman"/>
                <w:color w:val="000000"/>
              </w:rPr>
              <w:t>1.11</w:t>
            </w:r>
          </w:p>
        </w:tc>
        <w:tc>
          <w:tcPr>
            <w:tcW w:w="1440" w:type="dxa"/>
            <w:tcBorders>
              <w:top w:val="nil"/>
              <w:left w:val="nil"/>
              <w:bottom w:val="single" w:sz="4" w:space="0" w:color="FFFFFF"/>
              <w:right w:val="single" w:sz="4" w:space="0" w:color="FFFFFF"/>
            </w:tcBorders>
            <w:shd w:val="clear" w:color="auto" w:fill="auto"/>
            <w:noWrap/>
            <w:vAlign w:val="center"/>
            <w:hideMark/>
          </w:tcPr>
          <w:p w14:paraId="745781CD" w14:textId="1A4BC311" w:rsidR="00F76D23" w:rsidRPr="0015116B" w:rsidRDefault="00F76D23" w:rsidP="00DC05AB">
            <w:pPr>
              <w:spacing w:after="0"/>
              <w:jc w:val="center"/>
              <w:rPr>
                <w:rFonts w:eastAsia="Times New Roman" w:cs="Times New Roman"/>
              </w:rPr>
            </w:pPr>
            <w:r w:rsidRPr="0015116B">
              <w:rPr>
                <w:rFonts w:cs="Times New Roman"/>
                <w:color w:val="000000"/>
              </w:rPr>
              <w:t>1.90</w:t>
            </w:r>
          </w:p>
        </w:tc>
        <w:tc>
          <w:tcPr>
            <w:tcW w:w="940" w:type="dxa"/>
            <w:tcBorders>
              <w:top w:val="nil"/>
              <w:left w:val="nil"/>
              <w:bottom w:val="single" w:sz="4" w:space="0" w:color="FFFFFF"/>
              <w:right w:val="single" w:sz="4" w:space="0" w:color="FFFFFF"/>
            </w:tcBorders>
            <w:shd w:val="clear" w:color="auto" w:fill="auto"/>
            <w:noWrap/>
            <w:vAlign w:val="center"/>
            <w:hideMark/>
          </w:tcPr>
          <w:p w14:paraId="5C1B845D" w14:textId="448B35B1" w:rsidR="00F76D23" w:rsidRPr="0015116B" w:rsidRDefault="00F76D23" w:rsidP="00DC05AB">
            <w:pPr>
              <w:spacing w:after="0"/>
              <w:jc w:val="center"/>
              <w:rPr>
                <w:rFonts w:eastAsia="Times New Roman" w:cs="Times New Roman"/>
              </w:rPr>
            </w:pPr>
            <w:r w:rsidRPr="0015116B">
              <w:rPr>
                <w:rFonts w:cs="Times New Roman"/>
                <w:color w:val="000000"/>
              </w:rPr>
              <w:t>20.87</w:t>
            </w:r>
          </w:p>
        </w:tc>
        <w:tc>
          <w:tcPr>
            <w:tcW w:w="940" w:type="dxa"/>
            <w:tcBorders>
              <w:top w:val="nil"/>
              <w:left w:val="nil"/>
              <w:bottom w:val="single" w:sz="4" w:space="0" w:color="FFFFFF"/>
              <w:right w:val="single" w:sz="4" w:space="0" w:color="FFFFFF"/>
            </w:tcBorders>
            <w:shd w:val="clear" w:color="auto" w:fill="auto"/>
            <w:noWrap/>
            <w:vAlign w:val="center"/>
            <w:hideMark/>
          </w:tcPr>
          <w:p w14:paraId="26B1DD65" w14:textId="75A5B5DF" w:rsidR="00F76D23" w:rsidRPr="0015116B" w:rsidRDefault="00F76D23" w:rsidP="00DC05AB">
            <w:pPr>
              <w:spacing w:after="0"/>
              <w:jc w:val="center"/>
              <w:rPr>
                <w:rFonts w:eastAsia="Times New Roman" w:cs="Times New Roman"/>
              </w:rPr>
            </w:pPr>
            <w:r w:rsidRPr="0015116B">
              <w:rPr>
                <w:rFonts w:cs="Times New Roman"/>
                <w:color w:val="000000"/>
              </w:rPr>
              <w:t>16.70</w:t>
            </w:r>
          </w:p>
        </w:tc>
      </w:tr>
      <w:tr w:rsidR="00DC05AB" w:rsidRPr="0015116B" w14:paraId="56945C11" w14:textId="77777777" w:rsidTr="00DC05AB">
        <w:trPr>
          <w:trHeight w:val="300"/>
        </w:trPr>
        <w:tc>
          <w:tcPr>
            <w:tcW w:w="975" w:type="dxa"/>
            <w:tcBorders>
              <w:top w:val="nil"/>
              <w:left w:val="single" w:sz="12" w:space="0" w:color="FFFFFF"/>
              <w:bottom w:val="nil"/>
              <w:right w:val="single" w:sz="4" w:space="0" w:color="FFFFFF"/>
            </w:tcBorders>
            <w:shd w:val="clear" w:color="auto" w:fill="auto"/>
            <w:noWrap/>
            <w:vAlign w:val="center"/>
            <w:hideMark/>
          </w:tcPr>
          <w:p w14:paraId="2F60F124" w14:textId="4A96AF67" w:rsidR="00DC05AB" w:rsidRPr="0015116B" w:rsidRDefault="00DC05AB" w:rsidP="00DC05AB">
            <w:pPr>
              <w:spacing w:after="0"/>
              <w:jc w:val="center"/>
              <w:rPr>
                <w:rFonts w:eastAsia="Times New Roman" w:cs="Times New Roman"/>
              </w:rPr>
            </w:pPr>
            <w:r w:rsidRPr="0015116B">
              <w:t>2019/20</w:t>
            </w:r>
          </w:p>
        </w:tc>
        <w:tc>
          <w:tcPr>
            <w:tcW w:w="990" w:type="dxa"/>
            <w:tcBorders>
              <w:top w:val="nil"/>
              <w:left w:val="nil"/>
              <w:bottom w:val="nil"/>
              <w:right w:val="single" w:sz="4" w:space="0" w:color="FFFFFF"/>
            </w:tcBorders>
            <w:shd w:val="clear" w:color="auto" w:fill="auto"/>
            <w:noWrap/>
            <w:vAlign w:val="center"/>
            <w:hideMark/>
          </w:tcPr>
          <w:p w14:paraId="350FC5B3" w14:textId="02A32C8A" w:rsidR="00DC05AB" w:rsidRPr="0015116B" w:rsidRDefault="00DC05AB" w:rsidP="00DC05AB">
            <w:pPr>
              <w:spacing w:after="0"/>
              <w:jc w:val="center"/>
              <w:rPr>
                <w:rFonts w:eastAsia="Times New Roman" w:cs="Times New Roman"/>
              </w:rPr>
            </w:pPr>
            <w:r w:rsidRPr="0015116B">
              <w:rPr>
                <w:color w:val="000000"/>
              </w:rPr>
              <w:t>18.31</w:t>
            </w:r>
          </w:p>
        </w:tc>
        <w:tc>
          <w:tcPr>
            <w:tcW w:w="1240" w:type="dxa"/>
            <w:tcBorders>
              <w:top w:val="nil"/>
              <w:left w:val="nil"/>
              <w:bottom w:val="nil"/>
              <w:right w:val="single" w:sz="4" w:space="0" w:color="FFFFFF"/>
            </w:tcBorders>
            <w:shd w:val="clear" w:color="auto" w:fill="auto"/>
            <w:noWrap/>
            <w:vAlign w:val="center"/>
            <w:hideMark/>
          </w:tcPr>
          <w:p w14:paraId="392032C7" w14:textId="48CB1544" w:rsidR="00DC05AB" w:rsidRPr="0015116B" w:rsidRDefault="00DC05AB" w:rsidP="00DC05AB">
            <w:pPr>
              <w:spacing w:after="0"/>
              <w:jc w:val="center"/>
              <w:rPr>
                <w:rFonts w:eastAsia="Times New Roman" w:cs="Times New Roman"/>
              </w:rPr>
            </w:pPr>
            <w:r w:rsidRPr="0015116B">
              <w:rPr>
                <w:color w:val="000000"/>
              </w:rPr>
              <w:t>56.15</w:t>
            </w:r>
          </w:p>
        </w:tc>
        <w:tc>
          <w:tcPr>
            <w:tcW w:w="1520" w:type="dxa"/>
            <w:tcBorders>
              <w:top w:val="nil"/>
              <w:left w:val="nil"/>
              <w:bottom w:val="nil"/>
              <w:right w:val="single" w:sz="4" w:space="0" w:color="FFFFFF"/>
            </w:tcBorders>
            <w:shd w:val="clear" w:color="auto" w:fill="auto"/>
            <w:noWrap/>
            <w:vAlign w:val="center"/>
            <w:hideMark/>
          </w:tcPr>
          <w:p w14:paraId="2348D276" w14:textId="61090AF5" w:rsidR="00DC05AB" w:rsidRPr="0015116B" w:rsidRDefault="00DC05AB" w:rsidP="00DC05AB">
            <w:pPr>
              <w:spacing w:after="0"/>
              <w:jc w:val="center"/>
              <w:rPr>
                <w:rFonts w:eastAsia="Times New Roman" w:cs="Times New Roman"/>
              </w:rPr>
            </w:pPr>
            <w:r w:rsidRPr="0015116B">
              <w:rPr>
                <w:rFonts w:cs="Times New Roman"/>
                <w:color w:val="000000"/>
              </w:rPr>
              <w:t>0.00</w:t>
            </w:r>
          </w:p>
        </w:tc>
        <w:tc>
          <w:tcPr>
            <w:tcW w:w="1300" w:type="dxa"/>
            <w:tcBorders>
              <w:top w:val="nil"/>
              <w:left w:val="nil"/>
              <w:bottom w:val="nil"/>
              <w:right w:val="single" w:sz="4" w:space="0" w:color="FFFFFF"/>
            </w:tcBorders>
            <w:shd w:val="clear" w:color="auto" w:fill="auto"/>
            <w:noWrap/>
            <w:vAlign w:val="center"/>
            <w:hideMark/>
          </w:tcPr>
          <w:p w14:paraId="3BBECE5C" w14:textId="60FC0292" w:rsidR="00DC05AB" w:rsidRPr="0015116B" w:rsidRDefault="00DC05AB" w:rsidP="00DC05AB">
            <w:pPr>
              <w:spacing w:after="0"/>
              <w:jc w:val="center"/>
              <w:rPr>
                <w:rFonts w:eastAsia="Times New Roman" w:cs="Times New Roman"/>
              </w:rPr>
            </w:pPr>
            <w:r w:rsidRPr="0015116B">
              <w:rPr>
                <w:rFonts w:cs="Times New Roman"/>
                <w:color w:val="000000"/>
              </w:rPr>
              <w:t>0.00</w:t>
            </w:r>
          </w:p>
        </w:tc>
        <w:tc>
          <w:tcPr>
            <w:tcW w:w="1440" w:type="dxa"/>
            <w:tcBorders>
              <w:top w:val="nil"/>
              <w:left w:val="nil"/>
              <w:bottom w:val="nil"/>
              <w:right w:val="single" w:sz="4" w:space="0" w:color="FFFFFF"/>
            </w:tcBorders>
            <w:shd w:val="clear" w:color="auto" w:fill="auto"/>
            <w:noWrap/>
            <w:vAlign w:val="center"/>
            <w:hideMark/>
          </w:tcPr>
          <w:p w14:paraId="21FF82EE" w14:textId="59DB1D32" w:rsidR="00DC05AB" w:rsidRPr="0015116B" w:rsidRDefault="00DC05AB" w:rsidP="00DC05AB">
            <w:pPr>
              <w:spacing w:after="0"/>
              <w:jc w:val="center"/>
              <w:rPr>
                <w:color w:val="000000"/>
              </w:rPr>
            </w:pPr>
            <w:r w:rsidRPr="0015116B">
              <w:rPr>
                <w:color w:val="000000"/>
              </w:rPr>
              <w:t>0.54</w:t>
            </w:r>
          </w:p>
        </w:tc>
        <w:tc>
          <w:tcPr>
            <w:tcW w:w="940" w:type="dxa"/>
            <w:tcBorders>
              <w:top w:val="nil"/>
              <w:left w:val="nil"/>
              <w:bottom w:val="nil"/>
              <w:right w:val="single" w:sz="4" w:space="0" w:color="FFFFFF"/>
            </w:tcBorders>
            <w:shd w:val="clear" w:color="auto" w:fill="auto"/>
            <w:noWrap/>
            <w:vAlign w:val="center"/>
            <w:hideMark/>
          </w:tcPr>
          <w:p w14:paraId="624EA054" w14:textId="4D9F2BFD" w:rsidR="00DC05AB" w:rsidRPr="0015116B" w:rsidRDefault="00DC05AB" w:rsidP="00DC05AB">
            <w:pPr>
              <w:spacing w:after="0"/>
              <w:jc w:val="center"/>
              <w:rPr>
                <w:rFonts w:eastAsia="Times New Roman" w:cs="Times New Roman"/>
              </w:rPr>
            </w:pPr>
            <w:r w:rsidRPr="0015116B">
              <w:rPr>
                <w:rFonts w:cs="Times New Roman"/>
                <w:color w:val="000000"/>
              </w:rPr>
              <w:t>28.86</w:t>
            </w:r>
          </w:p>
        </w:tc>
        <w:tc>
          <w:tcPr>
            <w:tcW w:w="940" w:type="dxa"/>
            <w:tcBorders>
              <w:top w:val="nil"/>
              <w:left w:val="nil"/>
              <w:bottom w:val="nil"/>
              <w:right w:val="single" w:sz="4" w:space="0" w:color="FFFFFF"/>
            </w:tcBorders>
            <w:shd w:val="clear" w:color="auto" w:fill="auto"/>
            <w:noWrap/>
            <w:vAlign w:val="center"/>
            <w:hideMark/>
          </w:tcPr>
          <w:p w14:paraId="7D69955F" w14:textId="12D3686E" w:rsidR="00DC05AB" w:rsidRPr="0015116B" w:rsidRDefault="00DC05AB" w:rsidP="00DC05AB">
            <w:pPr>
              <w:spacing w:after="0"/>
              <w:jc w:val="center"/>
              <w:rPr>
                <w:rFonts w:eastAsia="Times New Roman" w:cs="Times New Roman"/>
              </w:rPr>
            </w:pPr>
            <w:r w:rsidRPr="0015116B">
              <w:rPr>
                <w:rFonts w:cs="Times New Roman"/>
                <w:color w:val="000000"/>
              </w:rPr>
              <w:t>23.09</w:t>
            </w:r>
          </w:p>
        </w:tc>
      </w:tr>
      <w:tr w:rsidR="00DC05AB" w:rsidRPr="0015116B" w14:paraId="1ECB1286" w14:textId="77777777" w:rsidTr="00DC05AB">
        <w:trPr>
          <w:trHeight w:val="315"/>
        </w:trPr>
        <w:tc>
          <w:tcPr>
            <w:tcW w:w="975" w:type="dxa"/>
            <w:tcBorders>
              <w:top w:val="single" w:sz="4" w:space="0" w:color="FFFFFF"/>
              <w:left w:val="single" w:sz="12" w:space="0" w:color="FFFFFF"/>
              <w:bottom w:val="single" w:sz="12" w:space="0" w:color="auto"/>
              <w:right w:val="single" w:sz="4" w:space="0" w:color="FFFFFF"/>
            </w:tcBorders>
            <w:shd w:val="clear" w:color="auto" w:fill="auto"/>
            <w:noWrap/>
            <w:vAlign w:val="center"/>
            <w:hideMark/>
          </w:tcPr>
          <w:p w14:paraId="149CCA13" w14:textId="298FBC76" w:rsidR="00DC05AB" w:rsidRPr="0015116B" w:rsidRDefault="00DC05AB" w:rsidP="00DC05AB">
            <w:pPr>
              <w:spacing w:after="0"/>
              <w:jc w:val="center"/>
              <w:rPr>
                <w:rFonts w:eastAsia="Times New Roman" w:cs="Times New Roman"/>
              </w:rPr>
            </w:pPr>
            <w:r w:rsidRPr="0015116B">
              <w:t>2020/21</w:t>
            </w:r>
          </w:p>
        </w:tc>
        <w:tc>
          <w:tcPr>
            <w:tcW w:w="990" w:type="dxa"/>
            <w:tcBorders>
              <w:top w:val="single" w:sz="4" w:space="0" w:color="FFFFFF"/>
              <w:left w:val="nil"/>
              <w:bottom w:val="single" w:sz="12" w:space="0" w:color="auto"/>
              <w:right w:val="single" w:sz="4" w:space="0" w:color="FFFFFF"/>
            </w:tcBorders>
            <w:shd w:val="clear" w:color="auto" w:fill="auto"/>
            <w:noWrap/>
            <w:vAlign w:val="center"/>
            <w:hideMark/>
          </w:tcPr>
          <w:p w14:paraId="5E0102D5" w14:textId="28B6995B" w:rsidR="00DC05AB" w:rsidRPr="0015116B" w:rsidRDefault="00DC05AB" w:rsidP="00DC05AB">
            <w:pPr>
              <w:spacing w:after="0"/>
              <w:jc w:val="center"/>
              <w:rPr>
                <w:rFonts w:eastAsia="Times New Roman" w:cs="Times New Roman"/>
              </w:rPr>
            </w:pPr>
          </w:p>
        </w:tc>
        <w:tc>
          <w:tcPr>
            <w:tcW w:w="1240" w:type="dxa"/>
            <w:tcBorders>
              <w:top w:val="single" w:sz="4" w:space="0" w:color="FFFFFF"/>
              <w:left w:val="nil"/>
              <w:bottom w:val="single" w:sz="12" w:space="0" w:color="auto"/>
              <w:right w:val="single" w:sz="4" w:space="0" w:color="FFFFFF"/>
            </w:tcBorders>
            <w:shd w:val="clear" w:color="auto" w:fill="auto"/>
            <w:noWrap/>
            <w:vAlign w:val="center"/>
            <w:hideMark/>
          </w:tcPr>
          <w:p w14:paraId="67D68D9A" w14:textId="5A239A89" w:rsidR="00DC05AB" w:rsidRPr="0015116B" w:rsidRDefault="00DC05AB" w:rsidP="00DC05AB">
            <w:pPr>
              <w:spacing w:after="0"/>
              <w:jc w:val="center"/>
              <w:rPr>
                <w:color w:val="000000"/>
              </w:rPr>
            </w:pPr>
            <w:r w:rsidRPr="0015116B">
              <w:rPr>
                <w:color w:val="000000"/>
              </w:rPr>
              <w:t>35.31</w:t>
            </w:r>
          </w:p>
        </w:tc>
        <w:tc>
          <w:tcPr>
            <w:tcW w:w="1520" w:type="dxa"/>
            <w:tcBorders>
              <w:top w:val="single" w:sz="4" w:space="0" w:color="FFFFFF"/>
              <w:left w:val="nil"/>
              <w:bottom w:val="single" w:sz="12" w:space="0" w:color="auto"/>
              <w:right w:val="single" w:sz="4" w:space="0" w:color="FFFFFF"/>
            </w:tcBorders>
            <w:shd w:val="clear" w:color="auto" w:fill="auto"/>
            <w:noWrap/>
            <w:vAlign w:val="center"/>
            <w:hideMark/>
          </w:tcPr>
          <w:p w14:paraId="2D034030" w14:textId="0026126D" w:rsidR="00DC05AB" w:rsidRPr="0015116B" w:rsidRDefault="00DC05AB" w:rsidP="00DC05AB">
            <w:pPr>
              <w:spacing w:after="0"/>
              <w:jc w:val="center"/>
              <w:rPr>
                <w:rFonts w:eastAsia="Times New Roman" w:cs="Times New Roman"/>
              </w:rPr>
            </w:pPr>
          </w:p>
        </w:tc>
        <w:tc>
          <w:tcPr>
            <w:tcW w:w="1300" w:type="dxa"/>
            <w:tcBorders>
              <w:top w:val="single" w:sz="4" w:space="0" w:color="FFFFFF"/>
              <w:left w:val="nil"/>
              <w:bottom w:val="single" w:sz="12" w:space="0" w:color="auto"/>
              <w:right w:val="single" w:sz="4" w:space="0" w:color="FFFFFF"/>
            </w:tcBorders>
            <w:shd w:val="clear" w:color="auto" w:fill="auto"/>
            <w:noWrap/>
            <w:vAlign w:val="center"/>
            <w:hideMark/>
          </w:tcPr>
          <w:p w14:paraId="70C232D9" w14:textId="4F9D9552" w:rsidR="00DC05AB" w:rsidRPr="0015116B" w:rsidRDefault="00DC05AB" w:rsidP="00DC05AB">
            <w:pPr>
              <w:spacing w:after="0"/>
              <w:jc w:val="center"/>
              <w:rPr>
                <w:rFonts w:eastAsia="Times New Roman" w:cs="Times New Roman"/>
              </w:rPr>
            </w:pPr>
          </w:p>
        </w:tc>
        <w:tc>
          <w:tcPr>
            <w:tcW w:w="1440" w:type="dxa"/>
            <w:tcBorders>
              <w:top w:val="single" w:sz="4" w:space="0" w:color="FFFFFF"/>
              <w:left w:val="nil"/>
              <w:bottom w:val="single" w:sz="12" w:space="0" w:color="auto"/>
              <w:right w:val="single" w:sz="4" w:space="0" w:color="FFFFFF"/>
            </w:tcBorders>
            <w:shd w:val="clear" w:color="auto" w:fill="auto"/>
            <w:noWrap/>
            <w:vAlign w:val="center"/>
            <w:hideMark/>
          </w:tcPr>
          <w:p w14:paraId="65259EA0" w14:textId="6B764DB2" w:rsidR="00DC05AB" w:rsidRPr="0015116B" w:rsidRDefault="00DC05AB" w:rsidP="00DC05AB">
            <w:pPr>
              <w:spacing w:after="0"/>
              <w:jc w:val="center"/>
              <w:rPr>
                <w:rFonts w:eastAsia="Times New Roman" w:cs="Times New Roman"/>
              </w:rPr>
            </w:pPr>
          </w:p>
        </w:tc>
        <w:tc>
          <w:tcPr>
            <w:tcW w:w="940" w:type="dxa"/>
            <w:tcBorders>
              <w:top w:val="single" w:sz="4" w:space="0" w:color="FFFFFF"/>
              <w:left w:val="nil"/>
              <w:bottom w:val="single" w:sz="12" w:space="0" w:color="auto"/>
              <w:right w:val="single" w:sz="4" w:space="0" w:color="FFFFFF"/>
            </w:tcBorders>
            <w:shd w:val="clear" w:color="auto" w:fill="auto"/>
            <w:noWrap/>
            <w:vAlign w:val="center"/>
            <w:hideMark/>
          </w:tcPr>
          <w:p w14:paraId="6F433A43" w14:textId="5758A64A" w:rsidR="00DC05AB" w:rsidRPr="0015116B" w:rsidRDefault="00DC05AB" w:rsidP="00DC05AB">
            <w:pPr>
              <w:spacing w:after="0"/>
              <w:jc w:val="center"/>
              <w:rPr>
                <w:rFonts w:eastAsia="Times New Roman" w:cs="Times New Roman"/>
              </w:rPr>
            </w:pPr>
            <w:r w:rsidRPr="0015116B">
              <w:rPr>
                <w:color w:val="000000"/>
              </w:rPr>
              <w:t>20.88</w:t>
            </w:r>
          </w:p>
        </w:tc>
        <w:tc>
          <w:tcPr>
            <w:tcW w:w="940" w:type="dxa"/>
            <w:tcBorders>
              <w:top w:val="single" w:sz="4" w:space="0" w:color="FFFFFF"/>
              <w:left w:val="nil"/>
              <w:bottom w:val="single" w:sz="12" w:space="0" w:color="auto"/>
              <w:right w:val="single" w:sz="4" w:space="0" w:color="FFFFFF"/>
            </w:tcBorders>
            <w:shd w:val="clear" w:color="auto" w:fill="auto"/>
            <w:noWrap/>
            <w:vAlign w:val="center"/>
            <w:hideMark/>
          </w:tcPr>
          <w:p w14:paraId="011F09E4" w14:textId="6512A94E" w:rsidR="00DC05AB" w:rsidRPr="0015116B" w:rsidRDefault="00DC05AB" w:rsidP="00DC05AB">
            <w:pPr>
              <w:spacing w:after="0"/>
              <w:jc w:val="center"/>
              <w:rPr>
                <w:rFonts w:eastAsia="Times New Roman" w:cs="Times New Roman"/>
              </w:rPr>
            </w:pPr>
            <w:r w:rsidRPr="0015116B">
              <w:rPr>
                <w:color w:val="000000"/>
              </w:rPr>
              <w:t>16.70</w:t>
            </w:r>
          </w:p>
        </w:tc>
      </w:tr>
    </w:tbl>
    <w:p w14:paraId="6C628CA4" w14:textId="77777777" w:rsidR="000D1346" w:rsidRPr="0015116B" w:rsidRDefault="000D1346">
      <w:pPr>
        <w:spacing w:after="200" w:line="276" w:lineRule="auto"/>
      </w:pPr>
      <w:r w:rsidRPr="0015116B">
        <w:br w:type="page"/>
      </w:r>
    </w:p>
    <w:p w14:paraId="74628A41" w14:textId="2FD07D45" w:rsidR="002B491B" w:rsidRPr="0015116B" w:rsidRDefault="00C66370" w:rsidP="00DA2BBA">
      <w:pPr>
        <w:pStyle w:val="SummaryTableCaption"/>
      </w:pPr>
      <w:r w:rsidRPr="0015116B">
        <w:lastRenderedPageBreak/>
        <w:t xml:space="preserve">(b) </w:t>
      </w:r>
      <w:r w:rsidR="006F7BDE" w:rsidRPr="0015116B">
        <w:t>in millions lbs.</w:t>
      </w:r>
    </w:p>
    <w:tbl>
      <w:tblPr>
        <w:tblW w:w="9345" w:type="dxa"/>
        <w:tblInd w:w="123" w:type="dxa"/>
        <w:tblLook w:val="04A0" w:firstRow="1" w:lastRow="0" w:firstColumn="1" w:lastColumn="0" w:noHBand="0" w:noVBand="1"/>
      </w:tblPr>
      <w:tblGrid>
        <w:gridCol w:w="975"/>
        <w:gridCol w:w="990"/>
        <w:gridCol w:w="1240"/>
        <w:gridCol w:w="1520"/>
        <w:gridCol w:w="1300"/>
        <w:gridCol w:w="1440"/>
        <w:gridCol w:w="940"/>
        <w:gridCol w:w="940"/>
      </w:tblGrid>
      <w:tr w:rsidR="006F7BDE" w:rsidRPr="0015116B" w14:paraId="3006DB41" w14:textId="77777777" w:rsidTr="006F7BDE">
        <w:trPr>
          <w:trHeight w:val="690"/>
        </w:trPr>
        <w:tc>
          <w:tcPr>
            <w:tcW w:w="975" w:type="dxa"/>
            <w:tcBorders>
              <w:top w:val="single" w:sz="12" w:space="0" w:color="auto"/>
              <w:left w:val="single" w:sz="12" w:space="0" w:color="FFFFFF"/>
              <w:bottom w:val="single" w:sz="12" w:space="0" w:color="auto"/>
              <w:right w:val="single" w:sz="12" w:space="0" w:color="FFFFFF"/>
            </w:tcBorders>
            <w:shd w:val="clear" w:color="auto" w:fill="auto"/>
            <w:vAlign w:val="bottom"/>
            <w:hideMark/>
          </w:tcPr>
          <w:p w14:paraId="1260CCFF"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Year</w:t>
            </w:r>
          </w:p>
        </w:tc>
        <w:tc>
          <w:tcPr>
            <w:tcW w:w="990" w:type="dxa"/>
            <w:tcBorders>
              <w:top w:val="single" w:sz="12" w:space="0" w:color="auto"/>
              <w:left w:val="nil"/>
              <w:bottom w:val="single" w:sz="12" w:space="0" w:color="auto"/>
              <w:right w:val="single" w:sz="12" w:space="0" w:color="FFFFFF"/>
            </w:tcBorders>
            <w:shd w:val="clear" w:color="auto" w:fill="auto"/>
            <w:vAlign w:val="bottom"/>
            <w:hideMark/>
          </w:tcPr>
          <w:p w14:paraId="26A51639"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MSST</w:t>
            </w:r>
          </w:p>
        </w:tc>
        <w:tc>
          <w:tcPr>
            <w:tcW w:w="1240" w:type="dxa"/>
            <w:tcBorders>
              <w:top w:val="single" w:sz="12" w:space="0" w:color="auto"/>
              <w:left w:val="nil"/>
              <w:bottom w:val="single" w:sz="12" w:space="0" w:color="auto"/>
              <w:right w:val="single" w:sz="12" w:space="0" w:color="FFFFFF"/>
            </w:tcBorders>
            <w:shd w:val="clear" w:color="auto" w:fill="auto"/>
            <w:vAlign w:val="bottom"/>
            <w:hideMark/>
          </w:tcPr>
          <w:p w14:paraId="26525C67"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Biomass (MMB)</w:t>
            </w:r>
          </w:p>
        </w:tc>
        <w:tc>
          <w:tcPr>
            <w:tcW w:w="1520" w:type="dxa"/>
            <w:tcBorders>
              <w:top w:val="single" w:sz="12" w:space="0" w:color="auto"/>
              <w:left w:val="nil"/>
              <w:bottom w:val="single" w:sz="12" w:space="0" w:color="auto"/>
              <w:right w:val="single" w:sz="12" w:space="0" w:color="FFFFFF"/>
            </w:tcBorders>
            <w:shd w:val="clear" w:color="auto" w:fill="auto"/>
            <w:vAlign w:val="bottom"/>
            <w:hideMark/>
          </w:tcPr>
          <w:p w14:paraId="40AFB123"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TAC               (East + West)</w:t>
            </w:r>
          </w:p>
        </w:tc>
        <w:tc>
          <w:tcPr>
            <w:tcW w:w="1300" w:type="dxa"/>
            <w:tcBorders>
              <w:top w:val="single" w:sz="12" w:space="0" w:color="auto"/>
              <w:left w:val="nil"/>
              <w:bottom w:val="single" w:sz="12" w:space="0" w:color="auto"/>
              <w:right w:val="single" w:sz="12" w:space="0" w:color="FFFFFF"/>
            </w:tcBorders>
            <w:shd w:val="clear" w:color="auto" w:fill="auto"/>
            <w:vAlign w:val="bottom"/>
            <w:hideMark/>
          </w:tcPr>
          <w:p w14:paraId="2F2B5DC3"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Retained Catch</w:t>
            </w:r>
          </w:p>
        </w:tc>
        <w:tc>
          <w:tcPr>
            <w:tcW w:w="1440" w:type="dxa"/>
            <w:tcBorders>
              <w:top w:val="single" w:sz="12" w:space="0" w:color="auto"/>
              <w:left w:val="nil"/>
              <w:bottom w:val="single" w:sz="12" w:space="0" w:color="auto"/>
              <w:right w:val="single" w:sz="12" w:space="0" w:color="FFFFFF"/>
            </w:tcBorders>
            <w:shd w:val="clear" w:color="auto" w:fill="auto"/>
            <w:vAlign w:val="bottom"/>
            <w:hideMark/>
          </w:tcPr>
          <w:p w14:paraId="2DB8D7B6"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Total Catch Mortality</w:t>
            </w:r>
          </w:p>
        </w:tc>
        <w:tc>
          <w:tcPr>
            <w:tcW w:w="940" w:type="dxa"/>
            <w:tcBorders>
              <w:top w:val="single" w:sz="12" w:space="0" w:color="auto"/>
              <w:left w:val="nil"/>
              <w:bottom w:val="single" w:sz="12" w:space="0" w:color="auto"/>
              <w:right w:val="nil"/>
            </w:tcBorders>
            <w:shd w:val="clear" w:color="auto" w:fill="auto"/>
            <w:vAlign w:val="bottom"/>
            <w:hideMark/>
          </w:tcPr>
          <w:p w14:paraId="27381ABD"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OFL</w:t>
            </w:r>
          </w:p>
        </w:tc>
        <w:tc>
          <w:tcPr>
            <w:tcW w:w="940" w:type="dxa"/>
            <w:tcBorders>
              <w:top w:val="single" w:sz="12" w:space="0" w:color="auto"/>
              <w:left w:val="single" w:sz="8" w:space="0" w:color="FFFFFF"/>
              <w:bottom w:val="single" w:sz="12" w:space="0" w:color="auto"/>
              <w:right w:val="single" w:sz="8" w:space="0" w:color="FFFFFF"/>
            </w:tcBorders>
            <w:shd w:val="clear" w:color="auto" w:fill="auto"/>
            <w:noWrap/>
            <w:vAlign w:val="bottom"/>
            <w:hideMark/>
          </w:tcPr>
          <w:p w14:paraId="2E66924A"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ABC</w:t>
            </w:r>
          </w:p>
        </w:tc>
      </w:tr>
      <w:tr w:rsidR="00F76D23" w:rsidRPr="0015116B" w14:paraId="737C2155" w14:textId="77777777" w:rsidTr="00DC05AB">
        <w:trPr>
          <w:trHeight w:val="330"/>
        </w:trPr>
        <w:tc>
          <w:tcPr>
            <w:tcW w:w="975" w:type="dxa"/>
            <w:tcBorders>
              <w:top w:val="nil"/>
              <w:left w:val="single" w:sz="12" w:space="0" w:color="FFFFFF"/>
              <w:bottom w:val="single" w:sz="12" w:space="0" w:color="FFFFFF"/>
              <w:right w:val="single" w:sz="12" w:space="0" w:color="FFFFFF"/>
            </w:tcBorders>
            <w:shd w:val="clear" w:color="auto" w:fill="auto"/>
            <w:noWrap/>
            <w:vAlign w:val="center"/>
            <w:hideMark/>
          </w:tcPr>
          <w:p w14:paraId="12161333" w14:textId="08B9D8D8" w:rsidR="00F76D23" w:rsidRPr="0015116B" w:rsidRDefault="00F76D23" w:rsidP="00DC05AB">
            <w:pPr>
              <w:spacing w:after="0"/>
              <w:jc w:val="center"/>
              <w:rPr>
                <w:rFonts w:eastAsia="Times New Roman" w:cs="Times New Roman"/>
              </w:rPr>
            </w:pPr>
            <w:r w:rsidRPr="0015116B">
              <w:t>2016/17</w:t>
            </w:r>
          </w:p>
        </w:tc>
        <w:tc>
          <w:tcPr>
            <w:tcW w:w="990" w:type="dxa"/>
            <w:tcBorders>
              <w:top w:val="nil"/>
              <w:left w:val="nil"/>
              <w:bottom w:val="single" w:sz="12" w:space="0" w:color="FFFFFF"/>
              <w:right w:val="single" w:sz="12" w:space="0" w:color="FFFFFF"/>
            </w:tcBorders>
            <w:shd w:val="clear" w:color="auto" w:fill="auto"/>
            <w:noWrap/>
            <w:vAlign w:val="center"/>
            <w:hideMark/>
          </w:tcPr>
          <w:p w14:paraId="73EB430C" w14:textId="6341E605" w:rsidR="00F76D23" w:rsidRPr="0015116B" w:rsidRDefault="00F76D23" w:rsidP="00DC05AB">
            <w:pPr>
              <w:spacing w:after="0"/>
              <w:jc w:val="center"/>
              <w:rPr>
                <w:rFonts w:eastAsia="Times New Roman" w:cs="Times New Roman"/>
              </w:rPr>
            </w:pPr>
            <w:r w:rsidRPr="0015116B">
              <w:t>32.15</w:t>
            </w:r>
          </w:p>
        </w:tc>
        <w:tc>
          <w:tcPr>
            <w:tcW w:w="1240" w:type="dxa"/>
            <w:tcBorders>
              <w:top w:val="nil"/>
              <w:left w:val="nil"/>
              <w:bottom w:val="single" w:sz="12" w:space="0" w:color="FFFFFF"/>
              <w:right w:val="single" w:sz="12" w:space="0" w:color="FFFFFF"/>
            </w:tcBorders>
            <w:shd w:val="clear" w:color="auto" w:fill="auto"/>
            <w:noWrap/>
            <w:vAlign w:val="center"/>
            <w:hideMark/>
          </w:tcPr>
          <w:p w14:paraId="2378140E" w14:textId="2890CD91" w:rsidR="00F76D23" w:rsidRPr="0015116B" w:rsidRDefault="00F76D23" w:rsidP="00DC05AB">
            <w:pPr>
              <w:spacing w:after="0"/>
              <w:jc w:val="center"/>
              <w:rPr>
                <w:rFonts w:eastAsia="Times New Roman" w:cs="Times New Roman"/>
              </w:rPr>
            </w:pPr>
            <w:r w:rsidRPr="0015116B">
              <w:t>171.87</w:t>
            </w:r>
          </w:p>
        </w:tc>
        <w:tc>
          <w:tcPr>
            <w:tcW w:w="1520" w:type="dxa"/>
            <w:tcBorders>
              <w:top w:val="nil"/>
              <w:left w:val="nil"/>
              <w:bottom w:val="single" w:sz="12" w:space="0" w:color="FFFFFF"/>
              <w:right w:val="single" w:sz="12" w:space="0" w:color="FFFFFF"/>
            </w:tcBorders>
            <w:shd w:val="clear" w:color="auto" w:fill="auto"/>
            <w:noWrap/>
            <w:vAlign w:val="center"/>
            <w:hideMark/>
          </w:tcPr>
          <w:p w14:paraId="50A617C1" w14:textId="4CEBD00A" w:rsidR="00F76D23" w:rsidRPr="0015116B" w:rsidRDefault="00F76D23" w:rsidP="00DC05AB">
            <w:pPr>
              <w:spacing w:after="0"/>
              <w:jc w:val="center"/>
              <w:rPr>
                <w:rFonts w:eastAsia="Times New Roman" w:cs="Times New Roman"/>
              </w:rPr>
            </w:pPr>
            <w:r w:rsidRPr="0015116B">
              <w:t>0.00</w:t>
            </w:r>
          </w:p>
        </w:tc>
        <w:tc>
          <w:tcPr>
            <w:tcW w:w="1300" w:type="dxa"/>
            <w:tcBorders>
              <w:top w:val="nil"/>
              <w:left w:val="nil"/>
              <w:bottom w:val="single" w:sz="12" w:space="0" w:color="FFFFFF"/>
              <w:right w:val="single" w:sz="12" w:space="0" w:color="FFFFFF"/>
            </w:tcBorders>
            <w:shd w:val="clear" w:color="auto" w:fill="auto"/>
            <w:noWrap/>
            <w:vAlign w:val="center"/>
            <w:hideMark/>
          </w:tcPr>
          <w:p w14:paraId="0EEA2993" w14:textId="3D55E33C" w:rsidR="00F76D23" w:rsidRPr="0015116B" w:rsidRDefault="00F76D23" w:rsidP="00DC05AB">
            <w:pPr>
              <w:spacing w:after="0"/>
              <w:jc w:val="center"/>
              <w:rPr>
                <w:rFonts w:eastAsia="Times New Roman" w:cs="Times New Roman"/>
              </w:rPr>
            </w:pPr>
            <w:r w:rsidRPr="0015116B">
              <w:t>0.00</w:t>
            </w:r>
          </w:p>
        </w:tc>
        <w:tc>
          <w:tcPr>
            <w:tcW w:w="1440" w:type="dxa"/>
            <w:tcBorders>
              <w:top w:val="nil"/>
              <w:left w:val="nil"/>
              <w:bottom w:val="single" w:sz="12" w:space="0" w:color="FFFFFF"/>
              <w:right w:val="single" w:sz="12" w:space="0" w:color="FFFFFF"/>
            </w:tcBorders>
            <w:shd w:val="clear" w:color="auto" w:fill="auto"/>
            <w:noWrap/>
            <w:vAlign w:val="center"/>
            <w:hideMark/>
          </w:tcPr>
          <w:p w14:paraId="48499371" w14:textId="1CD9A257" w:rsidR="00F76D23" w:rsidRPr="0015116B" w:rsidRDefault="00F76D23" w:rsidP="00DC05AB">
            <w:pPr>
              <w:spacing w:after="0"/>
              <w:jc w:val="center"/>
              <w:rPr>
                <w:rFonts w:eastAsia="Times New Roman" w:cs="Times New Roman"/>
              </w:rPr>
            </w:pPr>
            <w:r w:rsidRPr="0015116B">
              <w:t>2.52</w:t>
            </w:r>
          </w:p>
        </w:tc>
        <w:tc>
          <w:tcPr>
            <w:tcW w:w="940" w:type="dxa"/>
            <w:tcBorders>
              <w:top w:val="single" w:sz="12" w:space="0" w:color="FFFFFF"/>
              <w:left w:val="nil"/>
              <w:bottom w:val="single" w:sz="12" w:space="0" w:color="FFFFFF"/>
              <w:right w:val="single" w:sz="12" w:space="0" w:color="FFFFFF"/>
            </w:tcBorders>
            <w:shd w:val="clear" w:color="auto" w:fill="auto"/>
            <w:noWrap/>
            <w:vAlign w:val="center"/>
            <w:hideMark/>
          </w:tcPr>
          <w:p w14:paraId="49AA21E1" w14:textId="77DD87B1" w:rsidR="00F76D23" w:rsidRPr="0015116B" w:rsidRDefault="00F76D23" w:rsidP="00DC05AB">
            <w:pPr>
              <w:spacing w:after="0"/>
              <w:jc w:val="center"/>
              <w:rPr>
                <w:rFonts w:eastAsia="Times New Roman" w:cs="Times New Roman"/>
              </w:rPr>
            </w:pPr>
            <w:r w:rsidRPr="0015116B">
              <w:t>56.46</w:t>
            </w:r>
          </w:p>
        </w:tc>
        <w:tc>
          <w:tcPr>
            <w:tcW w:w="940" w:type="dxa"/>
            <w:tcBorders>
              <w:top w:val="single" w:sz="12" w:space="0" w:color="FFFFFF"/>
              <w:left w:val="nil"/>
              <w:bottom w:val="single" w:sz="12" w:space="0" w:color="FFFFFF"/>
              <w:right w:val="single" w:sz="12" w:space="0" w:color="FFFFFF"/>
            </w:tcBorders>
            <w:shd w:val="clear" w:color="auto" w:fill="auto"/>
            <w:noWrap/>
            <w:vAlign w:val="center"/>
            <w:hideMark/>
          </w:tcPr>
          <w:p w14:paraId="1EE287B0" w14:textId="3A0247B6" w:rsidR="00F76D23" w:rsidRPr="0015116B" w:rsidRDefault="00F76D23" w:rsidP="00DC05AB">
            <w:pPr>
              <w:spacing w:after="0"/>
              <w:jc w:val="center"/>
              <w:rPr>
                <w:rFonts w:eastAsia="Times New Roman" w:cs="Times New Roman"/>
              </w:rPr>
            </w:pPr>
            <w:r w:rsidRPr="0015116B">
              <w:t>45.17</w:t>
            </w:r>
          </w:p>
        </w:tc>
      </w:tr>
      <w:tr w:rsidR="00F76D23" w:rsidRPr="0015116B" w14:paraId="150385D6" w14:textId="77777777" w:rsidTr="00DC05AB">
        <w:trPr>
          <w:trHeight w:val="330"/>
        </w:trPr>
        <w:tc>
          <w:tcPr>
            <w:tcW w:w="975" w:type="dxa"/>
            <w:tcBorders>
              <w:top w:val="nil"/>
              <w:left w:val="single" w:sz="12" w:space="0" w:color="FFFFFF"/>
              <w:bottom w:val="single" w:sz="12" w:space="0" w:color="FFFFFF"/>
              <w:right w:val="single" w:sz="12" w:space="0" w:color="FFFFFF"/>
            </w:tcBorders>
            <w:shd w:val="clear" w:color="auto" w:fill="auto"/>
            <w:noWrap/>
            <w:vAlign w:val="center"/>
            <w:hideMark/>
          </w:tcPr>
          <w:p w14:paraId="7C17B522" w14:textId="223A17AB" w:rsidR="00F76D23" w:rsidRPr="0015116B" w:rsidRDefault="00F76D23" w:rsidP="00DC05AB">
            <w:pPr>
              <w:spacing w:after="0"/>
              <w:jc w:val="center"/>
              <w:rPr>
                <w:rFonts w:eastAsia="Times New Roman" w:cs="Times New Roman"/>
              </w:rPr>
            </w:pPr>
            <w:r w:rsidRPr="0015116B">
              <w:t>2017/18</w:t>
            </w:r>
          </w:p>
        </w:tc>
        <w:tc>
          <w:tcPr>
            <w:tcW w:w="990" w:type="dxa"/>
            <w:tcBorders>
              <w:top w:val="nil"/>
              <w:left w:val="nil"/>
              <w:bottom w:val="single" w:sz="12" w:space="0" w:color="FFFFFF"/>
              <w:right w:val="single" w:sz="12" w:space="0" w:color="FFFFFF"/>
            </w:tcBorders>
            <w:shd w:val="clear" w:color="auto" w:fill="auto"/>
            <w:noWrap/>
            <w:vAlign w:val="center"/>
            <w:hideMark/>
          </w:tcPr>
          <w:p w14:paraId="348CD1EA" w14:textId="151B4832" w:rsidR="00F76D23" w:rsidRPr="0015116B" w:rsidRDefault="00F76D23" w:rsidP="00DC05AB">
            <w:pPr>
              <w:spacing w:after="0"/>
              <w:jc w:val="center"/>
              <w:rPr>
                <w:rFonts w:eastAsia="Times New Roman" w:cs="Times New Roman"/>
              </w:rPr>
            </w:pPr>
            <w:r w:rsidRPr="0015116B">
              <w:t>33.40</w:t>
            </w:r>
          </w:p>
        </w:tc>
        <w:tc>
          <w:tcPr>
            <w:tcW w:w="1240" w:type="dxa"/>
            <w:tcBorders>
              <w:top w:val="nil"/>
              <w:left w:val="nil"/>
              <w:bottom w:val="single" w:sz="12" w:space="0" w:color="FFFFFF"/>
              <w:right w:val="single" w:sz="12" w:space="0" w:color="FFFFFF"/>
            </w:tcBorders>
            <w:shd w:val="clear" w:color="auto" w:fill="auto"/>
            <w:noWrap/>
            <w:vAlign w:val="center"/>
            <w:hideMark/>
          </w:tcPr>
          <w:p w14:paraId="195DBB87" w14:textId="6020D111" w:rsidR="00F76D23" w:rsidRPr="0015116B" w:rsidRDefault="00F76D23" w:rsidP="00DC05AB">
            <w:pPr>
              <w:spacing w:after="0"/>
              <w:jc w:val="center"/>
              <w:rPr>
                <w:rFonts w:eastAsia="Times New Roman" w:cs="Times New Roman"/>
              </w:rPr>
            </w:pPr>
            <w:r w:rsidRPr="0015116B">
              <w:t>95.49</w:t>
            </w:r>
          </w:p>
        </w:tc>
        <w:tc>
          <w:tcPr>
            <w:tcW w:w="1520" w:type="dxa"/>
            <w:tcBorders>
              <w:top w:val="nil"/>
              <w:left w:val="nil"/>
              <w:bottom w:val="single" w:sz="12" w:space="0" w:color="FFFFFF"/>
              <w:right w:val="single" w:sz="12" w:space="0" w:color="FFFFFF"/>
            </w:tcBorders>
            <w:shd w:val="clear" w:color="auto" w:fill="auto"/>
            <w:noWrap/>
            <w:vAlign w:val="center"/>
            <w:hideMark/>
          </w:tcPr>
          <w:p w14:paraId="3BEFE264" w14:textId="5DEE5A33" w:rsidR="00F76D23" w:rsidRPr="0015116B" w:rsidRDefault="00F76D23" w:rsidP="00DC05AB">
            <w:pPr>
              <w:spacing w:after="0"/>
              <w:jc w:val="center"/>
              <w:rPr>
                <w:rFonts w:eastAsia="Times New Roman" w:cs="Times New Roman"/>
              </w:rPr>
            </w:pPr>
            <w:r w:rsidRPr="0015116B">
              <w:t>2.50</w:t>
            </w:r>
          </w:p>
        </w:tc>
        <w:tc>
          <w:tcPr>
            <w:tcW w:w="1300" w:type="dxa"/>
            <w:tcBorders>
              <w:top w:val="nil"/>
              <w:left w:val="nil"/>
              <w:bottom w:val="single" w:sz="12" w:space="0" w:color="FFFFFF"/>
              <w:right w:val="single" w:sz="12" w:space="0" w:color="FFFFFF"/>
            </w:tcBorders>
            <w:shd w:val="clear" w:color="auto" w:fill="auto"/>
            <w:noWrap/>
            <w:vAlign w:val="center"/>
            <w:hideMark/>
          </w:tcPr>
          <w:p w14:paraId="7CCCE094" w14:textId="5B80F030" w:rsidR="00F76D23" w:rsidRPr="0015116B" w:rsidRDefault="00F76D23" w:rsidP="00DC05AB">
            <w:pPr>
              <w:spacing w:after="0"/>
              <w:jc w:val="center"/>
              <w:rPr>
                <w:rFonts w:eastAsia="Times New Roman" w:cs="Times New Roman"/>
              </w:rPr>
            </w:pPr>
            <w:r w:rsidRPr="0015116B">
              <w:t>2.50</w:t>
            </w:r>
          </w:p>
        </w:tc>
        <w:tc>
          <w:tcPr>
            <w:tcW w:w="1440" w:type="dxa"/>
            <w:tcBorders>
              <w:top w:val="nil"/>
              <w:left w:val="nil"/>
              <w:bottom w:val="single" w:sz="12" w:space="0" w:color="FFFFFF"/>
              <w:right w:val="single" w:sz="12" w:space="0" w:color="FFFFFF"/>
            </w:tcBorders>
            <w:shd w:val="clear" w:color="auto" w:fill="auto"/>
            <w:noWrap/>
            <w:vAlign w:val="center"/>
            <w:hideMark/>
          </w:tcPr>
          <w:p w14:paraId="5AD08E31" w14:textId="082B1967" w:rsidR="00F76D23" w:rsidRPr="0015116B" w:rsidRDefault="00F76D23" w:rsidP="00DC05AB">
            <w:pPr>
              <w:spacing w:after="0"/>
              <w:jc w:val="center"/>
              <w:rPr>
                <w:rFonts w:eastAsia="Times New Roman" w:cs="Times New Roman"/>
              </w:rPr>
            </w:pPr>
            <w:r w:rsidRPr="0015116B">
              <w:t>5.22</w:t>
            </w:r>
          </w:p>
        </w:tc>
        <w:tc>
          <w:tcPr>
            <w:tcW w:w="940" w:type="dxa"/>
            <w:tcBorders>
              <w:top w:val="nil"/>
              <w:left w:val="nil"/>
              <w:bottom w:val="single" w:sz="12" w:space="0" w:color="FFFFFF"/>
              <w:right w:val="single" w:sz="12" w:space="0" w:color="FFFFFF"/>
            </w:tcBorders>
            <w:shd w:val="clear" w:color="auto" w:fill="auto"/>
            <w:noWrap/>
            <w:vAlign w:val="center"/>
            <w:hideMark/>
          </w:tcPr>
          <w:p w14:paraId="0DEBD488" w14:textId="05010F62" w:rsidR="00F76D23" w:rsidRPr="0015116B" w:rsidRDefault="00F76D23" w:rsidP="00DC05AB">
            <w:pPr>
              <w:spacing w:after="0"/>
              <w:jc w:val="center"/>
              <w:rPr>
                <w:rFonts w:eastAsia="Times New Roman" w:cs="Times New Roman"/>
              </w:rPr>
            </w:pPr>
            <w:r w:rsidRPr="0015116B">
              <w:t>56.03</w:t>
            </w:r>
          </w:p>
        </w:tc>
        <w:tc>
          <w:tcPr>
            <w:tcW w:w="940" w:type="dxa"/>
            <w:tcBorders>
              <w:top w:val="nil"/>
              <w:left w:val="nil"/>
              <w:bottom w:val="single" w:sz="12" w:space="0" w:color="FFFFFF"/>
              <w:right w:val="single" w:sz="12" w:space="0" w:color="FFFFFF"/>
            </w:tcBorders>
            <w:shd w:val="clear" w:color="auto" w:fill="auto"/>
            <w:noWrap/>
            <w:vAlign w:val="center"/>
            <w:hideMark/>
          </w:tcPr>
          <w:p w14:paraId="2B451A02" w14:textId="6B631186" w:rsidR="00F76D23" w:rsidRPr="0015116B" w:rsidRDefault="00F76D23" w:rsidP="00DC05AB">
            <w:pPr>
              <w:spacing w:after="0"/>
              <w:jc w:val="center"/>
              <w:rPr>
                <w:rFonts w:eastAsia="Times New Roman" w:cs="Times New Roman"/>
              </w:rPr>
            </w:pPr>
            <w:r w:rsidRPr="0015116B">
              <w:t>44.83</w:t>
            </w:r>
          </w:p>
        </w:tc>
      </w:tr>
      <w:tr w:rsidR="00F76D23" w:rsidRPr="0015116B" w14:paraId="6397C26F" w14:textId="77777777" w:rsidTr="00DC05AB">
        <w:trPr>
          <w:trHeight w:val="330"/>
        </w:trPr>
        <w:tc>
          <w:tcPr>
            <w:tcW w:w="975" w:type="dxa"/>
            <w:tcBorders>
              <w:top w:val="nil"/>
              <w:left w:val="single" w:sz="12" w:space="0" w:color="FFFFFF"/>
              <w:bottom w:val="single" w:sz="12" w:space="0" w:color="FFFFFF"/>
              <w:right w:val="single" w:sz="12" w:space="0" w:color="FFFFFF"/>
            </w:tcBorders>
            <w:shd w:val="clear" w:color="auto" w:fill="auto"/>
            <w:noWrap/>
            <w:vAlign w:val="center"/>
            <w:hideMark/>
          </w:tcPr>
          <w:p w14:paraId="433224AE" w14:textId="7D89C602" w:rsidR="00F76D23" w:rsidRPr="0015116B" w:rsidRDefault="00F76D23" w:rsidP="00DC05AB">
            <w:pPr>
              <w:spacing w:after="0"/>
              <w:jc w:val="center"/>
              <w:rPr>
                <w:rFonts w:eastAsia="Times New Roman" w:cs="Times New Roman"/>
              </w:rPr>
            </w:pPr>
            <w:r w:rsidRPr="0015116B">
              <w:t>2018/19</w:t>
            </w:r>
          </w:p>
        </w:tc>
        <w:tc>
          <w:tcPr>
            <w:tcW w:w="990" w:type="dxa"/>
            <w:tcBorders>
              <w:top w:val="nil"/>
              <w:left w:val="nil"/>
              <w:bottom w:val="single" w:sz="12" w:space="0" w:color="FFFFFF"/>
              <w:right w:val="single" w:sz="12" w:space="0" w:color="FFFFFF"/>
            </w:tcBorders>
            <w:shd w:val="clear" w:color="auto" w:fill="auto"/>
            <w:noWrap/>
            <w:vAlign w:val="center"/>
            <w:hideMark/>
          </w:tcPr>
          <w:p w14:paraId="75B5FB0E" w14:textId="68A50548" w:rsidR="00F76D23" w:rsidRPr="0015116B" w:rsidRDefault="00F76D23" w:rsidP="00DC05AB">
            <w:pPr>
              <w:spacing w:after="0"/>
              <w:jc w:val="center"/>
              <w:rPr>
                <w:rFonts w:eastAsia="Times New Roman" w:cs="Times New Roman"/>
              </w:rPr>
            </w:pPr>
            <w:r w:rsidRPr="0015116B">
              <w:rPr>
                <w:color w:val="000000"/>
              </w:rPr>
              <w:t>45.27</w:t>
            </w:r>
          </w:p>
        </w:tc>
        <w:tc>
          <w:tcPr>
            <w:tcW w:w="1240" w:type="dxa"/>
            <w:tcBorders>
              <w:top w:val="nil"/>
              <w:left w:val="nil"/>
              <w:bottom w:val="single" w:sz="12" w:space="0" w:color="FFFFFF"/>
              <w:right w:val="single" w:sz="12" w:space="0" w:color="FFFFFF"/>
            </w:tcBorders>
            <w:shd w:val="clear" w:color="auto" w:fill="auto"/>
            <w:noWrap/>
            <w:vAlign w:val="center"/>
            <w:hideMark/>
          </w:tcPr>
          <w:p w14:paraId="616D2BBD" w14:textId="2F7C3DF4" w:rsidR="00F76D23" w:rsidRPr="0015116B" w:rsidRDefault="00F76D23" w:rsidP="00DC05AB">
            <w:pPr>
              <w:spacing w:after="0"/>
              <w:jc w:val="center"/>
              <w:rPr>
                <w:rFonts w:eastAsia="Times New Roman" w:cs="Times New Roman"/>
              </w:rPr>
            </w:pPr>
            <w:r w:rsidRPr="0015116B">
              <w:rPr>
                <w:color w:val="000000"/>
              </w:rPr>
              <w:t>182.09</w:t>
            </w:r>
          </w:p>
        </w:tc>
        <w:tc>
          <w:tcPr>
            <w:tcW w:w="1520" w:type="dxa"/>
            <w:tcBorders>
              <w:top w:val="nil"/>
              <w:left w:val="nil"/>
              <w:bottom w:val="single" w:sz="12" w:space="0" w:color="FFFFFF"/>
              <w:right w:val="single" w:sz="12" w:space="0" w:color="FFFFFF"/>
            </w:tcBorders>
            <w:shd w:val="clear" w:color="auto" w:fill="auto"/>
            <w:noWrap/>
            <w:vAlign w:val="center"/>
            <w:hideMark/>
          </w:tcPr>
          <w:p w14:paraId="3433E1FB" w14:textId="56C28316" w:rsidR="00F76D23" w:rsidRPr="0015116B" w:rsidRDefault="00F76D23" w:rsidP="00DC05AB">
            <w:pPr>
              <w:spacing w:after="0"/>
              <w:jc w:val="center"/>
              <w:rPr>
                <w:rFonts w:eastAsia="Times New Roman" w:cs="Times New Roman"/>
              </w:rPr>
            </w:pPr>
            <w:r w:rsidRPr="0015116B">
              <w:rPr>
                <w:rFonts w:eastAsia="Times New Roman" w:cs="Times New Roman"/>
              </w:rPr>
              <w:t>2.44</w:t>
            </w:r>
          </w:p>
        </w:tc>
        <w:tc>
          <w:tcPr>
            <w:tcW w:w="1300" w:type="dxa"/>
            <w:tcBorders>
              <w:top w:val="nil"/>
              <w:left w:val="nil"/>
              <w:bottom w:val="single" w:sz="12" w:space="0" w:color="FFFFFF"/>
              <w:right w:val="single" w:sz="12" w:space="0" w:color="FFFFFF"/>
            </w:tcBorders>
            <w:shd w:val="clear" w:color="auto" w:fill="auto"/>
            <w:noWrap/>
            <w:vAlign w:val="center"/>
            <w:hideMark/>
          </w:tcPr>
          <w:p w14:paraId="45711860" w14:textId="4E848BB1" w:rsidR="00F76D23" w:rsidRPr="0015116B" w:rsidRDefault="00F76D23" w:rsidP="00DC05AB">
            <w:pPr>
              <w:spacing w:after="0"/>
              <w:jc w:val="center"/>
              <w:rPr>
                <w:rFonts w:eastAsia="Times New Roman" w:cs="Times New Roman"/>
              </w:rPr>
            </w:pPr>
            <w:r w:rsidRPr="0015116B">
              <w:rPr>
                <w:rFonts w:eastAsia="Times New Roman" w:cs="Times New Roman"/>
              </w:rPr>
              <w:t>2.44</w:t>
            </w:r>
          </w:p>
        </w:tc>
        <w:tc>
          <w:tcPr>
            <w:tcW w:w="1440" w:type="dxa"/>
            <w:tcBorders>
              <w:top w:val="nil"/>
              <w:left w:val="nil"/>
              <w:bottom w:val="single" w:sz="12" w:space="0" w:color="FFFFFF"/>
              <w:right w:val="single" w:sz="12" w:space="0" w:color="FFFFFF"/>
            </w:tcBorders>
            <w:shd w:val="clear" w:color="auto" w:fill="auto"/>
            <w:noWrap/>
            <w:vAlign w:val="center"/>
            <w:hideMark/>
          </w:tcPr>
          <w:p w14:paraId="1EC0EB93" w14:textId="09CB51AA" w:rsidR="00F76D23" w:rsidRPr="0015116B" w:rsidRDefault="00F76D23" w:rsidP="00DC05AB">
            <w:pPr>
              <w:spacing w:after="0"/>
              <w:jc w:val="center"/>
              <w:rPr>
                <w:rFonts w:eastAsia="Times New Roman" w:cs="Times New Roman"/>
              </w:rPr>
            </w:pPr>
            <w:r w:rsidRPr="0015116B">
              <w:rPr>
                <w:rFonts w:eastAsia="Times New Roman" w:cs="Times New Roman"/>
              </w:rPr>
              <w:t>4.18</w:t>
            </w:r>
          </w:p>
        </w:tc>
        <w:tc>
          <w:tcPr>
            <w:tcW w:w="940" w:type="dxa"/>
            <w:tcBorders>
              <w:top w:val="nil"/>
              <w:left w:val="nil"/>
              <w:bottom w:val="single" w:sz="12" w:space="0" w:color="FFFFFF"/>
              <w:right w:val="single" w:sz="12" w:space="0" w:color="FFFFFF"/>
            </w:tcBorders>
            <w:shd w:val="clear" w:color="auto" w:fill="auto"/>
            <w:noWrap/>
            <w:vAlign w:val="center"/>
            <w:hideMark/>
          </w:tcPr>
          <w:p w14:paraId="6A1A31EE" w14:textId="5B45D629" w:rsidR="00F76D23" w:rsidRPr="0015116B" w:rsidRDefault="00F76D23" w:rsidP="00DC05AB">
            <w:pPr>
              <w:spacing w:after="0"/>
              <w:jc w:val="center"/>
              <w:rPr>
                <w:rFonts w:eastAsia="Times New Roman" w:cs="Times New Roman"/>
              </w:rPr>
            </w:pPr>
            <w:r w:rsidRPr="0015116B">
              <w:rPr>
                <w:rFonts w:eastAsia="Times New Roman" w:cs="Times New Roman"/>
              </w:rPr>
              <w:t>46.01</w:t>
            </w:r>
          </w:p>
        </w:tc>
        <w:tc>
          <w:tcPr>
            <w:tcW w:w="940" w:type="dxa"/>
            <w:tcBorders>
              <w:top w:val="nil"/>
              <w:left w:val="nil"/>
              <w:bottom w:val="single" w:sz="12" w:space="0" w:color="FFFFFF"/>
              <w:right w:val="single" w:sz="12" w:space="0" w:color="FFFFFF"/>
            </w:tcBorders>
            <w:shd w:val="clear" w:color="auto" w:fill="auto"/>
            <w:noWrap/>
            <w:vAlign w:val="center"/>
            <w:hideMark/>
          </w:tcPr>
          <w:p w14:paraId="09FA54E6" w14:textId="2698FE55" w:rsidR="00F76D23" w:rsidRPr="0015116B" w:rsidRDefault="00F76D23" w:rsidP="00DC05AB">
            <w:pPr>
              <w:spacing w:after="0"/>
              <w:jc w:val="center"/>
              <w:rPr>
                <w:rFonts w:eastAsia="Times New Roman" w:cs="Times New Roman"/>
              </w:rPr>
            </w:pPr>
            <w:r w:rsidRPr="0015116B">
              <w:rPr>
                <w:rFonts w:eastAsia="Times New Roman" w:cs="Times New Roman"/>
              </w:rPr>
              <w:t>36.82</w:t>
            </w:r>
          </w:p>
        </w:tc>
      </w:tr>
      <w:tr w:rsidR="00DC05AB" w:rsidRPr="0015116B" w14:paraId="39D64A96" w14:textId="77777777" w:rsidTr="00DC05AB">
        <w:trPr>
          <w:trHeight w:val="315"/>
        </w:trPr>
        <w:tc>
          <w:tcPr>
            <w:tcW w:w="975" w:type="dxa"/>
            <w:tcBorders>
              <w:top w:val="nil"/>
              <w:left w:val="single" w:sz="12" w:space="0" w:color="FFFFFF"/>
              <w:bottom w:val="single" w:sz="4" w:space="0" w:color="FFFFFF"/>
              <w:right w:val="single" w:sz="4" w:space="0" w:color="FFFFFF"/>
            </w:tcBorders>
            <w:shd w:val="clear" w:color="auto" w:fill="auto"/>
            <w:noWrap/>
            <w:vAlign w:val="center"/>
            <w:hideMark/>
          </w:tcPr>
          <w:p w14:paraId="500B1615" w14:textId="7F74FD84" w:rsidR="00DC05AB" w:rsidRPr="0015116B" w:rsidRDefault="00DC05AB" w:rsidP="00DC05AB">
            <w:pPr>
              <w:spacing w:after="0"/>
              <w:jc w:val="center"/>
              <w:rPr>
                <w:rFonts w:eastAsia="Times New Roman" w:cs="Times New Roman"/>
              </w:rPr>
            </w:pPr>
            <w:r w:rsidRPr="0015116B">
              <w:t>2019/20</w:t>
            </w:r>
          </w:p>
        </w:tc>
        <w:tc>
          <w:tcPr>
            <w:tcW w:w="990" w:type="dxa"/>
            <w:tcBorders>
              <w:top w:val="nil"/>
              <w:left w:val="nil"/>
              <w:bottom w:val="single" w:sz="4" w:space="0" w:color="FFFFFF"/>
              <w:right w:val="single" w:sz="4" w:space="0" w:color="FFFFFF"/>
            </w:tcBorders>
            <w:shd w:val="clear" w:color="auto" w:fill="auto"/>
            <w:noWrap/>
            <w:vAlign w:val="center"/>
            <w:hideMark/>
          </w:tcPr>
          <w:p w14:paraId="545B03D6" w14:textId="193C922E" w:rsidR="00DC05AB" w:rsidRPr="0015116B" w:rsidRDefault="00DC05AB" w:rsidP="00DC05AB">
            <w:pPr>
              <w:spacing w:after="0"/>
              <w:jc w:val="center"/>
              <w:rPr>
                <w:rFonts w:eastAsia="Times New Roman" w:cs="Times New Roman"/>
              </w:rPr>
            </w:pPr>
            <w:r w:rsidRPr="0015116B">
              <w:rPr>
                <w:color w:val="000000"/>
              </w:rPr>
              <w:t>40.36</w:t>
            </w:r>
          </w:p>
        </w:tc>
        <w:tc>
          <w:tcPr>
            <w:tcW w:w="1240" w:type="dxa"/>
            <w:tcBorders>
              <w:top w:val="nil"/>
              <w:left w:val="nil"/>
              <w:bottom w:val="single" w:sz="4" w:space="0" w:color="FFFFFF"/>
              <w:right w:val="single" w:sz="4" w:space="0" w:color="FFFFFF"/>
            </w:tcBorders>
            <w:shd w:val="clear" w:color="auto" w:fill="auto"/>
            <w:noWrap/>
            <w:vAlign w:val="center"/>
            <w:hideMark/>
          </w:tcPr>
          <w:p w14:paraId="42AF0B46" w14:textId="52DB1D6C" w:rsidR="00DC05AB" w:rsidRPr="0015116B" w:rsidRDefault="00DC05AB" w:rsidP="00DC05AB">
            <w:pPr>
              <w:spacing w:after="0"/>
              <w:jc w:val="center"/>
              <w:rPr>
                <w:rFonts w:eastAsia="Times New Roman" w:cs="Times New Roman"/>
              </w:rPr>
            </w:pPr>
            <w:r w:rsidRPr="0015116B">
              <w:rPr>
                <w:color w:val="000000"/>
              </w:rPr>
              <w:t>123.77</w:t>
            </w:r>
          </w:p>
        </w:tc>
        <w:tc>
          <w:tcPr>
            <w:tcW w:w="1520" w:type="dxa"/>
            <w:tcBorders>
              <w:top w:val="nil"/>
              <w:left w:val="nil"/>
              <w:bottom w:val="single" w:sz="4" w:space="0" w:color="FFFFFF"/>
              <w:right w:val="single" w:sz="4" w:space="0" w:color="FFFFFF"/>
            </w:tcBorders>
            <w:shd w:val="clear" w:color="auto" w:fill="auto"/>
            <w:noWrap/>
            <w:vAlign w:val="center"/>
            <w:hideMark/>
          </w:tcPr>
          <w:p w14:paraId="505050CC" w14:textId="32D7FC2E" w:rsidR="00DC05AB" w:rsidRPr="0015116B" w:rsidRDefault="00DC05AB" w:rsidP="00DC05AB">
            <w:pPr>
              <w:spacing w:after="0"/>
              <w:jc w:val="center"/>
              <w:rPr>
                <w:rFonts w:eastAsia="Times New Roman" w:cs="Times New Roman"/>
              </w:rPr>
            </w:pPr>
            <w:r w:rsidRPr="0015116B">
              <w:rPr>
                <w:rFonts w:eastAsia="Times New Roman" w:cs="Times New Roman"/>
              </w:rPr>
              <w:t>0.00</w:t>
            </w:r>
          </w:p>
        </w:tc>
        <w:tc>
          <w:tcPr>
            <w:tcW w:w="1300" w:type="dxa"/>
            <w:tcBorders>
              <w:top w:val="nil"/>
              <w:left w:val="nil"/>
              <w:bottom w:val="single" w:sz="4" w:space="0" w:color="FFFFFF"/>
              <w:right w:val="single" w:sz="4" w:space="0" w:color="FFFFFF"/>
            </w:tcBorders>
            <w:shd w:val="clear" w:color="auto" w:fill="auto"/>
            <w:noWrap/>
            <w:vAlign w:val="center"/>
            <w:hideMark/>
          </w:tcPr>
          <w:p w14:paraId="3438902E" w14:textId="49EA6877" w:rsidR="00DC05AB" w:rsidRPr="0015116B" w:rsidRDefault="00DC05AB" w:rsidP="00DC05AB">
            <w:pPr>
              <w:spacing w:after="0"/>
              <w:jc w:val="center"/>
              <w:rPr>
                <w:rFonts w:eastAsia="Times New Roman" w:cs="Times New Roman"/>
              </w:rPr>
            </w:pPr>
            <w:r w:rsidRPr="0015116B">
              <w:rPr>
                <w:rFonts w:eastAsia="Times New Roman" w:cs="Times New Roman"/>
              </w:rPr>
              <w:t>0.00</w:t>
            </w:r>
          </w:p>
        </w:tc>
        <w:tc>
          <w:tcPr>
            <w:tcW w:w="1440" w:type="dxa"/>
            <w:tcBorders>
              <w:top w:val="nil"/>
              <w:left w:val="nil"/>
              <w:bottom w:val="single" w:sz="4" w:space="0" w:color="FFFFFF"/>
              <w:right w:val="single" w:sz="4" w:space="0" w:color="FFFFFF"/>
            </w:tcBorders>
            <w:shd w:val="clear" w:color="auto" w:fill="auto"/>
            <w:noWrap/>
            <w:vAlign w:val="center"/>
            <w:hideMark/>
          </w:tcPr>
          <w:p w14:paraId="79000807" w14:textId="41A71F91" w:rsidR="00DC05AB" w:rsidRPr="0015116B" w:rsidRDefault="00DC05AB" w:rsidP="00DC05AB">
            <w:pPr>
              <w:spacing w:after="0"/>
              <w:jc w:val="center"/>
              <w:rPr>
                <w:rFonts w:eastAsia="Times New Roman" w:cs="Times New Roman"/>
              </w:rPr>
            </w:pPr>
            <w:r w:rsidRPr="0015116B">
              <w:rPr>
                <w:color w:val="000000"/>
              </w:rPr>
              <w:t>1.20</w:t>
            </w:r>
          </w:p>
        </w:tc>
        <w:tc>
          <w:tcPr>
            <w:tcW w:w="940" w:type="dxa"/>
            <w:tcBorders>
              <w:top w:val="nil"/>
              <w:left w:val="nil"/>
              <w:bottom w:val="single" w:sz="4" w:space="0" w:color="FFFFFF"/>
              <w:right w:val="single" w:sz="4" w:space="0" w:color="FFFFFF"/>
            </w:tcBorders>
            <w:shd w:val="clear" w:color="auto" w:fill="auto"/>
            <w:noWrap/>
            <w:vAlign w:val="center"/>
            <w:hideMark/>
          </w:tcPr>
          <w:p w14:paraId="1140F426" w14:textId="29B6DE20" w:rsidR="00DC05AB" w:rsidRPr="0015116B" w:rsidRDefault="00DC05AB" w:rsidP="00DC05AB">
            <w:pPr>
              <w:spacing w:after="0"/>
              <w:jc w:val="center"/>
              <w:rPr>
                <w:rFonts w:eastAsia="Times New Roman" w:cs="Times New Roman"/>
              </w:rPr>
            </w:pPr>
            <w:r w:rsidRPr="0015116B">
              <w:rPr>
                <w:color w:val="000000"/>
              </w:rPr>
              <w:t>63.62</w:t>
            </w:r>
          </w:p>
        </w:tc>
        <w:tc>
          <w:tcPr>
            <w:tcW w:w="940" w:type="dxa"/>
            <w:tcBorders>
              <w:top w:val="nil"/>
              <w:left w:val="nil"/>
              <w:bottom w:val="single" w:sz="4" w:space="0" w:color="FFFFFF"/>
              <w:right w:val="single" w:sz="12" w:space="0" w:color="FFFFFF"/>
            </w:tcBorders>
            <w:shd w:val="clear" w:color="auto" w:fill="auto"/>
            <w:noWrap/>
            <w:vAlign w:val="center"/>
            <w:hideMark/>
          </w:tcPr>
          <w:p w14:paraId="03E3162C" w14:textId="6F751475" w:rsidR="00DC05AB" w:rsidRPr="0015116B" w:rsidRDefault="00DC05AB" w:rsidP="00DC05AB">
            <w:pPr>
              <w:spacing w:after="0"/>
              <w:jc w:val="center"/>
              <w:rPr>
                <w:rFonts w:eastAsia="Times New Roman" w:cs="Times New Roman"/>
              </w:rPr>
            </w:pPr>
            <w:r w:rsidRPr="0015116B">
              <w:rPr>
                <w:color w:val="000000"/>
              </w:rPr>
              <w:t>50.89</w:t>
            </w:r>
          </w:p>
        </w:tc>
      </w:tr>
      <w:tr w:rsidR="00DC05AB" w:rsidRPr="0015116B" w14:paraId="4B1D8EA0" w14:textId="77777777" w:rsidTr="00DC05AB">
        <w:trPr>
          <w:trHeight w:val="315"/>
        </w:trPr>
        <w:tc>
          <w:tcPr>
            <w:tcW w:w="975" w:type="dxa"/>
            <w:tcBorders>
              <w:top w:val="nil"/>
              <w:left w:val="single" w:sz="12" w:space="0" w:color="FFFFFF"/>
              <w:bottom w:val="single" w:sz="12" w:space="0" w:color="auto"/>
              <w:right w:val="single" w:sz="12" w:space="0" w:color="FFFFFF"/>
            </w:tcBorders>
            <w:shd w:val="clear" w:color="auto" w:fill="auto"/>
            <w:noWrap/>
            <w:vAlign w:val="center"/>
            <w:hideMark/>
          </w:tcPr>
          <w:p w14:paraId="6CF82399" w14:textId="6878B93F" w:rsidR="00DC05AB" w:rsidRPr="0015116B" w:rsidRDefault="00DC05AB" w:rsidP="00DC05AB">
            <w:pPr>
              <w:spacing w:after="0"/>
              <w:jc w:val="center"/>
              <w:rPr>
                <w:rFonts w:eastAsia="Times New Roman" w:cs="Times New Roman"/>
              </w:rPr>
            </w:pPr>
            <w:r w:rsidRPr="0015116B">
              <w:t>2020/21</w:t>
            </w:r>
          </w:p>
        </w:tc>
        <w:tc>
          <w:tcPr>
            <w:tcW w:w="990" w:type="dxa"/>
            <w:tcBorders>
              <w:top w:val="nil"/>
              <w:left w:val="nil"/>
              <w:bottom w:val="single" w:sz="12" w:space="0" w:color="auto"/>
              <w:right w:val="single" w:sz="12" w:space="0" w:color="FFFFFF"/>
            </w:tcBorders>
            <w:shd w:val="clear" w:color="auto" w:fill="auto"/>
            <w:noWrap/>
            <w:vAlign w:val="center"/>
            <w:hideMark/>
          </w:tcPr>
          <w:p w14:paraId="067A8CE3" w14:textId="696C32B8" w:rsidR="00DC05AB" w:rsidRPr="0015116B" w:rsidRDefault="00DC05AB" w:rsidP="00DC05AB">
            <w:pPr>
              <w:spacing w:after="0"/>
              <w:jc w:val="center"/>
              <w:rPr>
                <w:rFonts w:eastAsia="Times New Roman" w:cs="Times New Roman"/>
              </w:rPr>
            </w:pPr>
          </w:p>
        </w:tc>
        <w:tc>
          <w:tcPr>
            <w:tcW w:w="1240" w:type="dxa"/>
            <w:tcBorders>
              <w:top w:val="nil"/>
              <w:left w:val="nil"/>
              <w:bottom w:val="single" w:sz="12" w:space="0" w:color="auto"/>
              <w:right w:val="single" w:sz="12" w:space="0" w:color="FFFFFF"/>
            </w:tcBorders>
            <w:shd w:val="clear" w:color="auto" w:fill="auto"/>
            <w:noWrap/>
            <w:vAlign w:val="center"/>
            <w:hideMark/>
          </w:tcPr>
          <w:p w14:paraId="267B8DF3" w14:textId="3D3EA837" w:rsidR="00DC05AB" w:rsidRPr="0015116B" w:rsidRDefault="00DC05AB" w:rsidP="00DC05AB">
            <w:pPr>
              <w:spacing w:after="0"/>
              <w:jc w:val="center"/>
              <w:rPr>
                <w:rFonts w:eastAsia="Times New Roman" w:cs="Times New Roman"/>
              </w:rPr>
            </w:pPr>
            <w:r w:rsidRPr="0015116B">
              <w:rPr>
                <w:color w:val="000000"/>
              </w:rPr>
              <w:t>77.84</w:t>
            </w:r>
          </w:p>
        </w:tc>
        <w:tc>
          <w:tcPr>
            <w:tcW w:w="1520" w:type="dxa"/>
            <w:tcBorders>
              <w:top w:val="nil"/>
              <w:left w:val="nil"/>
              <w:bottom w:val="single" w:sz="12" w:space="0" w:color="auto"/>
              <w:right w:val="single" w:sz="12" w:space="0" w:color="FFFFFF"/>
            </w:tcBorders>
            <w:shd w:val="clear" w:color="auto" w:fill="auto"/>
            <w:noWrap/>
            <w:vAlign w:val="center"/>
            <w:hideMark/>
          </w:tcPr>
          <w:p w14:paraId="6D016091" w14:textId="228569F3" w:rsidR="00DC05AB" w:rsidRPr="0015116B" w:rsidRDefault="00DC05AB" w:rsidP="00DC05AB">
            <w:pPr>
              <w:spacing w:after="0"/>
              <w:jc w:val="center"/>
              <w:rPr>
                <w:rFonts w:eastAsia="Times New Roman" w:cs="Times New Roman"/>
              </w:rPr>
            </w:pPr>
          </w:p>
        </w:tc>
        <w:tc>
          <w:tcPr>
            <w:tcW w:w="1300" w:type="dxa"/>
            <w:tcBorders>
              <w:top w:val="nil"/>
              <w:left w:val="nil"/>
              <w:bottom w:val="single" w:sz="12" w:space="0" w:color="auto"/>
              <w:right w:val="single" w:sz="12" w:space="0" w:color="FFFFFF"/>
            </w:tcBorders>
            <w:shd w:val="clear" w:color="auto" w:fill="auto"/>
            <w:noWrap/>
            <w:vAlign w:val="center"/>
            <w:hideMark/>
          </w:tcPr>
          <w:p w14:paraId="68E28AD7" w14:textId="733E51BC" w:rsidR="00DC05AB" w:rsidRPr="0015116B" w:rsidRDefault="00DC05AB" w:rsidP="00DC05AB">
            <w:pPr>
              <w:spacing w:after="0"/>
              <w:jc w:val="center"/>
              <w:rPr>
                <w:rFonts w:eastAsia="Times New Roman" w:cs="Times New Roman"/>
              </w:rPr>
            </w:pPr>
          </w:p>
        </w:tc>
        <w:tc>
          <w:tcPr>
            <w:tcW w:w="1440" w:type="dxa"/>
            <w:tcBorders>
              <w:top w:val="nil"/>
              <w:left w:val="nil"/>
              <w:bottom w:val="single" w:sz="12" w:space="0" w:color="auto"/>
              <w:right w:val="single" w:sz="12" w:space="0" w:color="FFFFFF"/>
            </w:tcBorders>
            <w:shd w:val="clear" w:color="auto" w:fill="auto"/>
            <w:noWrap/>
            <w:vAlign w:val="center"/>
            <w:hideMark/>
          </w:tcPr>
          <w:p w14:paraId="55F55729" w14:textId="38D29DEC" w:rsidR="00DC05AB" w:rsidRPr="0015116B" w:rsidRDefault="00DC05AB" w:rsidP="00DC05AB">
            <w:pPr>
              <w:spacing w:after="0"/>
              <w:jc w:val="center"/>
              <w:rPr>
                <w:rFonts w:eastAsia="Times New Roman" w:cs="Times New Roman"/>
              </w:rPr>
            </w:pPr>
          </w:p>
        </w:tc>
        <w:tc>
          <w:tcPr>
            <w:tcW w:w="940" w:type="dxa"/>
            <w:tcBorders>
              <w:top w:val="nil"/>
              <w:left w:val="nil"/>
              <w:bottom w:val="single" w:sz="12" w:space="0" w:color="auto"/>
              <w:right w:val="single" w:sz="12" w:space="0" w:color="FFFFFF"/>
            </w:tcBorders>
            <w:shd w:val="clear" w:color="auto" w:fill="auto"/>
            <w:noWrap/>
            <w:vAlign w:val="center"/>
            <w:hideMark/>
          </w:tcPr>
          <w:p w14:paraId="401D9FCE" w14:textId="5A2BE401" w:rsidR="00DC05AB" w:rsidRPr="0015116B" w:rsidRDefault="00DC05AB" w:rsidP="00DC05AB">
            <w:pPr>
              <w:spacing w:after="0"/>
              <w:jc w:val="center"/>
              <w:rPr>
                <w:rFonts w:eastAsia="Times New Roman" w:cs="Times New Roman"/>
              </w:rPr>
            </w:pPr>
            <w:r w:rsidRPr="0015116B">
              <w:rPr>
                <w:color w:val="000000"/>
              </w:rPr>
              <w:t>46.02</w:t>
            </w:r>
          </w:p>
        </w:tc>
        <w:tc>
          <w:tcPr>
            <w:tcW w:w="940" w:type="dxa"/>
            <w:tcBorders>
              <w:top w:val="nil"/>
              <w:left w:val="nil"/>
              <w:bottom w:val="single" w:sz="12" w:space="0" w:color="auto"/>
              <w:right w:val="single" w:sz="12" w:space="0" w:color="FFFFFF"/>
            </w:tcBorders>
            <w:shd w:val="clear" w:color="auto" w:fill="auto"/>
            <w:noWrap/>
            <w:vAlign w:val="center"/>
            <w:hideMark/>
          </w:tcPr>
          <w:p w14:paraId="4B88687E" w14:textId="2BCE699E" w:rsidR="00DC05AB" w:rsidRPr="0015116B" w:rsidRDefault="00DC05AB" w:rsidP="00DC05AB">
            <w:pPr>
              <w:spacing w:after="0"/>
              <w:jc w:val="center"/>
              <w:rPr>
                <w:rFonts w:eastAsia="Times New Roman" w:cs="Times New Roman"/>
              </w:rPr>
            </w:pPr>
            <w:r w:rsidRPr="0015116B">
              <w:rPr>
                <w:color w:val="000000"/>
              </w:rPr>
              <w:t>36.82</w:t>
            </w:r>
          </w:p>
        </w:tc>
      </w:tr>
    </w:tbl>
    <w:p w14:paraId="177EE4F6" w14:textId="643EC4E3" w:rsidR="002B491B" w:rsidRPr="0015116B" w:rsidRDefault="00441A37" w:rsidP="00F51046">
      <w:pPr>
        <w:pStyle w:val="SummaryTableFootnote"/>
      </w:pPr>
      <w:r w:rsidRPr="0015116B">
        <w:t>Shaded values are new estimates or projections based on the current assessment. Other table entries are based on historical assessments and are not updated except for retained catch and total catch mortality</w:t>
      </w:r>
      <w:r w:rsidR="00F51046" w:rsidRPr="0015116B">
        <w:t>.</w:t>
      </w:r>
    </w:p>
    <w:p w14:paraId="7A227A0B" w14:textId="77777777" w:rsidR="00435BF8" w:rsidRPr="0015116B" w:rsidRDefault="00895389" w:rsidP="00895389">
      <w:pPr>
        <w:pStyle w:val="Heading3"/>
      </w:pPr>
      <w:r w:rsidRPr="0015116B">
        <w:t xml:space="preserve">6. </w:t>
      </w:r>
      <w:r w:rsidR="00435BF8" w:rsidRPr="0015116B">
        <w:t>Basis for the OFL</w:t>
      </w:r>
    </w:p>
    <w:p w14:paraId="58FD156D" w14:textId="1079B21E" w:rsidR="004C1898" w:rsidRPr="0015116B" w:rsidRDefault="006F7BDE" w:rsidP="004C1898">
      <w:pPr>
        <w:pStyle w:val="SummaryTableCaption"/>
      </w:pPr>
      <w:r w:rsidRPr="0015116B">
        <w:t>a) in 1000’s</w:t>
      </w:r>
      <w:r w:rsidR="004C1898" w:rsidRPr="0015116B">
        <w:t xml:space="preserve"> t.</w:t>
      </w:r>
    </w:p>
    <w:tbl>
      <w:tblPr>
        <w:tblW w:w="9345" w:type="dxa"/>
        <w:tblInd w:w="123" w:type="dxa"/>
        <w:tblLook w:val="04A0" w:firstRow="1" w:lastRow="0" w:firstColumn="1" w:lastColumn="0" w:noHBand="0" w:noVBand="1"/>
      </w:tblPr>
      <w:tblGrid>
        <w:gridCol w:w="1155"/>
        <w:gridCol w:w="810"/>
        <w:gridCol w:w="990"/>
        <w:gridCol w:w="1240"/>
        <w:gridCol w:w="1360"/>
        <w:gridCol w:w="1100"/>
        <w:gridCol w:w="1340"/>
        <w:gridCol w:w="1350"/>
      </w:tblGrid>
      <w:tr w:rsidR="006F7BDE" w:rsidRPr="0015116B" w14:paraId="11CE0173" w14:textId="77777777" w:rsidTr="00415152">
        <w:trPr>
          <w:trHeight w:val="690"/>
        </w:trPr>
        <w:tc>
          <w:tcPr>
            <w:tcW w:w="1155" w:type="dxa"/>
            <w:tcBorders>
              <w:top w:val="single" w:sz="12" w:space="0" w:color="auto"/>
              <w:left w:val="single" w:sz="12" w:space="0" w:color="FFFFFF"/>
              <w:bottom w:val="single" w:sz="12" w:space="0" w:color="auto"/>
              <w:right w:val="single" w:sz="12" w:space="0" w:color="FFFFFF"/>
            </w:tcBorders>
            <w:shd w:val="clear" w:color="auto" w:fill="auto"/>
            <w:vAlign w:val="bottom"/>
            <w:hideMark/>
          </w:tcPr>
          <w:p w14:paraId="0A076DC8"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Year</w:t>
            </w:r>
          </w:p>
        </w:tc>
        <w:tc>
          <w:tcPr>
            <w:tcW w:w="810" w:type="dxa"/>
            <w:tcBorders>
              <w:top w:val="single" w:sz="12" w:space="0" w:color="auto"/>
              <w:left w:val="nil"/>
              <w:bottom w:val="single" w:sz="12" w:space="0" w:color="auto"/>
              <w:right w:val="single" w:sz="12" w:space="0" w:color="FFFFFF"/>
            </w:tcBorders>
            <w:shd w:val="clear" w:color="auto" w:fill="auto"/>
            <w:vAlign w:val="bottom"/>
            <w:hideMark/>
          </w:tcPr>
          <w:p w14:paraId="5A0B5684" w14:textId="7BFA4693" w:rsidR="006F7BDE" w:rsidRPr="0015116B" w:rsidRDefault="006F7BDE" w:rsidP="006F7BDE">
            <w:pPr>
              <w:spacing w:after="0"/>
              <w:jc w:val="center"/>
              <w:rPr>
                <w:rFonts w:eastAsia="Times New Roman" w:cs="Times New Roman"/>
                <w:b/>
                <w:bCs/>
              </w:rPr>
            </w:pPr>
            <w:r w:rsidRPr="0015116B">
              <w:rPr>
                <w:rFonts w:eastAsia="Times New Roman" w:cs="Times New Roman"/>
                <w:b/>
                <w:bCs/>
              </w:rPr>
              <w:t>Tier</w:t>
            </w:r>
          </w:p>
        </w:tc>
        <w:tc>
          <w:tcPr>
            <w:tcW w:w="990" w:type="dxa"/>
            <w:tcBorders>
              <w:top w:val="single" w:sz="12" w:space="0" w:color="auto"/>
              <w:left w:val="nil"/>
              <w:bottom w:val="single" w:sz="12" w:space="0" w:color="auto"/>
              <w:right w:val="single" w:sz="12" w:space="0" w:color="FFFFFF"/>
            </w:tcBorders>
            <w:shd w:val="clear" w:color="auto" w:fill="auto"/>
            <w:vAlign w:val="bottom"/>
            <w:hideMark/>
          </w:tcPr>
          <w:p w14:paraId="0002DD06" w14:textId="4B727EAC" w:rsidR="006F7BDE" w:rsidRPr="0015116B" w:rsidRDefault="006F7BDE" w:rsidP="006F7BDE">
            <w:pPr>
              <w:spacing w:after="0"/>
              <w:jc w:val="center"/>
              <w:rPr>
                <w:rFonts w:eastAsia="Times New Roman" w:cs="Times New Roman"/>
                <w:b/>
                <w:bCs/>
              </w:rPr>
            </w:pPr>
            <w:r w:rsidRPr="0015116B">
              <w:rPr>
                <w:rFonts w:eastAsia="Times New Roman" w:cs="Times New Roman"/>
                <w:b/>
                <w:bCs/>
              </w:rPr>
              <w:t>B</w:t>
            </w:r>
            <w:r w:rsidRPr="0015116B">
              <w:rPr>
                <w:rFonts w:eastAsia="Times New Roman" w:cs="Times New Roman"/>
                <w:b/>
                <w:bCs/>
                <w:vertAlign w:val="subscript"/>
              </w:rPr>
              <w:t>MSY</w:t>
            </w:r>
          </w:p>
        </w:tc>
        <w:tc>
          <w:tcPr>
            <w:tcW w:w="1240" w:type="dxa"/>
            <w:tcBorders>
              <w:top w:val="single" w:sz="12" w:space="0" w:color="auto"/>
              <w:left w:val="nil"/>
              <w:bottom w:val="single" w:sz="12" w:space="0" w:color="auto"/>
              <w:right w:val="single" w:sz="12" w:space="0" w:color="FFFFFF"/>
            </w:tcBorders>
            <w:shd w:val="clear" w:color="auto" w:fill="auto"/>
            <w:vAlign w:val="bottom"/>
            <w:hideMark/>
          </w:tcPr>
          <w:p w14:paraId="08E5E535" w14:textId="02725D56" w:rsidR="006F7BDE" w:rsidRPr="0015116B" w:rsidRDefault="006F7BDE" w:rsidP="006F7BDE">
            <w:pPr>
              <w:spacing w:after="0"/>
              <w:jc w:val="center"/>
              <w:rPr>
                <w:rFonts w:eastAsia="Times New Roman" w:cs="Times New Roman"/>
                <w:b/>
                <w:bCs/>
              </w:rPr>
            </w:pPr>
            <w:r w:rsidRPr="0015116B">
              <w:rPr>
                <w:rFonts w:eastAsia="Times New Roman" w:cs="Times New Roman"/>
                <w:b/>
                <w:bCs/>
              </w:rPr>
              <w:t>Current MMB</w:t>
            </w:r>
          </w:p>
        </w:tc>
        <w:tc>
          <w:tcPr>
            <w:tcW w:w="1360" w:type="dxa"/>
            <w:tcBorders>
              <w:top w:val="single" w:sz="12" w:space="0" w:color="auto"/>
              <w:left w:val="nil"/>
              <w:bottom w:val="single" w:sz="12" w:space="0" w:color="auto"/>
              <w:right w:val="single" w:sz="12" w:space="0" w:color="FFFFFF"/>
            </w:tcBorders>
            <w:shd w:val="clear" w:color="auto" w:fill="auto"/>
            <w:vAlign w:val="bottom"/>
            <w:hideMark/>
          </w:tcPr>
          <w:p w14:paraId="7696D44E" w14:textId="78735F57" w:rsidR="006F7BDE" w:rsidRPr="0015116B" w:rsidRDefault="006F7BDE" w:rsidP="006F7BDE">
            <w:pPr>
              <w:spacing w:after="0"/>
              <w:jc w:val="center"/>
              <w:rPr>
                <w:rFonts w:eastAsia="Times New Roman" w:cs="Times New Roman"/>
                <w:b/>
                <w:bCs/>
              </w:rPr>
            </w:pPr>
            <w:r w:rsidRPr="0015116B">
              <w:rPr>
                <w:rFonts w:eastAsia="Times New Roman" w:cs="Times New Roman"/>
                <w:b/>
                <w:bCs/>
              </w:rPr>
              <w:t>B/B</w:t>
            </w:r>
            <w:r w:rsidRPr="0015116B">
              <w:rPr>
                <w:rFonts w:eastAsia="Times New Roman" w:cs="Times New Roman"/>
                <w:b/>
                <w:bCs/>
                <w:vertAlign w:val="subscript"/>
              </w:rPr>
              <w:t>MSY</w:t>
            </w:r>
          </w:p>
        </w:tc>
        <w:tc>
          <w:tcPr>
            <w:tcW w:w="1100" w:type="dxa"/>
            <w:tcBorders>
              <w:top w:val="single" w:sz="12" w:space="0" w:color="auto"/>
              <w:left w:val="nil"/>
              <w:bottom w:val="single" w:sz="12" w:space="0" w:color="auto"/>
              <w:right w:val="single" w:sz="12" w:space="0" w:color="FFFFFF"/>
            </w:tcBorders>
            <w:shd w:val="clear" w:color="auto" w:fill="auto"/>
            <w:vAlign w:val="bottom"/>
            <w:hideMark/>
          </w:tcPr>
          <w:p w14:paraId="1C53260D" w14:textId="7D1D8829" w:rsidR="006F7BDE" w:rsidRPr="0015116B" w:rsidRDefault="006F7BDE" w:rsidP="006F7BDE">
            <w:pPr>
              <w:spacing w:after="0"/>
              <w:jc w:val="center"/>
              <w:rPr>
                <w:rFonts w:eastAsia="Times New Roman" w:cs="Times New Roman"/>
                <w:b/>
              </w:rPr>
            </w:pPr>
            <w:r w:rsidRPr="0015116B">
              <w:rPr>
                <w:rFonts w:eastAsia="Times New Roman" w:cs="Times New Roman"/>
                <w:b/>
                <w:bCs/>
              </w:rPr>
              <w:t>F</w:t>
            </w:r>
            <w:r w:rsidRPr="0015116B">
              <w:rPr>
                <w:rFonts w:eastAsia="Times New Roman" w:cs="Times New Roman"/>
                <w:b/>
                <w:bCs/>
                <w:vertAlign w:val="subscript"/>
              </w:rPr>
              <w:t>OFL</w:t>
            </w:r>
          </w:p>
          <w:p w14:paraId="135BA8E6" w14:textId="6F047B14" w:rsidR="000C0DFB" w:rsidRPr="0015116B" w:rsidRDefault="000C0DFB" w:rsidP="006F7BDE">
            <w:pPr>
              <w:spacing w:after="0"/>
              <w:jc w:val="center"/>
              <w:rPr>
                <w:rFonts w:eastAsia="Times New Roman" w:cs="Times New Roman"/>
                <w:b/>
                <w:bCs/>
              </w:rPr>
            </w:pPr>
            <w:r w:rsidRPr="0015116B">
              <w:rPr>
                <w:rFonts w:eastAsia="Times New Roman" w:cs="Times New Roman"/>
                <w:b/>
              </w:rPr>
              <w:t>(yr</w:t>
            </w:r>
            <w:r w:rsidRPr="0015116B">
              <w:rPr>
                <w:rFonts w:eastAsia="Times New Roman" w:cs="Times New Roman"/>
                <w:b/>
                <w:vertAlign w:val="superscript"/>
              </w:rPr>
              <w:t>-1</w:t>
            </w:r>
            <w:r w:rsidRPr="0015116B">
              <w:rPr>
                <w:rFonts w:eastAsia="Times New Roman" w:cs="Times New Roman"/>
                <w:b/>
              </w:rPr>
              <w:t>)</w:t>
            </w:r>
          </w:p>
        </w:tc>
        <w:tc>
          <w:tcPr>
            <w:tcW w:w="1340" w:type="dxa"/>
            <w:tcBorders>
              <w:top w:val="single" w:sz="12" w:space="0" w:color="auto"/>
              <w:left w:val="nil"/>
              <w:bottom w:val="single" w:sz="12" w:space="0" w:color="auto"/>
              <w:right w:val="single" w:sz="12" w:space="0" w:color="FFFFFF"/>
            </w:tcBorders>
            <w:shd w:val="clear" w:color="auto" w:fill="auto"/>
            <w:vAlign w:val="bottom"/>
            <w:hideMark/>
          </w:tcPr>
          <w:p w14:paraId="3E6B43F7" w14:textId="70FD91E4" w:rsidR="006F7BDE" w:rsidRPr="0015116B" w:rsidRDefault="006F7BDE" w:rsidP="006F7BDE">
            <w:pPr>
              <w:spacing w:after="0"/>
              <w:jc w:val="center"/>
              <w:rPr>
                <w:rFonts w:eastAsia="Times New Roman" w:cs="Times New Roman"/>
                <w:b/>
                <w:bCs/>
              </w:rPr>
            </w:pPr>
            <w:r w:rsidRPr="0015116B">
              <w:rPr>
                <w:rFonts w:eastAsia="Times New Roman" w:cs="Times New Roman"/>
                <w:b/>
                <w:bCs/>
              </w:rPr>
              <w:t>Years to define B</w:t>
            </w:r>
            <w:r w:rsidRPr="0015116B">
              <w:rPr>
                <w:rFonts w:eastAsia="Times New Roman" w:cs="Times New Roman"/>
                <w:b/>
                <w:bCs/>
                <w:vertAlign w:val="subscript"/>
              </w:rPr>
              <w:t>MSY</w:t>
            </w:r>
          </w:p>
        </w:tc>
        <w:tc>
          <w:tcPr>
            <w:tcW w:w="1350" w:type="dxa"/>
            <w:tcBorders>
              <w:top w:val="single" w:sz="12" w:space="0" w:color="auto"/>
              <w:left w:val="nil"/>
              <w:bottom w:val="single" w:sz="12" w:space="0" w:color="auto"/>
              <w:right w:val="single" w:sz="12" w:space="0" w:color="FFFFFF"/>
            </w:tcBorders>
            <w:shd w:val="clear" w:color="auto" w:fill="auto"/>
            <w:vAlign w:val="bottom"/>
            <w:hideMark/>
          </w:tcPr>
          <w:p w14:paraId="17478FDB" w14:textId="5A54DBD3" w:rsidR="006F7BDE" w:rsidRPr="0015116B" w:rsidRDefault="006F7BDE" w:rsidP="006F7BDE">
            <w:pPr>
              <w:spacing w:after="0"/>
              <w:jc w:val="center"/>
              <w:rPr>
                <w:rFonts w:eastAsia="Times New Roman" w:cs="Times New Roman"/>
                <w:b/>
              </w:rPr>
            </w:pPr>
            <w:r w:rsidRPr="0015116B">
              <w:rPr>
                <w:rFonts w:eastAsia="Times New Roman" w:cs="Times New Roman"/>
                <w:b/>
                <w:bCs/>
              </w:rPr>
              <w:t>Natural Mortality</w:t>
            </w:r>
          </w:p>
          <w:p w14:paraId="341B2E5A" w14:textId="43231072" w:rsidR="000C0DFB" w:rsidRPr="0015116B" w:rsidRDefault="000C0DFB" w:rsidP="006F7BDE">
            <w:pPr>
              <w:spacing w:after="0"/>
              <w:jc w:val="center"/>
              <w:rPr>
                <w:rFonts w:eastAsia="Times New Roman" w:cs="Times New Roman"/>
                <w:b/>
                <w:bCs/>
              </w:rPr>
            </w:pPr>
            <w:r w:rsidRPr="0015116B">
              <w:rPr>
                <w:rFonts w:eastAsia="Times New Roman" w:cs="Times New Roman"/>
                <w:b/>
              </w:rPr>
              <w:t>(yr</w:t>
            </w:r>
            <w:r w:rsidRPr="0015116B">
              <w:rPr>
                <w:rFonts w:eastAsia="Times New Roman" w:cs="Times New Roman"/>
                <w:b/>
                <w:vertAlign w:val="superscript"/>
              </w:rPr>
              <w:t>-1</w:t>
            </w:r>
            <w:r w:rsidRPr="0015116B">
              <w:rPr>
                <w:rFonts w:eastAsia="Times New Roman" w:cs="Times New Roman"/>
                <w:b/>
              </w:rPr>
              <w:t>)</w:t>
            </w:r>
          </w:p>
        </w:tc>
      </w:tr>
      <w:tr w:rsidR="007232BF" w:rsidRPr="0015116B" w14:paraId="6240C375" w14:textId="77777777" w:rsidTr="00DC05AB">
        <w:trPr>
          <w:trHeight w:val="439"/>
        </w:trPr>
        <w:tc>
          <w:tcPr>
            <w:tcW w:w="1155" w:type="dxa"/>
            <w:tcBorders>
              <w:top w:val="nil"/>
              <w:left w:val="single" w:sz="12" w:space="0" w:color="FFFFFF"/>
              <w:bottom w:val="nil"/>
              <w:right w:val="single" w:sz="12" w:space="0" w:color="FFFFFF"/>
            </w:tcBorders>
            <w:shd w:val="clear" w:color="auto" w:fill="auto"/>
            <w:noWrap/>
            <w:vAlign w:val="center"/>
            <w:hideMark/>
          </w:tcPr>
          <w:p w14:paraId="271A4895" w14:textId="238CA31F" w:rsidR="007232BF" w:rsidRPr="0015116B" w:rsidRDefault="007232BF" w:rsidP="00DC05AB">
            <w:pPr>
              <w:spacing w:after="0"/>
              <w:jc w:val="center"/>
              <w:rPr>
                <w:rFonts w:eastAsia="Times New Roman" w:cs="Times New Roman"/>
              </w:rPr>
            </w:pPr>
            <w:r w:rsidRPr="0015116B">
              <w:t>2016/17</w:t>
            </w:r>
          </w:p>
        </w:tc>
        <w:tc>
          <w:tcPr>
            <w:tcW w:w="810" w:type="dxa"/>
            <w:tcBorders>
              <w:top w:val="nil"/>
              <w:left w:val="nil"/>
              <w:bottom w:val="nil"/>
              <w:right w:val="single" w:sz="12" w:space="0" w:color="FFFFFF"/>
            </w:tcBorders>
            <w:shd w:val="clear" w:color="auto" w:fill="auto"/>
            <w:noWrap/>
            <w:vAlign w:val="center"/>
            <w:hideMark/>
          </w:tcPr>
          <w:p w14:paraId="365F519F" w14:textId="60D879D8" w:rsidR="007232BF" w:rsidRPr="0015116B" w:rsidRDefault="007232BF" w:rsidP="00DC05AB">
            <w:pPr>
              <w:spacing w:after="0"/>
              <w:jc w:val="center"/>
              <w:rPr>
                <w:rFonts w:eastAsia="Times New Roman" w:cs="Times New Roman"/>
              </w:rPr>
            </w:pPr>
            <w:r w:rsidRPr="0015116B">
              <w:t>3a</w:t>
            </w:r>
          </w:p>
        </w:tc>
        <w:tc>
          <w:tcPr>
            <w:tcW w:w="990" w:type="dxa"/>
            <w:tcBorders>
              <w:top w:val="nil"/>
              <w:left w:val="nil"/>
              <w:bottom w:val="nil"/>
              <w:right w:val="single" w:sz="12" w:space="0" w:color="FFFFFF"/>
            </w:tcBorders>
            <w:shd w:val="clear" w:color="auto" w:fill="auto"/>
            <w:noWrap/>
            <w:vAlign w:val="center"/>
            <w:hideMark/>
          </w:tcPr>
          <w:p w14:paraId="01CB2445" w14:textId="55FC2085" w:rsidR="007232BF" w:rsidRPr="0015116B" w:rsidRDefault="007232BF" w:rsidP="00DC05AB">
            <w:pPr>
              <w:spacing w:after="0"/>
              <w:jc w:val="center"/>
              <w:rPr>
                <w:rFonts w:eastAsia="Times New Roman" w:cs="Times New Roman"/>
              </w:rPr>
            </w:pPr>
            <w:r w:rsidRPr="0015116B">
              <w:t>25.65</w:t>
            </w:r>
          </w:p>
        </w:tc>
        <w:tc>
          <w:tcPr>
            <w:tcW w:w="1240" w:type="dxa"/>
            <w:tcBorders>
              <w:top w:val="nil"/>
              <w:left w:val="nil"/>
              <w:bottom w:val="nil"/>
              <w:right w:val="single" w:sz="12" w:space="0" w:color="FFFFFF"/>
            </w:tcBorders>
            <w:shd w:val="clear" w:color="auto" w:fill="auto"/>
            <w:noWrap/>
            <w:vAlign w:val="center"/>
            <w:hideMark/>
          </w:tcPr>
          <w:p w14:paraId="693B26EF" w14:textId="5E4B69A5" w:rsidR="007232BF" w:rsidRPr="0015116B" w:rsidRDefault="007232BF" w:rsidP="00DC05AB">
            <w:pPr>
              <w:spacing w:after="0"/>
              <w:jc w:val="center"/>
              <w:rPr>
                <w:rFonts w:eastAsia="Times New Roman" w:cs="Times New Roman"/>
              </w:rPr>
            </w:pPr>
            <w:r w:rsidRPr="0015116B">
              <w:t>45.34</w:t>
            </w:r>
          </w:p>
        </w:tc>
        <w:tc>
          <w:tcPr>
            <w:tcW w:w="1360" w:type="dxa"/>
            <w:tcBorders>
              <w:top w:val="nil"/>
              <w:left w:val="nil"/>
              <w:bottom w:val="nil"/>
              <w:right w:val="single" w:sz="12" w:space="0" w:color="FFFFFF"/>
            </w:tcBorders>
            <w:shd w:val="clear" w:color="auto" w:fill="auto"/>
            <w:noWrap/>
            <w:vAlign w:val="center"/>
            <w:hideMark/>
          </w:tcPr>
          <w:p w14:paraId="1D517DB0" w14:textId="1A2F4D61" w:rsidR="007232BF" w:rsidRPr="0015116B" w:rsidRDefault="007232BF" w:rsidP="00DC05AB">
            <w:pPr>
              <w:spacing w:after="0"/>
              <w:jc w:val="center"/>
              <w:rPr>
                <w:rFonts w:eastAsia="Times New Roman" w:cs="Times New Roman"/>
              </w:rPr>
            </w:pPr>
            <w:r w:rsidRPr="0015116B">
              <w:t>1.77</w:t>
            </w:r>
          </w:p>
        </w:tc>
        <w:tc>
          <w:tcPr>
            <w:tcW w:w="1100" w:type="dxa"/>
            <w:tcBorders>
              <w:top w:val="nil"/>
              <w:left w:val="nil"/>
              <w:bottom w:val="nil"/>
              <w:right w:val="single" w:sz="12" w:space="0" w:color="FFFFFF"/>
            </w:tcBorders>
            <w:shd w:val="clear" w:color="auto" w:fill="auto"/>
            <w:noWrap/>
            <w:vAlign w:val="center"/>
            <w:hideMark/>
          </w:tcPr>
          <w:p w14:paraId="5A4F91C4" w14:textId="704FD85A" w:rsidR="007232BF" w:rsidRPr="0015116B" w:rsidRDefault="007232BF" w:rsidP="00DC05AB">
            <w:pPr>
              <w:spacing w:after="0"/>
              <w:jc w:val="center"/>
              <w:rPr>
                <w:rFonts w:eastAsia="Times New Roman" w:cs="Times New Roman"/>
              </w:rPr>
            </w:pPr>
            <w:r w:rsidRPr="0015116B">
              <w:t>0.79</w:t>
            </w:r>
          </w:p>
        </w:tc>
        <w:tc>
          <w:tcPr>
            <w:tcW w:w="1340" w:type="dxa"/>
            <w:tcBorders>
              <w:top w:val="nil"/>
              <w:left w:val="nil"/>
              <w:bottom w:val="nil"/>
              <w:right w:val="single" w:sz="12" w:space="0" w:color="FFFFFF"/>
            </w:tcBorders>
            <w:shd w:val="clear" w:color="auto" w:fill="auto"/>
            <w:noWrap/>
            <w:vAlign w:val="center"/>
            <w:hideMark/>
          </w:tcPr>
          <w:p w14:paraId="3997FB53" w14:textId="2A003D15" w:rsidR="007232BF" w:rsidRPr="0015116B" w:rsidRDefault="007232BF" w:rsidP="00DC05AB">
            <w:pPr>
              <w:spacing w:after="0"/>
              <w:jc w:val="center"/>
              <w:rPr>
                <w:rFonts w:eastAsia="Times New Roman" w:cs="Times New Roman"/>
              </w:rPr>
            </w:pPr>
            <w:r w:rsidRPr="0015116B">
              <w:t>1982-2016</w:t>
            </w:r>
          </w:p>
        </w:tc>
        <w:tc>
          <w:tcPr>
            <w:tcW w:w="1350" w:type="dxa"/>
            <w:tcBorders>
              <w:top w:val="nil"/>
              <w:left w:val="nil"/>
              <w:bottom w:val="nil"/>
              <w:right w:val="single" w:sz="12" w:space="0" w:color="FFFFFF"/>
            </w:tcBorders>
            <w:shd w:val="clear" w:color="auto" w:fill="auto"/>
            <w:noWrap/>
            <w:vAlign w:val="center"/>
            <w:hideMark/>
          </w:tcPr>
          <w:p w14:paraId="169160F1" w14:textId="75D6E53E" w:rsidR="007232BF" w:rsidRPr="0015116B" w:rsidRDefault="007232BF" w:rsidP="00DC05AB">
            <w:pPr>
              <w:spacing w:after="0"/>
              <w:jc w:val="center"/>
              <w:rPr>
                <w:rFonts w:eastAsia="Times New Roman" w:cs="Times New Roman"/>
              </w:rPr>
            </w:pPr>
            <w:r w:rsidRPr="0015116B">
              <w:t>0.23</w:t>
            </w:r>
          </w:p>
        </w:tc>
      </w:tr>
      <w:tr w:rsidR="007232BF" w:rsidRPr="0015116B" w14:paraId="081A1502" w14:textId="77777777" w:rsidTr="00DC05AB">
        <w:trPr>
          <w:trHeight w:val="439"/>
        </w:trPr>
        <w:tc>
          <w:tcPr>
            <w:tcW w:w="1155"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69974B66" w14:textId="481F8ADE" w:rsidR="007232BF" w:rsidRPr="0015116B" w:rsidRDefault="007232BF" w:rsidP="00DC05AB">
            <w:pPr>
              <w:spacing w:after="0"/>
              <w:jc w:val="center"/>
              <w:rPr>
                <w:rFonts w:eastAsia="Times New Roman" w:cs="Times New Roman"/>
              </w:rPr>
            </w:pPr>
            <w:r w:rsidRPr="0015116B">
              <w:t>2017/18</w:t>
            </w:r>
          </w:p>
        </w:tc>
        <w:tc>
          <w:tcPr>
            <w:tcW w:w="810" w:type="dxa"/>
            <w:tcBorders>
              <w:top w:val="single" w:sz="4" w:space="0" w:color="FFFFFF"/>
              <w:left w:val="nil"/>
              <w:bottom w:val="single" w:sz="4" w:space="0" w:color="FFFFFF"/>
              <w:right w:val="single" w:sz="4" w:space="0" w:color="FFFFFF"/>
            </w:tcBorders>
            <w:shd w:val="clear" w:color="auto" w:fill="auto"/>
            <w:noWrap/>
            <w:vAlign w:val="center"/>
            <w:hideMark/>
          </w:tcPr>
          <w:p w14:paraId="6C347778" w14:textId="33476997" w:rsidR="007232BF" w:rsidRPr="0015116B" w:rsidRDefault="007232BF" w:rsidP="00DC05AB">
            <w:pPr>
              <w:spacing w:after="0"/>
              <w:jc w:val="center"/>
              <w:rPr>
                <w:rFonts w:eastAsia="Times New Roman" w:cs="Times New Roman"/>
              </w:rPr>
            </w:pPr>
            <w:r w:rsidRPr="0015116B">
              <w:t>3a</w:t>
            </w:r>
          </w:p>
        </w:tc>
        <w:tc>
          <w:tcPr>
            <w:tcW w:w="990" w:type="dxa"/>
            <w:tcBorders>
              <w:top w:val="single" w:sz="4" w:space="0" w:color="FFFFFF"/>
              <w:left w:val="nil"/>
              <w:bottom w:val="single" w:sz="4" w:space="0" w:color="FFFFFF"/>
              <w:right w:val="single" w:sz="4" w:space="0" w:color="FFFFFF"/>
            </w:tcBorders>
            <w:shd w:val="clear" w:color="auto" w:fill="auto"/>
            <w:noWrap/>
            <w:vAlign w:val="center"/>
            <w:hideMark/>
          </w:tcPr>
          <w:p w14:paraId="33D83A9E" w14:textId="0E417B64" w:rsidR="007232BF" w:rsidRPr="0015116B" w:rsidRDefault="007232BF" w:rsidP="00DC05AB">
            <w:pPr>
              <w:spacing w:after="0"/>
              <w:jc w:val="center"/>
              <w:rPr>
                <w:rFonts w:eastAsia="Times New Roman" w:cs="Times New Roman"/>
              </w:rPr>
            </w:pPr>
            <w:r w:rsidRPr="0015116B">
              <w:t>29.17</w:t>
            </w:r>
          </w:p>
        </w:tc>
        <w:tc>
          <w:tcPr>
            <w:tcW w:w="1240" w:type="dxa"/>
            <w:tcBorders>
              <w:top w:val="single" w:sz="4" w:space="0" w:color="FFFFFF"/>
              <w:left w:val="nil"/>
              <w:bottom w:val="single" w:sz="4" w:space="0" w:color="FFFFFF"/>
              <w:right w:val="single" w:sz="4" w:space="0" w:color="FFFFFF"/>
            </w:tcBorders>
            <w:shd w:val="clear" w:color="auto" w:fill="auto"/>
            <w:noWrap/>
            <w:vAlign w:val="center"/>
            <w:hideMark/>
          </w:tcPr>
          <w:p w14:paraId="094D9B57" w14:textId="5EB1D367" w:rsidR="007232BF" w:rsidRPr="0015116B" w:rsidRDefault="007232BF" w:rsidP="00DC05AB">
            <w:pPr>
              <w:spacing w:after="0"/>
              <w:jc w:val="center"/>
              <w:rPr>
                <w:rFonts w:eastAsia="Times New Roman" w:cs="Times New Roman"/>
              </w:rPr>
            </w:pPr>
            <w:r w:rsidRPr="0015116B">
              <w:t>47.04</w:t>
            </w:r>
          </w:p>
        </w:tc>
        <w:tc>
          <w:tcPr>
            <w:tcW w:w="1360" w:type="dxa"/>
            <w:tcBorders>
              <w:top w:val="single" w:sz="4" w:space="0" w:color="FFFFFF"/>
              <w:left w:val="nil"/>
              <w:bottom w:val="single" w:sz="4" w:space="0" w:color="FFFFFF"/>
              <w:right w:val="single" w:sz="4" w:space="0" w:color="FFFFFF"/>
            </w:tcBorders>
            <w:shd w:val="clear" w:color="auto" w:fill="auto"/>
            <w:noWrap/>
            <w:vAlign w:val="center"/>
            <w:hideMark/>
          </w:tcPr>
          <w:p w14:paraId="014D0737" w14:textId="38F495F4" w:rsidR="007232BF" w:rsidRPr="0015116B" w:rsidRDefault="007232BF" w:rsidP="00DC05AB">
            <w:pPr>
              <w:spacing w:after="0"/>
              <w:jc w:val="center"/>
              <w:rPr>
                <w:rFonts w:eastAsia="Times New Roman" w:cs="Times New Roman"/>
              </w:rPr>
            </w:pPr>
            <w:r w:rsidRPr="0015116B">
              <w:t>1.49</w:t>
            </w:r>
          </w:p>
        </w:tc>
        <w:tc>
          <w:tcPr>
            <w:tcW w:w="1100" w:type="dxa"/>
            <w:tcBorders>
              <w:top w:val="single" w:sz="4" w:space="0" w:color="FFFFFF"/>
              <w:left w:val="nil"/>
              <w:bottom w:val="single" w:sz="4" w:space="0" w:color="FFFFFF"/>
              <w:right w:val="single" w:sz="4" w:space="0" w:color="FFFFFF"/>
            </w:tcBorders>
            <w:shd w:val="clear" w:color="auto" w:fill="auto"/>
            <w:noWrap/>
            <w:vAlign w:val="center"/>
            <w:hideMark/>
          </w:tcPr>
          <w:p w14:paraId="031A7BB6" w14:textId="481D90BE" w:rsidR="007232BF" w:rsidRPr="0015116B" w:rsidRDefault="007232BF" w:rsidP="00DC05AB">
            <w:pPr>
              <w:spacing w:after="0"/>
              <w:jc w:val="center"/>
              <w:rPr>
                <w:rFonts w:eastAsia="Times New Roman" w:cs="Times New Roman"/>
              </w:rPr>
            </w:pPr>
            <w:r w:rsidRPr="0015116B">
              <w:t>0.75</w:t>
            </w:r>
          </w:p>
        </w:tc>
        <w:tc>
          <w:tcPr>
            <w:tcW w:w="1340" w:type="dxa"/>
            <w:tcBorders>
              <w:top w:val="single" w:sz="4" w:space="0" w:color="FFFFFF"/>
              <w:left w:val="nil"/>
              <w:bottom w:val="single" w:sz="4" w:space="0" w:color="FFFFFF"/>
              <w:right w:val="single" w:sz="4" w:space="0" w:color="FFFFFF"/>
            </w:tcBorders>
            <w:shd w:val="clear" w:color="auto" w:fill="auto"/>
            <w:noWrap/>
            <w:vAlign w:val="center"/>
            <w:hideMark/>
          </w:tcPr>
          <w:p w14:paraId="2A08A779" w14:textId="7D0573E9" w:rsidR="007232BF" w:rsidRPr="0015116B" w:rsidRDefault="007232BF" w:rsidP="00DC05AB">
            <w:pPr>
              <w:spacing w:after="0"/>
              <w:jc w:val="center"/>
              <w:rPr>
                <w:rFonts w:eastAsia="Times New Roman" w:cs="Times New Roman"/>
              </w:rPr>
            </w:pPr>
            <w:r w:rsidRPr="0015116B">
              <w:t>1982-2017</w:t>
            </w:r>
          </w:p>
        </w:tc>
        <w:tc>
          <w:tcPr>
            <w:tcW w:w="1350" w:type="dxa"/>
            <w:tcBorders>
              <w:top w:val="single" w:sz="4" w:space="0" w:color="FFFFFF"/>
              <w:left w:val="nil"/>
              <w:bottom w:val="single" w:sz="4" w:space="0" w:color="FFFFFF"/>
              <w:right w:val="single" w:sz="4" w:space="0" w:color="FFFFFF"/>
            </w:tcBorders>
            <w:shd w:val="clear" w:color="auto" w:fill="auto"/>
            <w:noWrap/>
            <w:vAlign w:val="center"/>
            <w:hideMark/>
          </w:tcPr>
          <w:p w14:paraId="290D8E55" w14:textId="15FDF24E" w:rsidR="007232BF" w:rsidRPr="0015116B" w:rsidRDefault="007232BF" w:rsidP="00DC05AB">
            <w:pPr>
              <w:spacing w:after="0"/>
              <w:jc w:val="center"/>
              <w:rPr>
                <w:rFonts w:eastAsia="Times New Roman" w:cs="Times New Roman"/>
              </w:rPr>
            </w:pPr>
            <w:r w:rsidRPr="0015116B">
              <w:t>0.23</w:t>
            </w:r>
          </w:p>
        </w:tc>
      </w:tr>
      <w:tr w:rsidR="007232BF" w:rsidRPr="0015116B" w14:paraId="3EBC3E49" w14:textId="77777777" w:rsidTr="00DC05AB">
        <w:trPr>
          <w:trHeight w:val="439"/>
        </w:trPr>
        <w:tc>
          <w:tcPr>
            <w:tcW w:w="1155" w:type="dxa"/>
            <w:tcBorders>
              <w:top w:val="nil"/>
              <w:left w:val="single" w:sz="4" w:space="0" w:color="FFFFFF"/>
              <w:bottom w:val="nil"/>
              <w:right w:val="single" w:sz="4" w:space="0" w:color="FFFFFF"/>
            </w:tcBorders>
            <w:shd w:val="clear" w:color="auto" w:fill="auto"/>
            <w:noWrap/>
            <w:vAlign w:val="center"/>
            <w:hideMark/>
          </w:tcPr>
          <w:p w14:paraId="6BA49972" w14:textId="63CEE7CE" w:rsidR="007232BF" w:rsidRPr="0015116B" w:rsidRDefault="007232BF" w:rsidP="00DC05AB">
            <w:pPr>
              <w:spacing w:after="0"/>
              <w:jc w:val="center"/>
              <w:rPr>
                <w:rFonts w:eastAsia="Times New Roman" w:cs="Times New Roman"/>
              </w:rPr>
            </w:pPr>
            <w:r w:rsidRPr="0015116B">
              <w:t>2018/19</w:t>
            </w:r>
          </w:p>
        </w:tc>
        <w:tc>
          <w:tcPr>
            <w:tcW w:w="810" w:type="dxa"/>
            <w:tcBorders>
              <w:top w:val="nil"/>
              <w:left w:val="nil"/>
              <w:bottom w:val="nil"/>
              <w:right w:val="single" w:sz="4" w:space="0" w:color="FFFFFF"/>
            </w:tcBorders>
            <w:shd w:val="clear" w:color="auto" w:fill="auto"/>
            <w:noWrap/>
            <w:vAlign w:val="center"/>
            <w:hideMark/>
          </w:tcPr>
          <w:p w14:paraId="249F96F3" w14:textId="70C6B974" w:rsidR="007232BF" w:rsidRPr="0015116B" w:rsidRDefault="007232BF" w:rsidP="00DC05AB">
            <w:pPr>
              <w:spacing w:after="0"/>
              <w:jc w:val="center"/>
              <w:rPr>
                <w:rFonts w:eastAsia="Times New Roman" w:cs="Times New Roman"/>
              </w:rPr>
            </w:pPr>
            <w:r w:rsidRPr="0015116B">
              <w:t>3a</w:t>
            </w:r>
          </w:p>
        </w:tc>
        <w:tc>
          <w:tcPr>
            <w:tcW w:w="990" w:type="dxa"/>
            <w:tcBorders>
              <w:top w:val="nil"/>
              <w:left w:val="nil"/>
              <w:bottom w:val="nil"/>
              <w:right w:val="single" w:sz="4" w:space="0" w:color="FFFFFF"/>
            </w:tcBorders>
            <w:shd w:val="clear" w:color="auto" w:fill="auto"/>
            <w:noWrap/>
            <w:vAlign w:val="center"/>
            <w:hideMark/>
          </w:tcPr>
          <w:p w14:paraId="196EB322" w14:textId="3F719221" w:rsidR="007232BF" w:rsidRPr="0015116B" w:rsidRDefault="007232BF" w:rsidP="00DC05AB">
            <w:pPr>
              <w:spacing w:after="0"/>
              <w:jc w:val="center"/>
              <w:rPr>
                <w:rFonts w:eastAsia="Times New Roman" w:cs="Times New Roman"/>
              </w:rPr>
            </w:pPr>
            <w:r w:rsidRPr="0015116B">
              <w:t>21.87</w:t>
            </w:r>
          </w:p>
        </w:tc>
        <w:tc>
          <w:tcPr>
            <w:tcW w:w="1240" w:type="dxa"/>
            <w:tcBorders>
              <w:top w:val="nil"/>
              <w:left w:val="nil"/>
              <w:bottom w:val="nil"/>
              <w:right w:val="single" w:sz="4" w:space="0" w:color="FFFFFF"/>
            </w:tcBorders>
            <w:shd w:val="clear" w:color="auto" w:fill="auto"/>
            <w:noWrap/>
            <w:vAlign w:val="center"/>
            <w:hideMark/>
          </w:tcPr>
          <w:p w14:paraId="46DAE46F" w14:textId="2C2B12A5" w:rsidR="007232BF" w:rsidRPr="0015116B" w:rsidRDefault="007232BF" w:rsidP="00DC05AB">
            <w:pPr>
              <w:spacing w:after="0"/>
              <w:jc w:val="center"/>
              <w:rPr>
                <w:rFonts w:eastAsia="Times New Roman" w:cs="Times New Roman"/>
              </w:rPr>
            </w:pPr>
            <w:r w:rsidRPr="0015116B">
              <w:t>23.53</w:t>
            </w:r>
          </w:p>
        </w:tc>
        <w:tc>
          <w:tcPr>
            <w:tcW w:w="1360" w:type="dxa"/>
            <w:tcBorders>
              <w:top w:val="nil"/>
              <w:left w:val="nil"/>
              <w:bottom w:val="nil"/>
              <w:right w:val="single" w:sz="4" w:space="0" w:color="FFFFFF"/>
            </w:tcBorders>
            <w:shd w:val="clear" w:color="auto" w:fill="auto"/>
            <w:noWrap/>
            <w:vAlign w:val="center"/>
            <w:hideMark/>
          </w:tcPr>
          <w:p w14:paraId="567A624B" w14:textId="729657A6" w:rsidR="007232BF" w:rsidRPr="0015116B" w:rsidRDefault="007232BF" w:rsidP="00DC05AB">
            <w:pPr>
              <w:spacing w:after="0"/>
              <w:jc w:val="center"/>
              <w:rPr>
                <w:rFonts w:eastAsia="Times New Roman" w:cs="Times New Roman"/>
              </w:rPr>
            </w:pPr>
            <w:r w:rsidRPr="0015116B">
              <w:t>1.08</w:t>
            </w:r>
          </w:p>
        </w:tc>
        <w:tc>
          <w:tcPr>
            <w:tcW w:w="1100" w:type="dxa"/>
            <w:tcBorders>
              <w:top w:val="nil"/>
              <w:left w:val="nil"/>
              <w:bottom w:val="nil"/>
              <w:right w:val="single" w:sz="4" w:space="0" w:color="FFFFFF"/>
            </w:tcBorders>
            <w:shd w:val="clear" w:color="auto" w:fill="auto"/>
            <w:noWrap/>
            <w:vAlign w:val="center"/>
            <w:hideMark/>
          </w:tcPr>
          <w:p w14:paraId="3019CDA2" w14:textId="7559C821" w:rsidR="007232BF" w:rsidRPr="0015116B" w:rsidRDefault="007232BF" w:rsidP="00DC05AB">
            <w:pPr>
              <w:spacing w:after="0"/>
              <w:jc w:val="center"/>
              <w:rPr>
                <w:rFonts w:eastAsia="Times New Roman" w:cs="Times New Roman"/>
              </w:rPr>
            </w:pPr>
            <w:r w:rsidRPr="0015116B">
              <w:t>0.93</w:t>
            </w:r>
          </w:p>
        </w:tc>
        <w:tc>
          <w:tcPr>
            <w:tcW w:w="1340" w:type="dxa"/>
            <w:tcBorders>
              <w:top w:val="nil"/>
              <w:left w:val="nil"/>
              <w:bottom w:val="nil"/>
              <w:right w:val="single" w:sz="4" w:space="0" w:color="FFFFFF"/>
            </w:tcBorders>
            <w:shd w:val="clear" w:color="auto" w:fill="auto"/>
            <w:noWrap/>
            <w:vAlign w:val="center"/>
            <w:hideMark/>
          </w:tcPr>
          <w:p w14:paraId="68F29964" w14:textId="3A752BF8" w:rsidR="007232BF" w:rsidRPr="0015116B" w:rsidRDefault="007232BF" w:rsidP="00DC05AB">
            <w:pPr>
              <w:spacing w:after="0"/>
              <w:jc w:val="center"/>
              <w:rPr>
                <w:rFonts w:eastAsia="Times New Roman" w:cs="Times New Roman"/>
              </w:rPr>
            </w:pPr>
            <w:r w:rsidRPr="0015116B">
              <w:t>1982-2018</w:t>
            </w:r>
          </w:p>
        </w:tc>
        <w:tc>
          <w:tcPr>
            <w:tcW w:w="1350" w:type="dxa"/>
            <w:tcBorders>
              <w:top w:val="nil"/>
              <w:left w:val="nil"/>
              <w:bottom w:val="nil"/>
              <w:right w:val="single" w:sz="4" w:space="0" w:color="FFFFFF"/>
            </w:tcBorders>
            <w:shd w:val="clear" w:color="auto" w:fill="auto"/>
            <w:noWrap/>
            <w:vAlign w:val="center"/>
            <w:hideMark/>
          </w:tcPr>
          <w:p w14:paraId="3DF36D7E" w14:textId="661B0A85" w:rsidR="007232BF" w:rsidRPr="0015116B" w:rsidRDefault="007232BF" w:rsidP="00DC05AB">
            <w:pPr>
              <w:spacing w:after="0"/>
              <w:jc w:val="center"/>
              <w:rPr>
                <w:rFonts w:eastAsia="Times New Roman" w:cs="Times New Roman"/>
              </w:rPr>
            </w:pPr>
            <w:r w:rsidRPr="0015116B">
              <w:t>0.23</w:t>
            </w:r>
          </w:p>
        </w:tc>
      </w:tr>
      <w:tr w:rsidR="007232BF" w:rsidRPr="0015116B" w14:paraId="717C3DDB" w14:textId="77777777" w:rsidTr="00DC05AB">
        <w:trPr>
          <w:trHeight w:val="439"/>
        </w:trPr>
        <w:tc>
          <w:tcPr>
            <w:tcW w:w="1155" w:type="dxa"/>
            <w:tcBorders>
              <w:top w:val="single" w:sz="4" w:space="0" w:color="FFFFFF"/>
              <w:left w:val="single" w:sz="4" w:space="0" w:color="FFFFFF"/>
              <w:bottom w:val="nil"/>
              <w:right w:val="single" w:sz="4" w:space="0" w:color="FFFFFF"/>
            </w:tcBorders>
            <w:shd w:val="clear" w:color="auto" w:fill="auto"/>
            <w:noWrap/>
            <w:vAlign w:val="center"/>
            <w:hideMark/>
          </w:tcPr>
          <w:p w14:paraId="56AE433F" w14:textId="6B9BAE73" w:rsidR="007232BF" w:rsidRPr="0015116B" w:rsidRDefault="007232BF" w:rsidP="00DC05AB">
            <w:pPr>
              <w:spacing w:after="0"/>
              <w:jc w:val="center"/>
              <w:rPr>
                <w:rFonts w:eastAsia="Times New Roman" w:cs="Times New Roman"/>
              </w:rPr>
            </w:pPr>
            <w:r w:rsidRPr="0015116B">
              <w:t>2019/20</w:t>
            </w:r>
          </w:p>
        </w:tc>
        <w:tc>
          <w:tcPr>
            <w:tcW w:w="810" w:type="dxa"/>
            <w:tcBorders>
              <w:top w:val="single" w:sz="4" w:space="0" w:color="FFFFFF"/>
              <w:left w:val="nil"/>
              <w:bottom w:val="nil"/>
              <w:right w:val="single" w:sz="4" w:space="0" w:color="FFFFFF"/>
            </w:tcBorders>
            <w:shd w:val="clear" w:color="auto" w:fill="auto"/>
            <w:noWrap/>
            <w:vAlign w:val="center"/>
            <w:hideMark/>
          </w:tcPr>
          <w:p w14:paraId="7656A1B9" w14:textId="2FE6A46A" w:rsidR="007232BF" w:rsidRPr="0015116B" w:rsidRDefault="007232BF" w:rsidP="00DC05AB">
            <w:pPr>
              <w:spacing w:after="0"/>
              <w:jc w:val="center"/>
              <w:rPr>
                <w:rFonts w:eastAsia="Times New Roman" w:cs="Times New Roman"/>
              </w:rPr>
            </w:pPr>
            <w:r w:rsidRPr="0015116B">
              <w:t>3b</w:t>
            </w:r>
          </w:p>
        </w:tc>
        <w:tc>
          <w:tcPr>
            <w:tcW w:w="990" w:type="dxa"/>
            <w:tcBorders>
              <w:top w:val="single" w:sz="4" w:space="0" w:color="FFFFFF"/>
              <w:left w:val="nil"/>
              <w:bottom w:val="nil"/>
              <w:right w:val="single" w:sz="4" w:space="0" w:color="FFFFFF"/>
            </w:tcBorders>
            <w:shd w:val="clear" w:color="auto" w:fill="auto"/>
            <w:noWrap/>
            <w:vAlign w:val="center"/>
            <w:hideMark/>
          </w:tcPr>
          <w:p w14:paraId="74872E3D" w14:textId="73C9041A" w:rsidR="007232BF" w:rsidRPr="0015116B" w:rsidRDefault="007232BF" w:rsidP="00DC05AB">
            <w:pPr>
              <w:spacing w:after="0"/>
              <w:jc w:val="center"/>
              <w:rPr>
                <w:rFonts w:eastAsia="Times New Roman" w:cs="Times New Roman"/>
              </w:rPr>
            </w:pPr>
            <w:r w:rsidRPr="0015116B">
              <w:rPr>
                <w:color w:val="000000"/>
              </w:rPr>
              <w:t>41.07</w:t>
            </w:r>
          </w:p>
        </w:tc>
        <w:tc>
          <w:tcPr>
            <w:tcW w:w="1240" w:type="dxa"/>
            <w:tcBorders>
              <w:top w:val="single" w:sz="4" w:space="0" w:color="FFFFFF"/>
              <w:left w:val="nil"/>
              <w:bottom w:val="nil"/>
              <w:right w:val="single" w:sz="4" w:space="0" w:color="FFFFFF"/>
            </w:tcBorders>
            <w:shd w:val="clear" w:color="auto" w:fill="auto"/>
            <w:noWrap/>
            <w:vAlign w:val="center"/>
            <w:hideMark/>
          </w:tcPr>
          <w:p w14:paraId="0105DA11" w14:textId="3CDE8032" w:rsidR="007232BF" w:rsidRPr="0015116B" w:rsidRDefault="007232BF" w:rsidP="00DC05AB">
            <w:pPr>
              <w:spacing w:after="0"/>
              <w:jc w:val="center"/>
              <w:rPr>
                <w:rFonts w:eastAsia="Times New Roman" w:cs="Times New Roman"/>
              </w:rPr>
            </w:pPr>
            <w:r w:rsidRPr="0015116B">
              <w:rPr>
                <w:color w:val="000000"/>
              </w:rPr>
              <w:t>39.55</w:t>
            </w:r>
          </w:p>
        </w:tc>
        <w:tc>
          <w:tcPr>
            <w:tcW w:w="1360" w:type="dxa"/>
            <w:tcBorders>
              <w:top w:val="single" w:sz="4" w:space="0" w:color="FFFFFF"/>
              <w:left w:val="nil"/>
              <w:bottom w:val="nil"/>
              <w:right w:val="single" w:sz="4" w:space="0" w:color="FFFFFF"/>
            </w:tcBorders>
            <w:shd w:val="clear" w:color="auto" w:fill="auto"/>
            <w:noWrap/>
            <w:vAlign w:val="center"/>
            <w:hideMark/>
          </w:tcPr>
          <w:p w14:paraId="588B740C" w14:textId="0554AB4F" w:rsidR="007232BF" w:rsidRPr="0015116B" w:rsidRDefault="007232BF" w:rsidP="00DC05AB">
            <w:pPr>
              <w:spacing w:after="0"/>
              <w:jc w:val="center"/>
              <w:rPr>
                <w:rFonts w:eastAsia="Times New Roman" w:cs="Times New Roman"/>
              </w:rPr>
            </w:pPr>
            <w:r w:rsidRPr="0015116B">
              <w:rPr>
                <w:color w:val="000000"/>
              </w:rPr>
              <w:t>0.96</w:t>
            </w:r>
          </w:p>
        </w:tc>
        <w:tc>
          <w:tcPr>
            <w:tcW w:w="1100" w:type="dxa"/>
            <w:tcBorders>
              <w:top w:val="single" w:sz="4" w:space="0" w:color="FFFFFF"/>
              <w:left w:val="nil"/>
              <w:bottom w:val="nil"/>
              <w:right w:val="single" w:sz="4" w:space="0" w:color="FFFFFF"/>
            </w:tcBorders>
            <w:shd w:val="clear" w:color="auto" w:fill="auto"/>
            <w:noWrap/>
            <w:vAlign w:val="center"/>
            <w:hideMark/>
          </w:tcPr>
          <w:p w14:paraId="78EFE133" w14:textId="5FE7E15C" w:rsidR="007232BF" w:rsidRPr="0015116B" w:rsidRDefault="007232BF" w:rsidP="00DC05AB">
            <w:pPr>
              <w:spacing w:after="0"/>
              <w:jc w:val="center"/>
              <w:rPr>
                <w:rFonts w:eastAsia="Times New Roman" w:cs="Times New Roman"/>
              </w:rPr>
            </w:pPr>
            <w:r w:rsidRPr="0015116B">
              <w:rPr>
                <w:color w:val="000000"/>
              </w:rPr>
              <w:t>1.08</w:t>
            </w:r>
          </w:p>
        </w:tc>
        <w:tc>
          <w:tcPr>
            <w:tcW w:w="1340" w:type="dxa"/>
            <w:tcBorders>
              <w:top w:val="single" w:sz="4" w:space="0" w:color="FFFFFF"/>
              <w:left w:val="nil"/>
              <w:bottom w:val="nil"/>
              <w:right w:val="single" w:sz="4" w:space="0" w:color="FFFFFF"/>
            </w:tcBorders>
            <w:shd w:val="clear" w:color="auto" w:fill="auto"/>
            <w:noWrap/>
            <w:vAlign w:val="center"/>
            <w:hideMark/>
          </w:tcPr>
          <w:p w14:paraId="259F5BF6" w14:textId="48EE504D" w:rsidR="007232BF" w:rsidRPr="0015116B" w:rsidRDefault="007232BF" w:rsidP="00DC05AB">
            <w:pPr>
              <w:spacing w:after="0"/>
              <w:jc w:val="center"/>
              <w:rPr>
                <w:rFonts w:eastAsia="Times New Roman" w:cs="Times New Roman"/>
              </w:rPr>
            </w:pPr>
            <w:r w:rsidRPr="0015116B">
              <w:rPr>
                <w:color w:val="000000"/>
              </w:rPr>
              <w:t>1982-2019</w:t>
            </w:r>
          </w:p>
        </w:tc>
        <w:tc>
          <w:tcPr>
            <w:tcW w:w="1350" w:type="dxa"/>
            <w:tcBorders>
              <w:top w:val="single" w:sz="4" w:space="0" w:color="FFFFFF"/>
              <w:left w:val="nil"/>
              <w:bottom w:val="nil"/>
              <w:right w:val="single" w:sz="4" w:space="0" w:color="FFFFFF"/>
            </w:tcBorders>
            <w:shd w:val="clear" w:color="auto" w:fill="auto"/>
            <w:noWrap/>
            <w:vAlign w:val="center"/>
            <w:hideMark/>
          </w:tcPr>
          <w:p w14:paraId="6D97BEB6" w14:textId="740F5971" w:rsidR="007232BF" w:rsidRPr="0015116B" w:rsidRDefault="007232BF" w:rsidP="00DC05AB">
            <w:pPr>
              <w:spacing w:after="0"/>
              <w:jc w:val="center"/>
              <w:rPr>
                <w:rFonts w:eastAsia="Times New Roman" w:cs="Times New Roman"/>
              </w:rPr>
            </w:pPr>
            <w:r w:rsidRPr="0015116B">
              <w:t>0.23</w:t>
            </w:r>
          </w:p>
        </w:tc>
      </w:tr>
      <w:tr w:rsidR="00DC05AB" w:rsidRPr="0015116B" w14:paraId="1F3A998F" w14:textId="77777777" w:rsidTr="00DC05AB">
        <w:trPr>
          <w:trHeight w:val="439"/>
        </w:trPr>
        <w:tc>
          <w:tcPr>
            <w:tcW w:w="1155" w:type="dxa"/>
            <w:tcBorders>
              <w:top w:val="single" w:sz="4" w:space="0" w:color="FFFFFF"/>
              <w:left w:val="single" w:sz="4" w:space="0" w:color="FFFFFF"/>
              <w:bottom w:val="single" w:sz="12" w:space="0" w:color="auto"/>
              <w:right w:val="single" w:sz="4" w:space="0" w:color="FFFFFF"/>
            </w:tcBorders>
            <w:shd w:val="clear" w:color="auto" w:fill="auto"/>
            <w:noWrap/>
            <w:vAlign w:val="center"/>
            <w:hideMark/>
          </w:tcPr>
          <w:p w14:paraId="465DF092" w14:textId="650A54B0" w:rsidR="00DC05AB" w:rsidRPr="0015116B" w:rsidRDefault="00DC05AB" w:rsidP="00DC05AB">
            <w:pPr>
              <w:spacing w:after="0"/>
              <w:jc w:val="center"/>
              <w:rPr>
                <w:rFonts w:eastAsia="Times New Roman" w:cs="Times New Roman"/>
              </w:rPr>
            </w:pPr>
            <w:r w:rsidRPr="0015116B">
              <w:rPr>
                <w:color w:val="000000"/>
              </w:rPr>
              <w:t>2020/21</w:t>
            </w:r>
          </w:p>
        </w:tc>
        <w:tc>
          <w:tcPr>
            <w:tcW w:w="810" w:type="dxa"/>
            <w:tcBorders>
              <w:top w:val="single" w:sz="4" w:space="0" w:color="FFFFFF"/>
              <w:left w:val="nil"/>
              <w:bottom w:val="single" w:sz="12" w:space="0" w:color="auto"/>
              <w:right w:val="single" w:sz="4" w:space="0" w:color="FFFFFF"/>
            </w:tcBorders>
            <w:shd w:val="clear" w:color="auto" w:fill="auto"/>
            <w:noWrap/>
            <w:vAlign w:val="center"/>
            <w:hideMark/>
          </w:tcPr>
          <w:p w14:paraId="1CE2EE2D" w14:textId="71ABEBA7" w:rsidR="00DC05AB" w:rsidRPr="0015116B" w:rsidRDefault="00DC05AB" w:rsidP="00DC05AB">
            <w:pPr>
              <w:spacing w:after="0"/>
              <w:jc w:val="center"/>
              <w:rPr>
                <w:rFonts w:eastAsia="Times New Roman" w:cs="Times New Roman"/>
              </w:rPr>
            </w:pPr>
            <w:r w:rsidRPr="0015116B">
              <w:rPr>
                <w:color w:val="000000"/>
              </w:rPr>
              <w:t>3b</w:t>
            </w:r>
          </w:p>
        </w:tc>
        <w:tc>
          <w:tcPr>
            <w:tcW w:w="990" w:type="dxa"/>
            <w:tcBorders>
              <w:top w:val="single" w:sz="4" w:space="0" w:color="FFFFFF"/>
              <w:left w:val="nil"/>
              <w:bottom w:val="single" w:sz="12" w:space="0" w:color="auto"/>
              <w:right w:val="single" w:sz="4" w:space="0" w:color="FFFFFF"/>
            </w:tcBorders>
            <w:shd w:val="clear" w:color="auto" w:fill="auto"/>
            <w:noWrap/>
            <w:vAlign w:val="center"/>
            <w:hideMark/>
          </w:tcPr>
          <w:p w14:paraId="48D805B8" w14:textId="1CDE9F09" w:rsidR="00DC05AB" w:rsidRPr="0015116B" w:rsidRDefault="00DC05AB" w:rsidP="00DC05AB">
            <w:pPr>
              <w:spacing w:after="0"/>
              <w:jc w:val="center"/>
              <w:rPr>
                <w:rFonts w:eastAsia="Times New Roman" w:cs="Times New Roman"/>
              </w:rPr>
            </w:pPr>
            <w:r w:rsidRPr="0015116B">
              <w:rPr>
                <w:color w:val="000000"/>
              </w:rPr>
              <w:t>36.62</w:t>
            </w:r>
          </w:p>
        </w:tc>
        <w:tc>
          <w:tcPr>
            <w:tcW w:w="1240" w:type="dxa"/>
            <w:tcBorders>
              <w:top w:val="single" w:sz="4" w:space="0" w:color="FFFFFF"/>
              <w:left w:val="nil"/>
              <w:bottom w:val="single" w:sz="12" w:space="0" w:color="auto"/>
              <w:right w:val="single" w:sz="4" w:space="0" w:color="FFFFFF"/>
            </w:tcBorders>
            <w:shd w:val="clear" w:color="auto" w:fill="auto"/>
            <w:noWrap/>
            <w:vAlign w:val="center"/>
            <w:hideMark/>
          </w:tcPr>
          <w:p w14:paraId="226047BA" w14:textId="2FE879A4" w:rsidR="00DC05AB" w:rsidRPr="0015116B" w:rsidRDefault="00DC05AB" w:rsidP="00DC05AB">
            <w:pPr>
              <w:spacing w:after="0"/>
              <w:jc w:val="center"/>
              <w:rPr>
                <w:rFonts w:eastAsia="Times New Roman" w:cs="Times New Roman"/>
              </w:rPr>
            </w:pPr>
            <w:r w:rsidRPr="0015116B">
              <w:rPr>
                <w:color w:val="000000"/>
              </w:rPr>
              <w:t>35.31</w:t>
            </w:r>
          </w:p>
        </w:tc>
        <w:tc>
          <w:tcPr>
            <w:tcW w:w="1360" w:type="dxa"/>
            <w:tcBorders>
              <w:top w:val="single" w:sz="4" w:space="0" w:color="FFFFFF"/>
              <w:left w:val="nil"/>
              <w:bottom w:val="single" w:sz="12" w:space="0" w:color="auto"/>
              <w:right w:val="single" w:sz="4" w:space="0" w:color="FFFFFF"/>
            </w:tcBorders>
            <w:shd w:val="clear" w:color="auto" w:fill="auto"/>
            <w:noWrap/>
            <w:vAlign w:val="center"/>
            <w:hideMark/>
          </w:tcPr>
          <w:p w14:paraId="62AC62EA" w14:textId="0A5544D7" w:rsidR="00DC05AB" w:rsidRPr="0015116B" w:rsidRDefault="00DC05AB" w:rsidP="00DC05AB">
            <w:pPr>
              <w:spacing w:after="0"/>
              <w:jc w:val="center"/>
              <w:rPr>
                <w:rFonts w:eastAsia="Times New Roman" w:cs="Times New Roman"/>
              </w:rPr>
            </w:pPr>
            <w:r w:rsidRPr="0015116B">
              <w:rPr>
                <w:color w:val="000000"/>
              </w:rPr>
              <w:t>0.96</w:t>
            </w:r>
          </w:p>
        </w:tc>
        <w:tc>
          <w:tcPr>
            <w:tcW w:w="1100" w:type="dxa"/>
            <w:tcBorders>
              <w:top w:val="single" w:sz="4" w:space="0" w:color="FFFFFF"/>
              <w:left w:val="nil"/>
              <w:bottom w:val="single" w:sz="12" w:space="0" w:color="auto"/>
              <w:right w:val="single" w:sz="4" w:space="0" w:color="FFFFFF"/>
            </w:tcBorders>
            <w:shd w:val="clear" w:color="auto" w:fill="auto"/>
            <w:noWrap/>
            <w:vAlign w:val="center"/>
            <w:hideMark/>
          </w:tcPr>
          <w:p w14:paraId="0A5B9BA1" w14:textId="747F4623" w:rsidR="00DC05AB" w:rsidRPr="0015116B" w:rsidRDefault="00DC05AB" w:rsidP="00DC05AB">
            <w:pPr>
              <w:spacing w:after="0"/>
              <w:jc w:val="center"/>
              <w:rPr>
                <w:rFonts w:eastAsia="Times New Roman" w:cs="Times New Roman"/>
              </w:rPr>
            </w:pPr>
            <w:r w:rsidRPr="0015116B">
              <w:rPr>
                <w:color w:val="000000"/>
              </w:rPr>
              <w:t>0.93</w:t>
            </w:r>
          </w:p>
        </w:tc>
        <w:tc>
          <w:tcPr>
            <w:tcW w:w="1340" w:type="dxa"/>
            <w:tcBorders>
              <w:top w:val="single" w:sz="4" w:space="0" w:color="FFFFFF"/>
              <w:left w:val="nil"/>
              <w:bottom w:val="single" w:sz="12" w:space="0" w:color="auto"/>
              <w:right w:val="single" w:sz="4" w:space="0" w:color="FFFFFF"/>
            </w:tcBorders>
            <w:shd w:val="clear" w:color="auto" w:fill="auto"/>
            <w:noWrap/>
            <w:vAlign w:val="center"/>
            <w:hideMark/>
          </w:tcPr>
          <w:p w14:paraId="776E2330" w14:textId="4FC5B7ED" w:rsidR="00DC05AB" w:rsidRPr="0015116B" w:rsidRDefault="00DC05AB" w:rsidP="00DC05AB">
            <w:pPr>
              <w:spacing w:after="0"/>
              <w:jc w:val="center"/>
              <w:rPr>
                <w:rFonts w:eastAsia="Times New Roman" w:cs="Times New Roman"/>
              </w:rPr>
            </w:pPr>
            <w:r w:rsidRPr="0015116B">
              <w:rPr>
                <w:color w:val="000000"/>
              </w:rPr>
              <w:t>1982-2019</w:t>
            </w:r>
          </w:p>
        </w:tc>
        <w:tc>
          <w:tcPr>
            <w:tcW w:w="1350" w:type="dxa"/>
            <w:tcBorders>
              <w:top w:val="single" w:sz="4" w:space="0" w:color="FFFFFF"/>
              <w:left w:val="nil"/>
              <w:bottom w:val="single" w:sz="12" w:space="0" w:color="auto"/>
              <w:right w:val="single" w:sz="4" w:space="0" w:color="FFFFFF"/>
            </w:tcBorders>
            <w:shd w:val="clear" w:color="auto" w:fill="auto"/>
            <w:noWrap/>
            <w:vAlign w:val="center"/>
            <w:hideMark/>
          </w:tcPr>
          <w:p w14:paraId="5748CF03" w14:textId="4E2192C3" w:rsidR="00DC05AB" w:rsidRPr="0015116B" w:rsidRDefault="00DC05AB" w:rsidP="00DC05AB">
            <w:pPr>
              <w:spacing w:after="0"/>
              <w:jc w:val="center"/>
              <w:rPr>
                <w:rFonts w:eastAsia="Times New Roman" w:cs="Times New Roman"/>
              </w:rPr>
            </w:pPr>
            <w:r w:rsidRPr="0015116B">
              <w:rPr>
                <w:color w:val="000000"/>
              </w:rPr>
              <w:t>0.23</w:t>
            </w:r>
          </w:p>
        </w:tc>
      </w:tr>
    </w:tbl>
    <w:p w14:paraId="598E0115" w14:textId="13CD0FA3" w:rsidR="006F7BDE" w:rsidRPr="0015116B" w:rsidRDefault="006F7BDE" w:rsidP="004C1898">
      <w:pPr>
        <w:pStyle w:val="SummaryTableCaption"/>
      </w:pPr>
      <w:r w:rsidRPr="0015116B">
        <w:t>b) in millions lbs.</w:t>
      </w:r>
    </w:p>
    <w:tbl>
      <w:tblPr>
        <w:tblW w:w="9345" w:type="dxa"/>
        <w:tblInd w:w="123" w:type="dxa"/>
        <w:tblLook w:val="04A0" w:firstRow="1" w:lastRow="0" w:firstColumn="1" w:lastColumn="0" w:noHBand="0" w:noVBand="1"/>
      </w:tblPr>
      <w:tblGrid>
        <w:gridCol w:w="1155"/>
        <w:gridCol w:w="900"/>
        <w:gridCol w:w="900"/>
        <w:gridCol w:w="1240"/>
        <w:gridCol w:w="1360"/>
        <w:gridCol w:w="1100"/>
        <w:gridCol w:w="1340"/>
        <w:gridCol w:w="1350"/>
      </w:tblGrid>
      <w:tr w:rsidR="006F7BDE" w:rsidRPr="0015116B" w14:paraId="16243EC7" w14:textId="77777777" w:rsidTr="00415152">
        <w:trPr>
          <w:trHeight w:val="780"/>
        </w:trPr>
        <w:tc>
          <w:tcPr>
            <w:tcW w:w="1155" w:type="dxa"/>
            <w:tcBorders>
              <w:top w:val="single" w:sz="12" w:space="0" w:color="auto"/>
              <w:left w:val="single" w:sz="12" w:space="0" w:color="FFFFFF"/>
              <w:bottom w:val="single" w:sz="12" w:space="0" w:color="auto"/>
              <w:right w:val="single" w:sz="12" w:space="0" w:color="FFFFFF"/>
            </w:tcBorders>
            <w:shd w:val="clear" w:color="auto" w:fill="auto"/>
            <w:vAlign w:val="bottom"/>
            <w:hideMark/>
          </w:tcPr>
          <w:p w14:paraId="322CCF9D" w14:textId="77777777" w:rsidR="006F7BDE" w:rsidRPr="0015116B" w:rsidRDefault="006F7BDE" w:rsidP="006F7BDE">
            <w:pPr>
              <w:spacing w:after="0"/>
              <w:jc w:val="center"/>
              <w:rPr>
                <w:rFonts w:eastAsia="Times New Roman" w:cs="Times New Roman"/>
                <w:b/>
                <w:bCs/>
              </w:rPr>
            </w:pPr>
            <w:r w:rsidRPr="0015116B">
              <w:rPr>
                <w:rFonts w:eastAsia="Times New Roman" w:cs="Times New Roman"/>
                <w:b/>
                <w:bCs/>
              </w:rPr>
              <w:t>Year</w:t>
            </w:r>
          </w:p>
        </w:tc>
        <w:tc>
          <w:tcPr>
            <w:tcW w:w="900" w:type="dxa"/>
            <w:tcBorders>
              <w:top w:val="single" w:sz="12" w:space="0" w:color="auto"/>
              <w:left w:val="nil"/>
              <w:bottom w:val="single" w:sz="12" w:space="0" w:color="auto"/>
              <w:right w:val="single" w:sz="12" w:space="0" w:color="FFFFFF"/>
            </w:tcBorders>
            <w:shd w:val="clear" w:color="auto" w:fill="auto"/>
            <w:vAlign w:val="bottom"/>
            <w:hideMark/>
          </w:tcPr>
          <w:p w14:paraId="7C257E71" w14:textId="53238DE5" w:rsidR="006F7BDE" w:rsidRPr="0015116B" w:rsidRDefault="006F7BDE" w:rsidP="006F7BDE">
            <w:pPr>
              <w:spacing w:after="0"/>
              <w:jc w:val="center"/>
              <w:rPr>
                <w:rFonts w:eastAsia="Times New Roman" w:cs="Times New Roman"/>
                <w:b/>
                <w:bCs/>
              </w:rPr>
            </w:pPr>
            <w:r w:rsidRPr="0015116B">
              <w:rPr>
                <w:rFonts w:eastAsia="Times New Roman" w:cs="Times New Roman"/>
                <w:b/>
                <w:bCs/>
              </w:rPr>
              <w:t>Tier</w:t>
            </w:r>
          </w:p>
        </w:tc>
        <w:tc>
          <w:tcPr>
            <w:tcW w:w="900" w:type="dxa"/>
            <w:tcBorders>
              <w:top w:val="single" w:sz="12" w:space="0" w:color="auto"/>
              <w:left w:val="nil"/>
              <w:bottom w:val="single" w:sz="12" w:space="0" w:color="auto"/>
              <w:right w:val="single" w:sz="12" w:space="0" w:color="FFFFFF"/>
            </w:tcBorders>
            <w:shd w:val="clear" w:color="auto" w:fill="auto"/>
            <w:vAlign w:val="bottom"/>
            <w:hideMark/>
          </w:tcPr>
          <w:p w14:paraId="4570AF09" w14:textId="4630986B" w:rsidR="006F7BDE" w:rsidRPr="0015116B" w:rsidRDefault="006F7BDE" w:rsidP="006F7BDE">
            <w:pPr>
              <w:spacing w:after="0"/>
              <w:jc w:val="center"/>
              <w:rPr>
                <w:rFonts w:eastAsia="Times New Roman" w:cs="Times New Roman"/>
                <w:b/>
                <w:bCs/>
              </w:rPr>
            </w:pPr>
            <w:r w:rsidRPr="0015116B">
              <w:rPr>
                <w:rFonts w:eastAsia="Times New Roman" w:cs="Times New Roman"/>
                <w:b/>
                <w:bCs/>
              </w:rPr>
              <w:t>B</w:t>
            </w:r>
            <w:r w:rsidRPr="0015116B">
              <w:rPr>
                <w:rFonts w:eastAsia="Times New Roman" w:cs="Times New Roman"/>
                <w:b/>
                <w:bCs/>
                <w:vertAlign w:val="subscript"/>
              </w:rPr>
              <w:t>MSY</w:t>
            </w:r>
          </w:p>
        </w:tc>
        <w:tc>
          <w:tcPr>
            <w:tcW w:w="1240" w:type="dxa"/>
            <w:tcBorders>
              <w:top w:val="single" w:sz="12" w:space="0" w:color="auto"/>
              <w:left w:val="nil"/>
              <w:bottom w:val="single" w:sz="12" w:space="0" w:color="auto"/>
              <w:right w:val="single" w:sz="12" w:space="0" w:color="FFFFFF"/>
            </w:tcBorders>
            <w:shd w:val="clear" w:color="auto" w:fill="auto"/>
            <w:vAlign w:val="bottom"/>
            <w:hideMark/>
          </w:tcPr>
          <w:p w14:paraId="0EF7BB06" w14:textId="5154195C" w:rsidR="006F7BDE" w:rsidRPr="0015116B" w:rsidRDefault="006F7BDE" w:rsidP="006F7BDE">
            <w:pPr>
              <w:spacing w:after="0"/>
              <w:jc w:val="center"/>
              <w:rPr>
                <w:rFonts w:eastAsia="Times New Roman" w:cs="Times New Roman"/>
                <w:b/>
                <w:bCs/>
              </w:rPr>
            </w:pPr>
            <w:r w:rsidRPr="0015116B">
              <w:rPr>
                <w:rFonts w:eastAsia="Times New Roman" w:cs="Times New Roman"/>
                <w:b/>
                <w:bCs/>
              </w:rPr>
              <w:t>Current MMB</w:t>
            </w:r>
          </w:p>
        </w:tc>
        <w:tc>
          <w:tcPr>
            <w:tcW w:w="1360" w:type="dxa"/>
            <w:tcBorders>
              <w:top w:val="single" w:sz="12" w:space="0" w:color="auto"/>
              <w:left w:val="nil"/>
              <w:bottom w:val="single" w:sz="12" w:space="0" w:color="auto"/>
              <w:right w:val="single" w:sz="12" w:space="0" w:color="FFFFFF"/>
            </w:tcBorders>
            <w:shd w:val="clear" w:color="auto" w:fill="auto"/>
            <w:vAlign w:val="bottom"/>
            <w:hideMark/>
          </w:tcPr>
          <w:p w14:paraId="50CE84FC" w14:textId="225DCC1E" w:rsidR="006F7BDE" w:rsidRPr="0015116B" w:rsidRDefault="006F7BDE" w:rsidP="006F7BDE">
            <w:pPr>
              <w:spacing w:after="0"/>
              <w:jc w:val="center"/>
              <w:rPr>
                <w:rFonts w:eastAsia="Times New Roman" w:cs="Times New Roman"/>
                <w:b/>
                <w:bCs/>
              </w:rPr>
            </w:pPr>
            <w:r w:rsidRPr="0015116B">
              <w:rPr>
                <w:rFonts w:eastAsia="Times New Roman" w:cs="Times New Roman"/>
                <w:b/>
                <w:bCs/>
              </w:rPr>
              <w:t>B/B</w:t>
            </w:r>
            <w:r w:rsidRPr="0015116B">
              <w:rPr>
                <w:rFonts w:eastAsia="Times New Roman" w:cs="Times New Roman"/>
                <w:b/>
                <w:bCs/>
                <w:vertAlign w:val="subscript"/>
              </w:rPr>
              <w:t>MSY</w:t>
            </w:r>
          </w:p>
        </w:tc>
        <w:tc>
          <w:tcPr>
            <w:tcW w:w="1100" w:type="dxa"/>
            <w:tcBorders>
              <w:top w:val="single" w:sz="12" w:space="0" w:color="auto"/>
              <w:left w:val="nil"/>
              <w:bottom w:val="single" w:sz="12" w:space="0" w:color="auto"/>
              <w:right w:val="single" w:sz="12" w:space="0" w:color="FFFFFF"/>
            </w:tcBorders>
            <w:shd w:val="clear" w:color="auto" w:fill="auto"/>
            <w:vAlign w:val="bottom"/>
            <w:hideMark/>
          </w:tcPr>
          <w:p w14:paraId="25D1DDBC" w14:textId="036C71BF" w:rsidR="006F7BDE" w:rsidRPr="0015116B" w:rsidRDefault="006F7BDE" w:rsidP="006F7BDE">
            <w:pPr>
              <w:spacing w:after="0"/>
              <w:jc w:val="center"/>
              <w:rPr>
                <w:rFonts w:eastAsia="Times New Roman" w:cs="Times New Roman"/>
                <w:b/>
              </w:rPr>
            </w:pPr>
            <w:r w:rsidRPr="0015116B">
              <w:rPr>
                <w:rFonts w:eastAsia="Times New Roman" w:cs="Times New Roman"/>
                <w:b/>
                <w:bCs/>
              </w:rPr>
              <w:t>F</w:t>
            </w:r>
            <w:r w:rsidRPr="0015116B">
              <w:rPr>
                <w:rFonts w:eastAsia="Times New Roman" w:cs="Times New Roman"/>
                <w:b/>
                <w:bCs/>
                <w:vertAlign w:val="subscript"/>
              </w:rPr>
              <w:t>OFL</w:t>
            </w:r>
          </w:p>
          <w:p w14:paraId="1DD08D0B" w14:textId="7EB3E940" w:rsidR="000C0DFB" w:rsidRPr="0015116B" w:rsidRDefault="000C0DFB" w:rsidP="006F7BDE">
            <w:pPr>
              <w:spacing w:after="0"/>
              <w:jc w:val="center"/>
              <w:rPr>
                <w:rFonts w:eastAsia="Times New Roman" w:cs="Times New Roman"/>
                <w:b/>
                <w:bCs/>
              </w:rPr>
            </w:pPr>
            <w:r w:rsidRPr="0015116B">
              <w:rPr>
                <w:rFonts w:eastAsia="Times New Roman" w:cs="Times New Roman"/>
                <w:b/>
              </w:rPr>
              <w:t>(yr</w:t>
            </w:r>
            <w:r w:rsidRPr="0015116B">
              <w:rPr>
                <w:rFonts w:eastAsia="Times New Roman" w:cs="Times New Roman"/>
                <w:b/>
                <w:vertAlign w:val="superscript"/>
              </w:rPr>
              <w:t>-1</w:t>
            </w:r>
            <w:r w:rsidRPr="0015116B">
              <w:rPr>
                <w:rFonts w:eastAsia="Times New Roman" w:cs="Times New Roman"/>
                <w:b/>
              </w:rPr>
              <w:t>)</w:t>
            </w:r>
          </w:p>
        </w:tc>
        <w:tc>
          <w:tcPr>
            <w:tcW w:w="1340" w:type="dxa"/>
            <w:tcBorders>
              <w:top w:val="single" w:sz="12" w:space="0" w:color="auto"/>
              <w:left w:val="nil"/>
              <w:bottom w:val="single" w:sz="12" w:space="0" w:color="auto"/>
              <w:right w:val="single" w:sz="12" w:space="0" w:color="FFFFFF"/>
            </w:tcBorders>
            <w:shd w:val="clear" w:color="auto" w:fill="auto"/>
            <w:vAlign w:val="bottom"/>
            <w:hideMark/>
          </w:tcPr>
          <w:p w14:paraId="64BF9C23" w14:textId="72544D81" w:rsidR="006F7BDE" w:rsidRPr="0015116B" w:rsidRDefault="006F7BDE" w:rsidP="006F7BDE">
            <w:pPr>
              <w:spacing w:after="0"/>
              <w:jc w:val="center"/>
              <w:rPr>
                <w:rFonts w:eastAsia="Times New Roman" w:cs="Times New Roman"/>
                <w:b/>
                <w:bCs/>
              </w:rPr>
            </w:pPr>
            <w:r w:rsidRPr="0015116B">
              <w:rPr>
                <w:rFonts w:eastAsia="Times New Roman" w:cs="Times New Roman"/>
                <w:b/>
                <w:bCs/>
              </w:rPr>
              <w:t>Years to define B</w:t>
            </w:r>
            <w:r w:rsidRPr="0015116B">
              <w:rPr>
                <w:rFonts w:eastAsia="Times New Roman" w:cs="Times New Roman"/>
                <w:b/>
                <w:bCs/>
                <w:vertAlign w:val="subscript"/>
              </w:rPr>
              <w:t>MSY</w:t>
            </w:r>
          </w:p>
        </w:tc>
        <w:tc>
          <w:tcPr>
            <w:tcW w:w="1350" w:type="dxa"/>
            <w:tcBorders>
              <w:top w:val="single" w:sz="12" w:space="0" w:color="auto"/>
              <w:left w:val="nil"/>
              <w:bottom w:val="single" w:sz="12" w:space="0" w:color="auto"/>
              <w:right w:val="single" w:sz="12" w:space="0" w:color="FFFFFF"/>
            </w:tcBorders>
            <w:shd w:val="clear" w:color="auto" w:fill="auto"/>
            <w:vAlign w:val="bottom"/>
            <w:hideMark/>
          </w:tcPr>
          <w:p w14:paraId="732DFEDA" w14:textId="33D8E11C" w:rsidR="006F7BDE" w:rsidRPr="0015116B" w:rsidRDefault="006F7BDE" w:rsidP="006F7BDE">
            <w:pPr>
              <w:spacing w:after="0"/>
              <w:jc w:val="center"/>
              <w:rPr>
                <w:rFonts w:eastAsia="Times New Roman" w:cs="Times New Roman"/>
                <w:b/>
              </w:rPr>
            </w:pPr>
            <w:r w:rsidRPr="0015116B">
              <w:rPr>
                <w:rFonts w:eastAsia="Times New Roman" w:cs="Times New Roman"/>
                <w:b/>
                <w:bCs/>
              </w:rPr>
              <w:t>Natural Mortality</w:t>
            </w:r>
          </w:p>
          <w:p w14:paraId="25D5CCF3" w14:textId="300FDB31" w:rsidR="000C0DFB" w:rsidRPr="0015116B" w:rsidRDefault="000C0DFB" w:rsidP="006F7BDE">
            <w:pPr>
              <w:spacing w:after="0"/>
              <w:jc w:val="center"/>
              <w:rPr>
                <w:rFonts w:eastAsia="Times New Roman" w:cs="Times New Roman"/>
                <w:b/>
                <w:bCs/>
              </w:rPr>
            </w:pPr>
            <w:r w:rsidRPr="0015116B">
              <w:rPr>
                <w:rFonts w:eastAsia="Times New Roman" w:cs="Times New Roman"/>
                <w:b/>
              </w:rPr>
              <w:t>(yr</w:t>
            </w:r>
            <w:r w:rsidRPr="0015116B">
              <w:rPr>
                <w:rFonts w:eastAsia="Times New Roman" w:cs="Times New Roman"/>
                <w:b/>
                <w:vertAlign w:val="superscript"/>
              </w:rPr>
              <w:t>-1</w:t>
            </w:r>
            <w:r w:rsidRPr="0015116B">
              <w:rPr>
                <w:rFonts w:eastAsia="Times New Roman" w:cs="Times New Roman"/>
                <w:b/>
              </w:rPr>
              <w:t>)</w:t>
            </w:r>
          </w:p>
        </w:tc>
      </w:tr>
      <w:tr w:rsidR="007232BF" w:rsidRPr="0015116B" w14:paraId="27AAA3C5" w14:textId="77777777" w:rsidTr="00DC05AB">
        <w:trPr>
          <w:trHeight w:val="439"/>
        </w:trPr>
        <w:tc>
          <w:tcPr>
            <w:tcW w:w="1155" w:type="dxa"/>
            <w:tcBorders>
              <w:top w:val="nil"/>
              <w:left w:val="single" w:sz="12" w:space="0" w:color="FFFFFF"/>
              <w:bottom w:val="nil"/>
              <w:right w:val="single" w:sz="12" w:space="0" w:color="FFFFFF"/>
            </w:tcBorders>
            <w:shd w:val="clear" w:color="auto" w:fill="auto"/>
            <w:noWrap/>
            <w:vAlign w:val="center"/>
            <w:hideMark/>
          </w:tcPr>
          <w:p w14:paraId="07890A20" w14:textId="08789633" w:rsidR="007232BF" w:rsidRPr="0015116B" w:rsidRDefault="007232BF" w:rsidP="00DC05AB">
            <w:pPr>
              <w:spacing w:after="0"/>
              <w:jc w:val="center"/>
              <w:rPr>
                <w:rFonts w:eastAsia="Times New Roman" w:cs="Times New Roman"/>
              </w:rPr>
            </w:pPr>
            <w:r w:rsidRPr="0015116B">
              <w:t>2016/17</w:t>
            </w:r>
          </w:p>
        </w:tc>
        <w:tc>
          <w:tcPr>
            <w:tcW w:w="900" w:type="dxa"/>
            <w:tcBorders>
              <w:top w:val="nil"/>
              <w:left w:val="nil"/>
              <w:bottom w:val="nil"/>
              <w:right w:val="single" w:sz="12" w:space="0" w:color="FFFFFF"/>
            </w:tcBorders>
            <w:shd w:val="clear" w:color="auto" w:fill="auto"/>
            <w:noWrap/>
            <w:vAlign w:val="center"/>
            <w:hideMark/>
          </w:tcPr>
          <w:p w14:paraId="2F561916" w14:textId="10007E1D" w:rsidR="007232BF" w:rsidRPr="0015116B" w:rsidRDefault="007232BF" w:rsidP="00DC05AB">
            <w:pPr>
              <w:spacing w:after="0"/>
              <w:jc w:val="center"/>
              <w:rPr>
                <w:rFonts w:eastAsia="Times New Roman" w:cs="Times New Roman"/>
              </w:rPr>
            </w:pPr>
            <w:r w:rsidRPr="0015116B">
              <w:t>3a</w:t>
            </w:r>
          </w:p>
        </w:tc>
        <w:tc>
          <w:tcPr>
            <w:tcW w:w="900" w:type="dxa"/>
            <w:tcBorders>
              <w:top w:val="nil"/>
              <w:left w:val="nil"/>
              <w:bottom w:val="nil"/>
              <w:right w:val="single" w:sz="12" w:space="0" w:color="FFFFFF"/>
            </w:tcBorders>
            <w:shd w:val="clear" w:color="auto" w:fill="auto"/>
            <w:noWrap/>
            <w:vAlign w:val="center"/>
            <w:hideMark/>
          </w:tcPr>
          <w:p w14:paraId="150D21F5" w14:textId="68192721" w:rsidR="007232BF" w:rsidRPr="0015116B" w:rsidRDefault="007232BF" w:rsidP="00DC05AB">
            <w:pPr>
              <w:spacing w:after="0"/>
              <w:jc w:val="center"/>
              <w:rPr>
                <w:rFonts w:eastAsia="Times New Roman" w:cs="Times New Roman"/>
              </w:rPr>
            </w:pPr>
            <w:r w:rsidRPr="0015116B">
              <w:t>56.54</w:t>
            </w:r>
          </w:p>
        </w:tc>
        <w:tc>
          <w:tcPr>
            <w:tcW w:w="1240" w:type="dxa"/>
            <w:tcBorders>
              <w:top w:val="nil"/>
              <w:left w:val="nil"/>
              <w:bottom w:val="nil"/>
              <w:right w:val="single" w:sz="12" w:space="0" w:color="FFFFFF"/>
            </w:tcBorders>
            <w:shd w:val="clear" w:color="auto" w:fill="auto"/>
            <w:noWrap/>
            <w:vAlign w:val="center"/>
            <w:hideMark/>
          </w:tcPr>
          <w:p w14:paraId="33DC79FD" w14:textId="7F10097D" w:rsidR="007232BF" w:rsidRPr="0015116B" w:rsidRDefault="007232BF" w:rsidP="00DC05AB">
            <w:pPr>
              <w:spacing w:after="0"/>
              <w:jc w:val="center"/>
              <w:rPr>
                <w:rFonts w:eastAsia="Times New Roman" w:cs="Times New Roman"/>
              </w:rPr>
            </w:pPr>
            <w:r w:rsidRPr="0015116B">
              <w:t>99.95</w:t>
            </w:r>
          </w:p>
        </w:tc>
        <w:tc>
          <w:tcPr>
            <w:tcW w:w="1360" w:type="dxa"/>
            <w:tcBorders>
              <w:top w:val="nil"/>
              <w:left w:val="nil"/>
              <w:bottom w:val="nil"/>
              <w:right w:val="single" w:sz="12" w:space="0" w:color="FFFFFF"/>
            </w:tcBorders>
            <w:shd w:val="clear" w:color="auto" w:fill="auto"/>
            <w:noWrap/>
            <w:vAlign w:val="center"/>
            <w:hideMark/>
          </w:tcPr>
          <w:p w14:paraId="2C40AB6A" w14:textId="7D4A5189" w:rsidR="007232BF" w:rsidRPr="0015116B" w:rsidRDefault="007232BF" w:rsidP="00DC05AB">
            <w:pPr>
              <w:spacing w:after="0"/>
              <w:jc w:val="center"/>
              <w:rPr>
                <w:rFonts w:eastAsia="Times New Roman" w:cs="Times New Roman"/>
              </w:rPr>
            </w:pPr>
            <w:r w:rsidRPr="0015116B">
              <w:t>1.77</w:t>
            </w:r>
          </w:p>
        </w:tc>
        <w:tc>
          <w:tcPr>
            <w:tcW w:w="1100" w:type="dxa"/>
            <w:tcBorders>
              <w:top w:val="nil"/>
              <w:left w:val="nil"/>
              <w:bottom w:val="nil"/>
              <w:right w:val="single" w:sz="12" w:space="0" w:color="FFFFFF"/>
            </w:tcBorders>
            <w:shd w:val="clear" w:color="auto" w:fill="auto"/>
            <w:noWrap/>
            <w:vAlign w:val="center"/>
            <w:hideMark/>
          </w:tcPr>
          <w:p w14:paraId="47FCC671" w14:textId="1D73DC10" w:rsidR="007232BF" w:rsidRPr="0015116B" w:rsidRDefault="007232BF" w:rsidP="00DC05AB">
            <w:pPr>
              <w:spacing w:after="0"/>
              <w:jc w:val="center"/>
              <w:rPr>
                <w:rFonts w:eastAsia="Times New Roman" w:cs="Times New Roman"/>
              </w:rPr>
            </w:pPr>
            <w:r w:rsidRPr="0015116B">
              <w:t>0.79</w:t>
            </w:r>
          </w:p>
        </w:tc>
        <w:tc>
          <w:tcPr>
            <w:tcW w:w="1340" w:type="dxa"/>
            <w:tcBorders>
              <w:top w:val="nil"/>
              <w:left w:val="nil"/>
              <w:bottom w:val="nil"/>
              <w:right w:val="single" w:sz="12" w:space="0" w:color="FFFFFF"/>
            </w:tcBorders>
            <w:shd w:val="clear" w:color="auto" w:fill="auto"/>
            <w:noWrap/>
            <w:vAlign w:val="center"/>
            <w:hideMark/>
          </w:tcPr>
          <w:p w14:paraId="4755BB16" w14:textId="7FA72042" w:rsidR="007232BF" w:rsidRPr="0015116B" w:rsidRDefault="007232BF" w:rsidP="00DC05AB">
            <w:pPr>
              <w:spacing w:after="0"/>
              <w:jc w:val="center"/>
              <w:rPr>
                <w:rFonts w:eastAsia="Times New Roman" w:cs="Times New Roman"/>
              </w:rPr>
            </w:pPr>
            <w:r w:rsidRPr="0015116B">
              <w:t>1982-2016</w:t>
            </w:r>
          </w:p>
        </w:tc>
        <w:tc>
          <w:tcPr>
            <w:tcW w:w="1350" w:type="dxa"/>
            <w:tcBorders>
              <w:top w:val="nil"/>
              <w:left w:val="nil"/>
              <w:bottom w:val="nil"/>
              <w:right w:val="single" w:sz="12" w:space="0" w:color="FFFFFF"/>
            </w:tcBorders>
            <w:shd w:val="clear" w:color="auto" w:fill="auto"/>
            <w:noWrap/>
            <w:vAlign w:val="center"/>
            <w:hideMark/>
          </w:tcPr>
          <w:p w14:paraId="3EF71342" w14:textId="5761FB69" w:rsidR="007232BF" w:rsidRPr="0015116B" w:rsidRDefault="007232BF" w:rsidP="00DC05AB">
            <w:pPr>
              <w:spacing w:after="0"/>
              <w:jc w:val="center"/>
              <w:rPr>
                <w:rFonts w:eastAsia="Times New Roman" w:cs="Times New Roman"/>
              </w:rPr>
            </w:pPr>
            <w:r w:rsidRPr="0015116B">
              <w:t>0.23</w:t>
            </w:r>
          </w:p>
        </w:tc>
      </w:tr>
      <w:tr w:rsidR="007232BF" w:rsidRPr="0015116B" w14:paraId="33CF3DE3" w14:textId="77777777" w:rsidTr="00DC05AB">
        <w:trPr>
          <w:trHeight w:val="439"/>
        </w:trPr>
        <w:tc>
          <w:tcPr>
            <w:tcW w:w="1155"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14:paraId="58597968" w14:textId="6996AD3A" w:rsidR="007232BF" w:rsidRPr="0015116B" w:rsidRDefault="007232BF" w:rsidP="00DC05AB">
            <w:pPr>
              <w:spacing w:after="0"/>
              <w:jc w:val="center"/>
              <w:rPr>
                <w:rFonts w:eastAsia="Times New Roman" w:cs="Times New Roman"/>
              </w:rPr>
            </w:pPr>
            <w:r w:rsidRPr="0015116B">
              <w:t>2017/18</w:t>
            </w:r>
          </w:p>
        </w:tc>
        <w:tc>
          <w:tcPr>
            <w:tcW w:w="900" w:type="dxa"/>
            <w:tcBorders>
              <w:top w:val="single" w:sz="4" w:space="0" w:color="FFFFFF"/>
              <w:left w:val="nil"/>
              <w:bottom w:val="single" w:sz="4" w:space="0" w:color="FFFFFF"/>
              <w:right w:val="single" w:sz="4" w:space="0" w:color="FFFFFF"/>
            </w:tcBorders>
            <w:shd w:val="clear" w:color="auto" w:fill="auto"/>
            <w:noWrap/>
            <w:vAlign w:val="center"/>
            <w:hideMark/>
          </w:tcPr>
          <w:p w14:paraId="7B937780" w14:textId="5E5A3E3C" w:rsidR="007232BF" w:rsidRPr="0015116B" w:rsidRDefault="007232BF" w:rsidP="00DC05AB">
            <w:pPr>
              <w:spacing w:after="0"/>
              <w:jc w:val="center"/>
              <w:rPr>
                <w:rFonts w:eastAsia="Times New Roman" w:cs="Times New Roman"/>
              </w:rPr>
            </w:pPr>
            <w:r w:rsidRPr="0015116B">
              <w:t>3a</w:t>
            </w:r>
          </w:p>
        </w:tc>
        <w:tc>
          <w:tcPr>
            <w:tcW w:w="900" w:type="dxa"/>
            <w:tcBorders>
              <w:top w:val="single" w:sz="4" w:space="0" w:color="FFFFFF"/>
              <w:left w:val="nil"/>
              <w:bottom w:val="single" w:sz="4" w:space="0" w:color="FFFFFF"/>
              <w:right w:val="single" w:sz="4" w:space="0" w:color="FFFFFF"/>
            </w:tcBorders>
            <w:shd w:val="clear" w:color="auto" w:fill="auto"/>
            <w:noWrap/>
            <w:vAlign w:val="center"/>
            <w:hideMark/>
          </w:tcPr>
          <w:p w14:paraId="635C58D7" w14:textId="295F4834" w:rsidR="007232BF" w:rsidRPr="0015116B" w:rsidRDefault="007232BF" w:rsidP="00DC05AB">
            <w:pPr>
              <w:spacing w:after="0"/>
              <w:jc w:val="center"/>
              <w:rPr>
                <w:rFonts w:eastAsia="Times New Roman" w:cs="Times New Roman"/>
              </w:rPr>
            </w:pPr>
            <w:r w:rsidRPr="0015116B">
              <w:t>64.30</w:t>
            </w:r>
          </w:p>
        </w:tc>
        <w:tc>
          <w:tcPr>
            <w:tcW w:w="1240" w:type="dxa"/>
            <w:tcBorders>
              <w:top w:val="single" w:sz="4" w:space="0" w:color="FFFFFF"/>
              <w:left w:val="nil"/>
              <w:bottom w:val="single" w:sz="4" w:space="0" w:color="FFFFFF"/>
              <w:right w:val="single" w:sz="4" w:space="0" w:color="FFFFFF"/>
            </w:tcBorders>
            <w:shd w:val="clear" w:color="auto" w:fill="auto"/>
            <w:noWrap/>
            <w:vAlign w:val="center"/>
            <w:hideMark/>
          </w:tcPr>
          <w:p w14:paraId="68C92D4F" w14:textId="0C122977" w:rsidR="007232BF" w:rsidRPr="0015116B" w:rsidRDefault="007232BF" w:rsidP="00DC05AB">
            <w:pPr>
              <w:spacing w:after="0"/>
              <w:jc w:val="center"/>
              <w:rPr>
                <w:rFonts w:eastAsia="Times New Roman" w:cs="Times New Roman"/>
              </w:rPr>
            </w:pPr>
            <w:r w:rsidRPr="0015116B">
              <w:t>103.70</w:t>
            </w:r>
          </w:p>
        </w:tc>
        <w:tc>
          <w:tcPr>
            <w:tcW w:w="1360" w:type="dxa"/>
            <w:tcBorders>
              <w:top w:val="single" w:sz="4" w:space="0" w:color="FFFFFF"/>
              <w:left w:val="nil"/>
              <w:bottom w:val="single" w:sz="4" w:space="0" w:color="FFFFFF"/>
              <w:right w:val="single" w:sz="4" w:space="0" w:color="FFFFFF"/>
            </w:tcBorders>
            <w:shd w:val="clear" w:color="auto" w:fill="auto"/>
            <w:noWrap/>
            <w:vAlign w:val="center"/>
            <w:hideMark/>
          </w:tcPr>
          <w:p w14:paraId="08DC1D8C" w14:textId="77C860FB" w:rsidR="007232BF" w:rsidRPr="0015116B" w:rsidRDefault="007232BF" w:rsidP="00DC05AB">
            <w:pPr>
              <w:spacing w:after="0"/>
              <w:jc w:val="center"/>
              <w:rPr>
                <w:rFonts w:eastAsia="Times New Roman" w:cs="Times New Roman"/>
              </w:rPr>
            </w:pPr>
            <w:r w:rsidRPr="0015116B">
              <w:t>1.49</w:t>
            </w:r>
          </w:p>
        </w:tc>
        <w:tc>
          <w:tcPr>
            <w:tcW w:w="1100" w:type="dxa"/>
            <w:tcBorders>
              <w:top w:val="single" w:sz="4" w:space="0" w:color="FFFFFF"/>
              <w:left w:val="nil"/>
              <w:bottom w:val="single" w:sz="4" w:space="0" w:color="FFFFFF"/>
              <w:right w:val="single" w:sz="4" w:space="0" w:color="FFFFFF"/>
            </w:tcBorders>
            <w:shd w:val="clear" w:color="auto" w:fill="auto"/>
            <w:noWrap/>
            <w:vAlign w:val="center"/>
            <w:hideMark/>
          </w:tcPr>
          <w:p w14:paraId="7F664245" w14:textId="1BD7A717" w:rsidR="007232BF" w:rsidRPr="0015116B" w:rsidRDefault="007232BF" w:rsidP="00DC05AB">
            <w:pPr>
              <w:spacing w:after="0"/>
              <w:jc w:val="center"/>
              <w:rPr>
                <w:rFonts w:eastAsia="Times New Roman" w:cs="Times New Roman"/>
              </w:rPr>
            </w:pPr>
            <w:r w:rsidRPr="0015116B">
              <w:t>0.75</w:t>
            </w:r>
          </w:p>
        </w:tc>
        <w:tc>
          <w:tcPr>
            <w:tcW w:w="1340" w:type="dxa"/>
            <w:tcBorders>
              <w:top w:val="single" w:sz="4" w:space="0" w:color="FFFFFF"/>
              <w:left w:val="nil"/>
              <w:bottom w:val="single" w:sz="4" w:space="0" w:color="FFFFFF"/>
              <w:right w:val="single" w:sz="4" w:space="0" w:color="FFFFFF"/>
            </w:tcBorders>
            <w:shd w:val="clear" w:color="auto" w:fill="auto"/>
            <w:noWrap/>
            <w:vAlign w:val="center"/>
            <w:hideMark/>
          </w:tcPr>
          <w:p w14:paraId="11095D09" w14:textId="02D75987" w:rsidR="007232BF" w:rsidRPr="0015116B" w:rsidRDefault="007232BF" w:rsidP="00DC05AB">
            <w:pPr>
              <w:spacing w:after="0"/>
              <w:jc w:val="center"/>
              <w:rPr>
                <w:rFonts w:eastAsia="Times New Roman" w:cs="Times New Roman"/>
              </w:rPr>
            </w:pPr>
            <w:r w:rsidRPr="0015116B">
              <w:t>1982-2017</w:t>
            </w:r>
          </w:p>
        </w:tc>
        <w:tc>
          <w:tcPr>
            <w:tcW w:w="1350" w:type="dxa"/>
            <w:tcBorders>
              <w:top w:val="single" w:sz="4" w:space="0" w:color="FFFFFF"/>
              <w:left w:val="nil"/>
              <w:bottom w:val="single" w:sz="4" w:space="0" w:color="FFFFFF"/>
              <w:right w:val="single" w:sz="4" w:space="0" w:color="FFFFFF"/>
            </w:tcBorders>
            <w:shd w:val="clear" w:color="auto" w:fill="auto"/>
            <w:noWrap/>
            <w:vAlign w:val="center"/>
            <w:hideMark/>
          </w:tcPr>
          <w:p w14:paraId="2F42E16F" w14:textId="76DF0661" w:rsidR="007232BF" w:rsidRPr="0015116B" w:rsidRDefault="007232BF" w:rsidP="00DC05AB">
            <w:pPr>
              <w:spacing w:after="0"/>
              <w:jc w:val="center"/>
              <w:rPr>
                <w:rFonts w:eastAsia="Times New Roman" w:cs="Times New Roman"/>
              </w:rPr>
            </w:pPr>
            <w:r w:rsidRPr="0015116B">
              <w:t>0.23</w:t>
            </w:r>
          </w:p>
        </w:tc>
      </w:tr>
      <w:tr w:rsidR="007232BF" w:rsidRPr="0015116B" w14:paraId="05A38023" w14:textId="77777777" w:rsidTr="00DC05AB">
        <w:trPr>
          <w:trHeight w:val="439"/>
        </w:trPr>
        <w:tc>
          <w:tcPr>
            <w:tcW w:w="1155" w:type="dxa"/>
            <w:tcBorders>
              <w:top w:val="nil"/>
              <w:left w:val="single" w:sz="4" w:space="0" w:color="FFFFFF"/>
              <w:bottom w:val="nil"/>
              <w:right w:val="single" w:sz="4" w:space="0" w:color="FFFFFF"/>
            </w:tcBorders>
            <w:shd w:val="clear" w:color="auto" w:fill="auto"/>
            <w:noWrap/>
            <w:vAlign w:val="center"/>
            <w:hideMark/>
          </w:tcPr>
          <w:p w14:paraId="3085E9C9" w14:textId="7D60A570" w:rsidR="007232BF" w:rsidRPr="0015116B" w:rsidRDefault="007232BF" w:rsidP="00DC05AB">
            <w:pPr>
              <w:spacing w:after="0"/>
              <w:jc w:val="center"/>
              <w:rPr>
                <w:rFonts w:eastAsia="Times New Roman" w:cs="Times New Roman"/>
              </w:rPr>
            </w:pPr>
            <w:r w:rsidRPr="0015116B">
              <w:t>2018/19</w:t>
            </w:r>
          </w:p>
        </w:tc>
        <w:tc>
          <w:tcPr>
            <w:tcW w:w="900" w:type="dxa"/>
            <w:tcBorders>
              <w:top w:val="nil"/>
              <w:left w:val="nil"/>
              <w:bottom w:val="nil"/>
              <w:right w:val="single" w:sz="4" w:space="0" w:color="FFFFFF"/>
            </w:tcBorders>
            <w:shd w:val="clear" w:color="auto" w:fill="auto"/>
            <w:noWrap/>
            <w:vAlign w:val="center"/>
            <w:hideMark/>
          </w:tcPr>
          <w:p w14:paraId="1C667FF7" w14:textId="4501A168" w:rsidR="007232BF" w:rsidRPr="0015116B" w:rsidRDefault="007232BF" w:rsidP="00DC05AB">
            <w:pPr>
              <w:spacing w:after="0"/>
              <w:jc w:val="center"/>
              <w:rPr>
                <w:rFonts w:eastAsia="Times New Roman" w:cs="Times New Roman"/>
              </w:rPr>
            </w:pPr>
            <w:r w:rsidRPr="0015116B">
              <w:t>3a</w:t>
            </w:r>
          </w:p>
        </w:tc>
        <w:tc>
          <w:tcPr>
            <w:tcW w:w="900" w:type="dxa"/>
            <w:tcBorders>
              <w:top w:val="nil"/>
              <w:left w:val="nil"/>
              <w:bottom w:val="nil"/>
              <w:right w:val="single" w:sz="4" w:space="0" w:color="FFFFFF"/>
            </w:tcBorders>
            <w:shd w:val="clear" w:color="auto" w:fill="auto"/>
            <w:noWrap/>
            <w:vAlign w:val="center"/>
            <w:hideMark/>
          </w:tcPr>
          <w:p w14:paraId="2347E632" w14:textId="2F4253FC" w:rsidR="007232BF" w:rsidRPr="0015116B" w:rsidRDefault="007232BF" w:rsidP="00DC05AB">
            <w:pPr>
              <w:spacing w:after="0"/>
              <w:jc w:val="center"/>
              <w:rPr>
                <w:rFonts w:eastAsia="Times New Roman" w:cs="Times New Roman"/>
              </w:rPr>
            </w:pPr>
            <w:r w:rsidRPr="0015116B">
              <w:t>48.21</w:t>
            </w:r>
          </w:p>
        </w:tc>
        <w:tc>
          <w:tcPr>
            <w:tcW w:w="1240" w:type="dxa"/>
            <w:tcBorders>
              <w:top w:val="nil"/>
              <w:left w:val="nil"/>
              <w:bottom w:val="nil"/>
              <w:right w:val="single" w:sz="4" w:space="0" w:color="FFFFFF"/>
            </w:tcBorders>
            <w:shd w:val="clear" w:color="auto" w:fill="auto"/>
            <w:noWrap/>
            <w:vAlign w:val="center"/>
            <w:hideMark/>
          </w:tcPr>
          <w:p w14:paraId="1856E03D" w14:textId="7E18A7CA" w:rsidR="007232BF" w:rsidRPr="0015116B" w:rsidRDefault="007232BF" w:rsidP="00DC05AB">
            <w:pPr>
              <w:spacing w:after="0"/>
              <w:jc w:val="center"/>
              <w:rPr>
                <w:rFonts w:eastAsia="Times New Roman" w:cs="Times New Roman"/>
              </w:rPr>
            </w:pPr>
            <w:r w:rsidRPr="0015116B">
              <w:t>51.87</w:t>
            </w:r>
          </w:p>
        </w:tc>
        <w:tc>
          <w:tcPr>
            <w:tcW w:w="1360" w:type="dxa"/>
            <w:tcBorders>
              <w:top w:val="nil"/>
              <w:left w:val="nil"/>
              <w:bottom w:val="nil"/>
              <w:right w:val="single" w:sz="4" w:space="0" w:color="FFFFFF"/>
            </w:tcBorders>
            <w:shd w:val="clear" w:color="auto" w:fill="auto"/>
            <w:noWrap/>
            <w:vAlign w:val="center"/>
            <w:hideMark/>
          </w:tcPr>
          <w:p w14:paraId="57E52FFE" w14:textId="343DF68D" w:rsidR="007232BF" w:rsidRPr="0015116B" w:rsidRDefault="007232BF" w:rsidP="00DC05AB">
            <w:pPr>
              <w:spacing w:after="0"/>
              <w:jc w:val="center"/>
              <w:rPr>
                <w:rFonts w:eastAsia="Times New Roman" w:cs="Times New Roman"/>
              </w:rPr>
            </w:pPr>
            <w:r w:rsidRPr="0015116B">
              <w:t>1.08</w:t>
            </w:r>
          </w:p>
        </w:tc>
        <w:tc>
          <w:tcPr>
            <w:tcW w:w="1100" w:type="dxa"/>
            <w:tcBorders>
              <w:top w:val="nil"/>
              <w:left w:val="nil"/>
              <w:bottom w:val="nil"/>
              <w:right w:val="single" w:sz="4" w:space="0" w:color="FFFFFF"/>
            </w:tcBorders>
            <w:shd w:val="clear" w:color="auto" w:fill="auto"/>
            <w:noWrap/>
            <w:vAlign w:val="center"/>
            <w:hideMark/>
          </w:tcPr>
          <w:p w14:paraId="0E6F0715" w14:textId="4BBA5158" w:rsidR="007232BF" w:rsidRPr="0015116B" w:rsidRDefault="007232BF" w:rsidP="00DC05AB">
            <w:pPr>
              <w:spacing w:after="0"/>
              <w:jc w:val="center"/>
              <w:rPr>
                <w:rFonts w:eastAsia="Times New Roman" w:cs="Times New Roman"/>
              </w:rPr>
            </w:pPr>
            <w:r w:rsidRPr="0015116B">
              <w:t>0.93</w:t>
            </w:r>
          </w:p>
        </w:tc>
        <w:tc>
          <w:tcPr>
            <w:tcW w:w="1340" w:type="dxa"/>
            <w:tcBorders>
              <w:top w:val="nil"/>
              <w:left w:val="nil"/>
              <w:bottom w:val="nil"/>
              <w:right w:val="single" w:sz="4" w:space="0" w:color="FFFFFF"/>
            </w:tcBorders>
            <w:shd w:val="clear" w:color="auto" w:fill="auto"/>
            <w:noWrap/>
            <w:vAlign w:val="center"/>
            <w:hideMark/>
          </w:tcPr>
          <w:p w14:paraId="546F6201" w14:textId="40C62F20" w:rsidR="007232BF" w:rsidRPr="0015116B" w:rsidRDefault="007232BF" w:rsidP="00DC05AB">
            <w:pPr>
              <w:spacing w:after="0"/>
              <w:jc w:val="center"/>
              <w:rPr>
                <w:rFonts w:eastAsia="Times New Roman" w:cs="Times New Roman"/>
              </w:rPr>
            </w:pPr>
            <w:r w:rsidRPr="0015116B">
              <w:t>1982-2018</w:t>
            </w:r>
          </w:p>
        </w:tc>
        <w:tc>
          <w:tcPr>
            <w:tcW w:w="1350" w:type="dxa"/>
            <w:tcBorders>
              <w:top w:val="nil"/>
              <w:left w:val="nil"/>
              <w:bottom w:val="nil"/>
              <w:right w:val="single" w:sz="4" w:space="0" w:color="FFFFFF"/>
            </w:tcBorders>
            <w:shd w:val="clear" w:color="auto" w:fill="auto"/>
            <w:noWrap/>
            <w:vAlign w:val="center"/>
            <w:hideMark/>
          </w:tcPr>
          <w:p w14:paraId="500FB51A" w14:textId="4B25AC7B" w:rsidR="007232BF" w:rsidRPr="0015116B" w:rsidRDefault="007232BF" w:rsidP="00DC05AB">
            <w:pPr>
              <w:spacing w:after="0"/>
              <w:jc w:val="center"/>
              <w:rPr>
                <w:rFonts w:eastAsia="Times New Roman" w:cs="Times New Roman"/>
              </w:rPr>
            </w:pPr>
            <w:r w:rsidRPr="0015116B">
              <w:t>0.23</w:t>
            </w:r>
          </w:p>
        </w:tc>
      </w:tr>
      <w:tr w:rsidR="007232BF" w:rsidRPr="0015116B" w14:paraId="34ABC7BA" w14:textId="77777777" w:rsidTr="00DC05AB">
        <w:trPr>
          <w:trHeight w:val="439"/>
        </w:trPr>
        <w:tc>
          <w:tcPr>
            <w:tcW w:w="1155" w:type="dxa"/>
            <w:tcBorders>
              <w:top w:val="single" w:sz="4" w:space="0" w:color="FFFFFF"/>
              <w:left w:val="single" w:sz="4" w:space="0" w:color="FFFFFF"/>
              <w:bottom w:val="nil"/>
              <w:right w:val="single" w:sz="4" w:space="0" w:color="FFFFFF"/>
            </w:tcBorders>
            <w:shd w:val="clear" w:color="auto" w:fill="auto"/>
            <w:noWrap/>
            <w:vAlign w:val="center"/>
            <w:hideMark/>
          </w:tcPr>
          <w:p w14:paraId="6C778273" w14:textId="4047E8A2" w:rsidR="007232BF" w:rsidRPr="0015116B" w:rsidRDefault="007232BF" w:rsidP="00DC05AB">
            <w:pPr>
              <w:spacing w:after="0"/>
              <w:jc w:val="center"/>
              <w:rPr>
                <w:rFonts w:eastAsia="Times New Roman" w:cs="Times New Roman"/>
              </w:rPr>
            </w:pPr>
            <w:r w:rsidRPr="0015116B">
              <w:t>2019/20</w:t>
            </w:r>
          </w:p>
        </w:tc>
        <w:tc>
          <w:tcPr>
            <w:tcW w:w="900" w:type="dxa"/>
            <w:tcBorders>
              <w:top w:val="single" w:sz="4" w:space="0" w:color="FFFFFF"/>
              <w:left w:val="nil"/>
              <w:bottom w:val="nil"/>
              <w:right w:val="single" w:sz="4" w:space="0" w:color="FFFFFF"/>
            </w:tcBorders>
            <w:shd w:val="clear" w:color="auto" w:fill="auto"/>
            <w:noWrap/>
            <w:vAlign w:val="center"/>
            <w:hideMark/>
          </w:tcPr>
          <w:p w14:paraId="3FD45769" w14:textId="22B38DDE" w:rsidR="007232BF" w:rsidRPr="0015116B" w:rsidRDefault="007232BF" w:rsidP="00DC05AB">
            <w:pPr>
              <w:spacing w:after="0"/>
              <w:jc w:val="center"/>
              <w:rPr>
                <w:rFonts w:eastAsia="Times New Roman" w:cs="Times New Roman"/>
              </w:rPr>
            </w:pPr>
            <w:r w:rsidRPr="0015116B">
              <w:t>3b</w:t>
            </w:r>
          </w:p>
        </w:tc>
        <w:tc>
          <w:tcPr>
            <w:tcW w:w="900" w:type="dxa"/>
            <w:tcBorders>
              <w:top w:val="single" w:sz="4" w:space="0" w:color="FFFFFF"/>
              <w:left w:val="nil"/>
              <w:bottom w:val="nil"/>
              <w:right w:val="single" w:sz="4" w:space="0" w:color="FFFFFF"/>
            </w:tcBorders>
            <w:shd w:val="clear" w:color="auto" w:fill="auto"/>
            <w:noWrap/>
            <w:vAlign w:val="center"/>
            <w:hideMark/>
          </w:tcPr>
          <w:p w14:paraId="502A24B2" w14:textId="541C6B72" w:rsidR="007232BF" w:rsidRPr="0015116B" w:rsidRDefault="007232BF" w:rsidP="00DC05AB">
            <w:pPr>
              <w:spacing w:after="0"/>
              <w:jc w:val="center"/>
              <w:rPr>
                <w:rFonts w:eastAsia="Times New Roman" w:cs="Times New Roman"/>
              </w:rPr>
            </w:pPr>
            <w:r w:rsidRPr="0015116B">
              <w:rPr>
                <w:color w:val="000000"/>
              </w:rPr>
              <w:t>90.53</w:t>
            </w:r>
          </w:p>
        </w:tc>
        <w:tc>
          <w:tcPr>
            <w:tcW w:w="1240" w:type="dxa"/>
            <w:tcBorders>
              <w:top w:val="single" w:sz="4" w:space="0" w:color="FFFFFF"/>
              <w:left w:val="nil"/>
              <w:bottom w:val="nil"/>
              <w:right w:val="single" w:sz="4" w:space="0" w:color="FFFFFF"/>
            </w:tcBorders>
            <w:shd w:val="clear" w:color="auto" w:fill="auto"/>
            <w:noWrap/>
            <w:vAlign w:val="center"/>
            <w:hideMark/>
          </w:tcPr>
          <w:p w14:paraId="7BCE9A6D" w14:textId="3F7D73C5" w:rsidR="007232BF" w:rsidRPr="0015116B" w:rsidRDefault="007232BF" w:rsidP="00DC05AB">
            <w:pPr>
              <w:spacing w:after="0"/>
              <w:jc w:val="center"/>
              <w:rPr>
                <w:rFonts w:eastAsia="Times New Roman" w:cs="Times New Roman"/>
              </w:rPr>
            </w:pPr>
            <w:r w:rsidRPr="0015116B">
              <w:rPr>
                <w:color w:val="000000"/>
              </w:rPr>
              <w:t>87.18</w:t>
            </w:r>
          </w:p>
        </w:tc>
        <w:tc>
          <w:tcPr>
            <w:tcW w:w="1360" w:type="dxa"/>
            <w:tcBorders>
              <w:top w:val="single" w:sz="4" w:space="0" w:color="FFFFFF"/>
              <w:left w:val="nil"/>
              <w:bottom w:val="nil"/>
              <w:right w:val="single" w:sz="4" w:space="0" w:color="FFFFFF"/>
            </w:tcBorders>
            <w:shd w:val="clear" w:color="auto" w:fill="auto"/>
            <w:noWrap/>
            <w:vAlign w:val="center"/>
            <w:hideMark/>
          </w:tcPr>
          <w:p w14:paraId="400738AA" w14:textId="081DF42A" w:rsidR="007232BF" w:rsidRPr="0015116B" w:rsidRDefault="007232BF" w:rsidP="00DC05AB">
            <w:pPr>
              <w:spacing w:after="0"/>
              <w:jc w:val="center"/>
              <w:rPr>
                <w:rFonts w:eastAsia="Times New Roman" w:cs="Times New Roman"/>
              </w:rPr>
            </w:pPr>
            <w:r w:rsidRPr="0015116B">
              <w:rPr>
                <w:color w:val="000000"/>
              </w:rPr>
              <w:t>0.96</w:t>
            </w:r>
          </w:p>
        </w:tc>
        <w:tc>
          <w:tcPr>
            <w:tcW w:w="1100" w:type="dxa"/>
            <w:tcBorders>
              <w:top w:val="single" w:sz="4" w:space="0" w:color="FFFFFF"/>
              <w:left w:val="nil"/>
              <w:bottom w:val="nil"/>
              <w:right w:val="single" w:sz="4" w:space="0" w:color="FFFFFF"/>
            </w:tcBorders>
            <w:shd w:val="clear" w:color="auto" w:fill="auto"/>
            <w:noWrap/>
            <w:vAlign w:val="center"/>
            <w:hideMark/>
          </w:tcPr>
          <w:p w14:paraId="7015AF57" w14:textId="4AED5DA9" w:rsidR="007232BF" w:rsidRPr="0015116B" w:rsidRDefault="007232BF" w:rsidP="00DC05AB">
            <w:pPr>
              <w:spacing w:after="0"/>
              <w:jc w:val="center"/>
              <w:rPr>
                <w:rFonts w:eastAsia="Times New Roman" w:cs="Times New Roman"/>
              </w:rPr>
            </w:pPr>
            <w:r w:rsidRPr="0015116B">
              <w:rPr>
                <w:color w:val="000000"/>
              </w:rPr>
              <w:t>1.08</w:t>
            </w:r>
          </w:p>
        </w:tc>
        <w:tc>
          <w:tcPr>
            <w:tcW w:w="1340" w:type="dxa"/>
            <w:tcBorders>
              <w:top w:val="single" w:sz="4" w:space="0" w:color="FFFFFF"/>
              <w:left w:val="nil"/>
              <w:bottom w:val="nil"/>
              <w:right w:val="single" w:sz="4" w:space="0" w:color="FFFFFF"/>
            </w:tcBorders>
            <w:shd w:val="clear" w:color="auto" w:fill="auto"/>
            <w:noWrap/>
            <w:vAlign w:val="center"/>
            <w:hideMark/>
          </w:tcPr>
          <w:p w14:paraId="0AF497CB" w14:textId="16058EBD" w:rsidR="007232BF" w:rsidRPr="0015116B" w:rsidRDefault="007232BF" w:rsidP="00DC05AB">
            <w:pPr>
              <w:spacing w:after="0"/>
              <w:jc w:val="center"/>
              <w:rPr>
                <w:rFonts w:eastAsia="Times New Roman" w:cs="Times New Roman"/>
              </w:rPr>
            </w:pPr>
            <w:r w:rsidRPr="0015116B">
              <w:t>1982-2019</w:t>
            </w:r>
          </w:p>
        </w:tc>
        <w:tc>
          <w:tcPr>
            <w:tcW w:w="1350" w:type="dxa"/>
            <w:tcBorders>
              <w:top w:val="single" w:sz="4" w:space="0" w:color="FFFFFF"/>
              <w:left w:val="nil"/>
              <w:bottom w:val="nil"/>
              <w:right w:val="single" w:sz="4" w:space="0" w:color="FFFFFF"/>
            </w:tcBorders>
            <w:shd w:val="clear" w:color="auto" w:fill="auto"/>
            <w:noWrap/>
            <w:vAlign w:val="center"/>
            <w:hideMark/>
          </w:tcPr>
          <w:p w14:paraId="646FEB89" w14:textId="6934982C" w:rsidR="007232BF" w:rsidRPr="0015116B" w:rsidRDefault="007232BF" w:rsidP="00DC05AB">
            <w:pPr>
              <w:spacing w:after="0"/>
              <w:jc w:val="center"/>
              <w:rPr>
                <w:rFonts w:eastAsia="Times New Roman" w:cs="Times New Roman"/>
              </w:rPr>
            </w:pPr>
            <w:r w:rsidRPr="0015116B">
              <w:t>0.23</w:t>
            </w:r>
          </w:p>
        </w:tc>
      </w:tr>
      <w:tr w:rsidR="00DC05AB" w:rsidRPr="0015116B" w14:paraId="269FC1E2" w14:textId="77777777" w:rsidTr="00DC05AB">
        <w:trPr>
          <w:trHeight w:val="439"/>
        </w:trPr>
        <w:tc>
          <w:tcPr>
            <w:tcW w:w="1155" w:type="dxa"/>
            <w:tcBorders>
              <w:top w:val="single" w:sz="4" w:space="0" w:color="FFFFFF"/>
              <w:left w:val="single" w:sz="4" w:space="0" w:color="FFFFFF"/>
              <w:bottom w:val="single" w:sz="12" w:space="0" w:color="auto"/>
              <w:right w:val="single" w:sz="4" w:space="0" w:color="FFFFFF"/>
            </w:tcBorders>
            <w:shd w:val="clear" w:color="auto" w:fill="auto"/>
            <w:noWrap/>
            <w:vAlign w:val="center"/>
            <w:hideMark/>
          </w:tcPr>
          <w:p w14:paraId="3D1A060F" w14:textId="32619625" w:rsidR="00DC05AB" w:rsidRPr="0015116B" w:rsidRDefault="00DC05AB" w:rsidP="00DC05AB">
            <w:pPr>
              <w:spacing w:after="0"/>
              <w:jc w:val="center"/>
              <w:rPr>
                <w:rFonts w:eastAsia="Times New Roman" w:cs="Times New Roman"/>
              </w:rPr>
            </w:pPr>
            <w:r w:rsidRPr="0015116B">
              <w:rPr>
                <w:color w:val="000000"/>
              </w:rPr>
              <w:t>2020/21</w:t>
            </w:r>
          </w:p>
        </w:tc>
        <w:tc>
          <w:tcPr>
            <w:tcW w:w="900" w:type="dxa"/>
            <w:tcBorders>
              <w:top w:val="single" w:sz="4" w:space="0" w:color="FFFFFF"/>
              <w:left w:val="nil"/>
              <w:bottom w:val="single" w:sz="12" w:space="0" w:color="auto"/>
              <w:right w:val="single" w:sz="4" w:space="0" w:color="FFFFFF"/>
            </w:tcBorders>
            <w:shd w:val="clear" w:color="auto" w:fill="auto"/>
            <w:noWrap/>
            <w:vAlign w:val="center"/>
            <w:hideMark/>
          </w:tcPr>
          <w:p w14:paraId="2A673EF9" w14:textId="2F241E36" w:rsidR="00DC05AB" w:rsidRPr="0015116B" w:rsidRDefault="00DC05AB" w:rsidP="00DC05AB">
            <w:pPr>
              <w:spacing w:after="0"/>
              <w:jc w:val="center"/>
              <w:rPr>
                <w:rFonts w:eastAsia="Times New Roman" w:cs="Times New Roman"/>
              </w:rPr>
            </w:pPr>
            <w:r w:rsidRPr="0015116B">
              <w:rPr>
                <w:color w:val="000000"/>
              </w:rPr>
              <w:t>3b</w:t>
            </w:r>
          </w:p>
        </w:tc>
        <w:tc>
          <w:tcPr>
            <w:tcW w:w="900" w:type="dxa"/>
            <w:tcBorders>
              <w:top w:val="single" w:sz="4" w:space="0" w:color="FFFFFF"/>
              <w:left w:val="nil"/>
              <w:bottom w:val="single" w:sz="12" w:space="0" w:color="auto"/>
              <w:right w:val="single" w:sz="4" w:space="0" w:color="FFFFFF"/>
            </w:tcBorders>
            <w:shd w:val="clear" w:color="auto" w:fill="auto"/>
            <w:noWrap/>
            <w:vAlign w:val="center"/>
            <w:hideMark/>
          </w:tcPr>
          <w:p w14:paraId="55E7A1E9" w14:textId="19CB5A2A" w:rsidR="00DC05AB" w:rsidRPr="0015116B" w:rsidRDefault="00DC05AB" w:rsidP="00DC05AB">
            <w:pPr>
              <w:spacing w:after="0"/>
              <w:jc w:val="center"/>
              <w:rPr>
                <w:rFonts w:eastAsia="Times New Roman" w:cs="Times New Roman"/>
              </w:rPr>
            </w:pPr>
            <w:r w:rsidRPr="0015116B">
              <w:rPr>
                <w:color w:val="000000"/>
              </w:rPr>
              <w:t>80.72</w:t>
            </w:r>
          </w:p>
        </w:tc>
        <w:tc>
          <w:tcPr>
            <w:tcW w:w="1240" w:type="dxa"/>
            <w:tcBorders>
              <w:top w:val="single" w:sz="4" w:space="0" w:color="FFFFFF"/>
              <w:left w:val="nil"/>
              <w:bottom w:val="single" w:sz="12" w:space="0" w:color="auto"/>
              <w:right w:val="single" w:sz="4" w:space="0" w:color="FFFFFF"/>
            </w:tcBorders>
            <w:shd w:val="clear" w:color="auto" w:fill="auto"/>
            <w:noWrap/>
            <w:vAlign w:val="center"/>
            <w:hideMark/>
          </w:tcPr>
          <w:p w14:paraId="323B3E1D" w14:textId="4EF53EE5" w:rsidR="00DC05AB" w:rsidRPr="0015116B" w:rsidRDefault="00DC05AB" w:rsidP="00DC05AB">
            <w:pPr>
              <w:spacing w:after="0"/>
              <w:jc w:val="center"/>
              <w:rPr>
                <w:rFonts w:eastAsia="Times New Roman" w:cs="Times New Roman"/>
              </w:rPr>
            </w:pPr>
            <w:r w:rsidRPr="0015116B">
              <w:rPr>
                <w:color w:val="000000"/>
              </w:rPr>
              <w:t>77.84</w:t>
            </w:r>
          </w:p>
        </w:tc>
        <w:tc>
          <w:tcPr>
            <w:tcW w:w="1360" w:type="dxa"/>
            <w:tcBorders>
              <w:top w:val="single" w:sz="4" w:space="0" w:color="FFFFFF"/>
              <w:left w:val="nil"/>
              <w:bottom w:val="single" w:sz="12" w:space="0" w:color="auto"/>
              <w:right w:val="single" w:sz="4" w:space="0" w:color="FFFFFF"/>
            </w:tcBorders>
            <w:shd w:val="clear" w:color="auto" w:fill="auto"/>
            <w:noWrap/>
            <w:vAlign w:val="center"/>
            <w:hideMark/>
          </w:tcPr>
          <w:p w14:paraId="25CAA98A" w14:textId="4A3F9914" w:rsidR="00DC05AB" w:rsidRPr="0015116B" w:rsidRDefault="00DC05AB" w:rsidP="00DC05AB">
            <w:pPr>
              <w:spacing w:after="0"/>
              <w:jc w:val="center"/>
              <w:rPr>
                <w:rFonts w:eastAsia="Times New Roman" w:cs="Times New Roman"/>
              </w:rPr>
            </w:pPr>
            <w:r w:rsidRPr="0015116B">
              <w:rPr>
                <w:color w:val="000000"/>
              </w:rPr>
              <w:t>0.96</w:t>
            </w:r>
          </w:p>
        </w:tc>
        <w:tc>
          <w:tcPr>
            <w:tcW w:w="1100" w:type="dxa"/>
            <w:tcBorders>
              <w:top w:val="single" w:sz="4" w:space="0" w:color="FFFFFF"/>
              <w:left w:val="nil"/>
              <w:bottom w:val="single" w:sz="12" w:space="0" w:color="auto"/>
              <w:right w:val="single" w:sz="4" w:space="0" w:color="FFFFFF"/>
            </w:tcBorders>
            <w:shd w:val="clear" w:color="auto" w:fill="auto"/>
            <w:noWrap/>
            <w:vAlign w:val="center"/>
            <w:hideMark/>
          </w:tcPr>
          <w:p w14:paraId="6AD6E627" w14:textId="322EC4FF" w:rsidR="00DC05AB" w:rsidRPr="0015116B" w:rsidRDefault="00DC05AB" w:rsidP="00DC05AB">
            <w:pPr>
              <w:spacing w:after="0"/>
              <w:jc w:val="center"/>
              <w:rPr>
                <w:rFonts w:eastAsia="Times New Roman" w:cs="Times New Roman"/>
              </w:rPr>
            </w:pPr>
            <w:r w:rsidRPr="0015116B">
              <w:rPr>
                <w:color w:val="000000"/>
              </w:rPr>
              <w:t>0.93</w:t>
            </w:r>
          </w:p>
        </w:tc>
        <w:tc>
          <w:tcPr>
            <w:tcW w:w="1340" w:type="dxa"/>
            <w:tcBorders>
              <w:top w:val="single" w:sz="4" w:space="0" w:color="FFFFFF"/>
              <w:left w:val="nil"/>
              <w:bottom w:val="single" w:sz="12" w:space="0" w:color="auto"/>
              <w:right w:val="single" w:sz="4" w:space="0" w:color="FFFFFF"/>
            </w:tcBorders>
            <w:shd w:val="clear" w:color="auto" w:fill="auto"/>
            <w:noWrap/>
            <w:vAlign w:val="center"/>
            <w:hideMark/>
          </w:tcPr>
          <w:p w14:paraId="514849E6" w14:textId="3A3890D7" w:rsidR="00DC05AB" w:rsidRPr="0015116B" w:rsidRDefault="00DC05AB" w:rsidP="00DC05AB">
            <w:pPr>
              <w:spacing w:after="0"/>
              <w:jc w:val="center"/>
              <w:rPr>
                <w:rFonts w:eastAsia="Times New Roman" w:cs="Times New Roman"/>
              </w:rPr>
            </w:pPr>
            <w:r w:rsidRPr="0015116B">
              <w:rPr>
                <w:color w:val="000000"/>
              </w:rPr>
              <w:t>1982-2019</w:t>
            </w:r>
          </w:p>
        </w:tc>
        <w:tc>
          <w:tcPr>
            <w:tcW w:w="1350" w:type="dxa"/>
            <w:tcBorders>
              <w:top w:val="single" w:sz="4" w:space="0" w:color="FFFFFF"/>
              <w:left w:val="nil"/>
              <w:bottom w:val="single" w:sz="12" w:space="0" w:color="auto"/>
              <w:right w:val="single" w:sz="4" w:space="0" w:color="FFFFFF"/>
            </w:tcBorders>
            <w:shd w:val="clear" w:color="auto" w:fill="auto"/>
            <w:noWrap/>
            <w:vAlign w:val="center"/>
            <w:hideMark/>
          </w:tcPr>
          <w:p w14:paraId="5D47CD67" w14:textId="1014FD86" w:rsidR="00DC05AB" w:rsidRPr="0015116B" w:rsidRDefault="00DC05AB" w:rsidP="00DC05AB">
            <w:pPr>
              <w:spacing w:after="0"/>
              <w:jc w:val="center"/>
              <w:rPr>
                <w:rFonts w:eastAsia="Times New Roman" w:cs="Times New Roman"/>
              </w:rPr>
            </w:pPr>
            <w:r w:rsidRPr="0015116B">
              <w:rPr>
                <w:color w:val="000000"/>
              </w:rPr>
              <w:t>0.23</w:t>
            </w:r>
          </w:p>
        </w:tc>
      </w:tr>
    </w:tbl>
    <w:p w14:paraId="1686160D" w14:textId="4B508D06" w:rsidR="003F4E86" w:rsidRPr="0015116B" w:rsidRDefault="00C93C89" w:rsidP="00C93C89">
      <w:pPr>
        <w:pStyle w:val="SummaryTableFootnote"/>
      </w:pPr>
      <w:r w:rsidRPr="0015116B">
        <w:t>Notes: Values are c</w:t>
      </w:r>
      <w:r w:rsidR="00912769" w:rsidRPr="0015116B">
        <w:t>alculated from the assessment reviewed by the Crab Plan Team in 20XX of 20XX/</w:t>
      </w:r>
      <w:r w:rsidR="00677ABD" w:rsidRPr="0015116B">
        <w:t>(XX+1)</w:t>
      </w:r>
      <w:r w:rsidR="00912769" w:rsidRPr="0015116B">
        <w:t xml:space="preserve"> or based on the author’s preferred model for 20</w:t>
      </w:r>
      <w:r w:rsidR="00DC05AB" w:rsidRPr="0015116B">
        <w:t>20/21</w:t>
      </w:r>
      <w:r w:rsidR="00912769" w:rsidRPr="0015116B">
        <w:t>.</w:t>
      </w:r>
      <w:r w:rsidRPr="0015116B">
        <w:t xml:space="preserve"> Values for n</w:t>
      </w:r>
      <w:r w:rsidR="003F4E86" w:rsidRPr="0015116B">
        <w:t>atural mortality</w:t>
      </w:r>
      <w:r w:rsidRPr="0015116B">
        <w:t xml:space="preserve"> are nominal</w:t>
      </w:r>
      <w:r w:rsidR="003F4E86" w:rsidRPr="0015116B">
        <w:t xml:space="preserve">. Actual rates used in the assessment are estimated and may </w:t>
      </w:r>
      <w:r w:rsidR="00912769" w:rsidRPr="0015116B">
        <w:t xml:space="preserve">be </w:t>
      </w:r>
      <w:r w:rsidR="003F4E86" w:rsidRPr="0015116B">
        <w:t>differ</w:t>
      </w:r>
      <w:r w:rsidR="00912769" w:rsidRPr="0015116B">
        <w:t>ent</w:t>
      </w:r>
      <w:r w:rsidR="00E35203" w:rsidRPr="0015116B">
        <w:t>.</w:t>
      </w:r>
    </w:p>
    <w:p w14:paraId="7EABE197" w14:textId="09598F12" w:rsidR="00D7452A" w:rsidRPr="0015116B" w:rsidRDefault="00D7452A" w:rsidP="00D7452A">
      <w:r w:rsidRPr="0015116B">
        <w:t>Current male spawning stock biomass (MMB)</w:t>
      </w:r>
      <w:r w:rsidR="000D1346" w:rsidRPr="0015116B">
        <w:t>, as projected for 20</w:t>
      </w:r>
      <w:r w:rsidR="00556EDA" w:rsidRPr="0015116B">
        <w:t>20/21</w:t>
      </w:r>
      <w:r w:rsidR="004C1898" w:rsidRPr="0015116B">
        <w:t>,</w:t>
      </w:r>
      <w:r w:rsidRPr="0015116B">
        <w:t xml:space="preserve"> is estimated at </w:t>
      </w:r>
      <w:r w:rsidR="00556EDA" w:rsidRPr="0015116B">
        <w:t>35.31</w:t>
      </w:r>
      <w:r w:rsidRPr="0015116B">
        <w:t xml:space="preserve"> thousand t. B</w:t>
      </w:r>
      <w:r w:rsidRPr="0015116B">
        <w:rPr>
          <w:vertAlign w:val="subscript"/>
        </w:rPr>
        <w:t>MSY</w:t>
      </w:r>
      <w:r w:rsidRPr="0015116B">
        <w:t xml:space="preserve"> for this stock is calculated </w:t>
      </w:r>
      <w:r w:rsidR="001F3391" w:rsidRPr="0015116B">
        <w:t xml:space="preserve">to be </w:t>
      </w:r>
      <w:r w:rsidR="00556EDA" w:rsidRPr="0015116B">
        <w:t>36.62</w:t>
      </w:r>
      <w:r w:rsidR="001F3391" w:rsidRPr="0015116B">
        <w:t xml:space="preserve"> thousand t, so MSST is </w:t>
      </w:r>
      <w:r w:rsidR="00556EDA" w:rsidRPr="0015116B">
        <w:t>18.31</w:t>
      </w:r>
      <w:r w:rsidR="00912769" w:rsidRPr="0015116B">
        <w:t xml:space="preserve"> thousand t</w:t>
      </w:r>
      <w:r w:rsidR="001F3391" w:rsidRPr="0015116B">
        <w:t xml:space="preserve">. Because current MMB </w:t>
      </w:r>
      <w:r w:rsidR="00D62A07" w:rsidRPr="0015116B">
        <w:t>&gt;</w:t>
      </w:r>
      <w:r w:rsidR="001F3391" w:rsidRPr="0015116B">
        <w:t xml:space="preserve"> MSST, </w:t>
      </w:r>
      <w:r w:rsidR="001F3391" w:rsidRPr="0015116B">
        <w:rPr>
          <w:b/>
        </w:rPr>
        <w:t>the stock is not overfished</w:t>
      </w:r>
      <w:r w:rsidR="001F3391" w:rsidRPr="0015116B">
        <w:t>. Total catch mortality (retained + discard mortality in all fisheries</w:t>
      </w:r>
      <w:r w:rsidR="00912769" w:rsidRPr="0015116B">
        <w:t xml:space="preserve">, using a discard mortality rate of </w:t>
      </w:r>
      <w:r w:rsidR="006F7BDE" w:rsidRPr="0015116B">
        <w:t>0.</w:t>
      </w:r>
      <w:r w:rsidR="004C1898" w:rsidRPr="0015116B">
        <w:t>32</w:t>
      </w:r>
      <w:r w:rsidR="006F7BDE" w:rsidRPr="0015116B">
        <w:t>1</w:t>
      </w:r>
      <w:r w:rsidR="00912769" w:rsidRPr="0015116B">
        <w:t xml:space="preserve"> for pot gear and 0.8 for trawl gear</w:t>
      </w:r>
      <w:r w:rsidR="001F3391" w:rsidRPr="0015116B">
        <w:t>) in 20</w:t>
      </w:r>
      <w:r w:rsidR="00556EDA" w:rsidRPr="0015116B">
        <w:t>19/20</w:t>
      </w:r>
      <w:r w:rsidR="001F3391" w:rsidRPr="0015116B">
        <w:t xml:space="preserve"> was </w:t>
      </w:r>
      <w:r w:rsidR="00556EDA" w:rsidRPr="0015116B">
        <w:t>0.54</w:t>
      </w:r>
      <w:r w:rsidR="001F3391" w:rsidRPr="0015116B">
        <w:t xml:space="preserve"> </w:t>
      </w:r>
      <w:r w:rsidR="001F3391" w:rsidRPr="0015116B">
        <w:lastRenderedPageBreak/>
        <w:t>thousand t, which was less than the OFL for 20</w:t>
      </w:r>
      <w:r w:rsidR="00556EDA" w:rsidRPr="0015116B">
        <w:t>19/20</w:t>
      </w:r>
      <w:r w:rsidR="001F3391" w:rsidRPr="0015116B">
        <w:t xml:space="preserve"> (</w:t>
      </w:r>
      <w:r w:rsidR="00D62A07" w:rsidRPr="0015116B">
        <w:t>2</w:t>
      </w:r>
      <w:r w:rsidR="00556EDA" w:rsidRPr="0015116B">
        <w:t>8.86</w:t>
      </w:r>
      <w:r w:rsidR="001F3391" w:rsidRPr="0015116B">
        <w:t xml:space="preserve"> thousand t); consequently</w:t>
      </w:r>
      <w:r w:rsidR="007232BF" w:rsidRPr="0015116B">
        <w:t>,</w:t>
      </w:r>
      <w:r w:rsidR="001F3391" w:rsidRPr="0015116B">
        <w:t xml:space="preserve"> </w:t>
      </w:r>
      <w:r w:rsidR="001F3391" w:rsidRPr="0015116B">
        <w:rPr>
          <w:b/>
        </w:rPr>
        <w:t>overfishing did not occur</w:t>
      </w:r>
      <w:r w:rsidR="001F3391" w:rsidRPr="0015116B">
        <w:t>.</w:t>
      </w:r>
      <w:r w:rsidR="00661BF9" w:rsidRPr="0015116B">
        <w:t xml:space="preserve"> The OFL for 20</w:t>
      </w:r>
      <w:r w:rsidR="00556EDA" w:rsidRPr="0015116B">
        <w:t>20/21,</w:t>
      </w:r>
      <w:r w:rsidR="00661BF9" w:rsidRPr="0015116B">
        <w:t xml:space="preserve"> based on the author’s preferred model </w:t>
      </w:r>
      <w:r w:rsidR="00325D52" w:rsidRPr="0015116B">
        <w:t>(</w:t>
      </w:r>
      <w:r w:rsidR="00556EDA" w:rsidRPr="0015116B">
        <w:t>20.07</w:t>
      </w:r>
      <w:r w:rsidR="00325D52" w:rsidRPr="0015116B">
        <w:t>)</w:t>
      </w:r>
      <w:r w:rsidR="00556EDA" w:rsidRPr="0015116B">
        <w:t>,</w:t>
      </w:r>
      <w:r w:rsidR="00325D52" w:rsidRPr="0015116B">
        <w:t xml:space="preserve"> </w:t>
      </w:r>
      <w:r w:rsidR="00661BF9" w:rsidRPr="0015116B">
        <w:t xml:space="preserve">is </w:t>
      </w:r>
      <w:r w:rsidR="00556EDA" w:rsidRPr="0015116B">
        <w:t>20.88</w:t>
      </w:r>
      <w:r w:rsidR="00661BF9" w:rsidRPr="0015116B">
        <w:t xml:space="preserve"> thousand t. The </w:t>
      </w:r>
      <w:proofErr w:type="spellStart"/>
      <w:r w:rsidR="00661BF9" w:rsidRPr="0015116B">
        <w:t>ABC</w:t>
      </w:r>
      <w:r w:rsidR="00DF1E0F" w:rsidRPr="0015116B">
        <w:rPr>
          <w:vertAlign w:val="subscript"/>
        </w:rPr>
        <w:t>max</w:t>
      </w:r>
      <w:proofErr w:type="spellEnd"/>
      <w:r w:rsidR="00661BF9" w:rsidRPr="0015116B">
        <w:t xml:space="preserve"> for 20</w:t>
      </w:r>
      <w:r w:rsidR="00556EDA" w:rsidRPr="0015116B">
        <w:t>20/21</w:t>
      </w:r>
      <w:r w:rsidR="00661BF9" w:rsidRPr="0015116B">
        <w:t xml:space="preserve">, based on the </w:t>
      </w:r>
      <w:r w:rsidR="00BC75F6" w:rsidRPr="0015116B">
        <w:t>p</w:t>
      </w:r>
      <w:r w:rsidR="00BC75F6" w:rsidRPr="0015116B">
        <w:rPr>
          <w:vertAlign w:val="superscript"/>
        </w:rPr>
        <w:t>*</w:t>
      </w:r>
      <w:r w:rsidR="00BC75F6" w:rsidRPr="0015116B">
        <w:t xml:space="preserve"> ABC</w:t>
      </w:r>
      <w:r w:rsidR="00661BF9" w:rsidRPr="0015116B">
        <w:t xml:space="preserve">, is </w:t>
      </w:r>
      <w:r w:rsidR="00D62A07" w:rsidRPr="0015116B">
        <w:t>2</w:t>
      </w:r>
      <w:r w:rsidR="00556EDA" w:rsidRPr="0015116B">
        <w:t>0.87</w:t>
      </w:r>
      <w:r w:rsidR="00661BF9" w:rsidRPr="0015116B">
        <w:t xml:space="preserve"> thousand t.</w:t>
      </w:r>
      <w:r w:rsidR="00DF1E0F" w:rsidRPr="0015116B">
        <w:t xml:space="preserve"> </w:t>
      </w:r>
      <w:r w:rsidR="00325D52" w:rsidRPr="0015116B">
        <w:t xml:space="preserve">In 2014, the SSC adopted a 20% buffer to calculate ABC for Tanner crab to incorporate concerns regarding model uncertainty for this stock. Based on this buffer, the ABC would be </w:t>
      </w:r>
      <w:r w:rsidR="00556EDA" w:rsidRPr="0015116B">
        <w:t>16.70</w:t>
      </w:r>
      <w:r w:rsidR="00325D52" w:rsidRPr="0015116B">
        <w:t xml:space="preserve"> thousand t.</w:t>
      </w:r>
    </w:p>
    <w:p w14:paraId="22FA6973" w14:textId="77777777" w:rsidR="00822856" w:rsidRPr="0015116B" w:rsidRDefault="00895389" w:rsidP="00895389">
      <w:pPr>
        <w:pStyle w:val="Heading3"/>
      </w:pPr>
      <w:r w:rsidRPr="0015116B">
        <w:t xml:space="preserve">7. </w:t>
      </w:r>
      <w:r w:rsidR="007960BD" w:rsidRPr="0015116B">
        <w:t>R</w:t>
      </w:r>
      <w:r w:rsidR="00435BF8" w:rsidRPr="0015116B">
        <w:t>ebuilding analyses</w:t>
      </w:r>
      <w:r w:rsidR="007960BD" w:rsidRPr="0015116B">
        <w:t xml:space="preserve"> summary</w:t>
      </w:r>
      <w:r w:rsidR="00435BF8" w:rsidRPr="0015116B">
        <w:t>.</w:t>
      </w:r>
    </w:p>
    <w:p w14:paraId="7BAC2389" w14:textId="789B52F9" w:rsidR="00831ADF" w:rsidRPr="0015116B" w:rsidRDefault="00633CD8" w:rsidP="00831ADF">
      <w:r w:rsidRPr="0015116B">
        <w:t xml:space="preserve">The EBS Tanner crab stock was </w:t>
      </w:r>
      <w:r w:rsidR="007A57BE" w:rsidRPr="0015116B">
        <w:t>found to be above MSST (and B</w:t>
      </w:r>
      <w:r w:rsidR="007A57BE" w:rsidRPr="0015116B">
        <w:rPr>
          <w:vertAlign w:val="subscript"/>
        </w:rPr>
        <w:t>MSY</w:t>
      </w:r>
      <w:r w:rsidR="007A57BE" w:rsidRPr="0015116B">
        <w:t>) in the 2012 assessment (</w:t>
      </w:r>
      <w:r w:rsidR="0051529B" w:rsidRPr="0015116B">
        <w:t xml:space="preserve">Rugolo and </w:t>
      </w:r>
      <w:proofErr w:type="spellStart"/>
      <w:r w:rsidR="0051529B" w:rsidRPr="0015116B">
        <w:t>Turnock</w:t>
      </w:r>
      <w:proofErr w:type="spellEnd"/>
      <w:r w:rsidR="0051529B" w:rsidRPr="0015116B">
        <w:t>, 2012</w:t>
      </w:r>
      <w:r w:rsidR="00922843" w:rsidRPr="0015116B">
        <w:t>b</w:t>
      </w:r>
      <w:r w:rsidR="007A57BE" w:rsidRPr="0015116B">
        <w:t xml:space="preserve">) and was subsequently declared rebuilt. </w:t>
      </w:r>
      <w:r w:rsidR="00677ABD" w:rsidRPr="0015116B">
        <w:t xml:space="preserve">The stock remains not overfished. </w:t>
      </w:r>
      <w:r w:rsidR="007A57BE" w:rsidRPr="0015116B">
        <w:t>Consequently</w:t>
      </w:r>
      <w:r w:rsidR="007232BF" w:rsidRPr="0015116B">
        <w:t>,</w:t>
      </w:r>
      <w:r w:rsidR="007A57BE" w:rsidRPr="0015116B">
        <w:t xml:space="preserve"> no rebuilding analyses were conducted.</w:t>
      </w:r>
    </w:p>
    <w:p w14:paraId="15DC38E8" w14:textId="77777777" w:rsidR="00435BF8" w:rsidRPr="0015116B" w:rsidRDefault="00D747BE" w:rsidP="006047FA">
      <w:pPr>
        <w:pStyle w:val="Heading1"/>
      </w:pPr>
      <w:r w:rsidRPr="0015116B">
        <w:t xml:space="preserve">A. </w:t>
      </w:r>
      <w:r w:rsidR="00435BF8" w:rsidRPr="0015116B">
        <w:t>Summary of Major Changes</w:t>
      </w:r>
    </w:p>
    <w:p w14:paraId="3C7FD2C1" w14:textId="77777777" w:rsidR="00435BF8" w:rsidRPr="0015116B" w:rsidRDefault="00895389" w:rsidP="00895389">
      <w:pPr>
        <w:pStyle w:val="Heading3"/>
      </w:pPr>
      <w:r w:rsidRPr="0015116B">
        <w:t xml:space="preserve">1. </w:t>
      </w:r>
      <w:r w:rsidR="00435BF8" w:rsidRPr="0015116B">
        <w:t>Changes (if any) to the management of the fishery.</w:t>
      </w:r>
    </w:p>
    <w:p w14:paraId="4B4AC023" w14:textId="2209DE1F" w:rsidR="00585989" w:rsidRPr="0015116B" w:rsidRDefault="00F07DD8" w:rsidP="00585989">
      <w:r w:rsidRPr="0015116B">
        <w:t xml:space="preserve">The SOA’s harvest </w:t>
      </w:r>
      <w:r w:rsidR="00A736AD" w:rsidRPr="0015116B">
        <w:t>control rule (HCR)</w:t>
      </w:r>
      <w:r w:rsidRPr="0015116B">
        <w:t xml:space="preserve"> for setting TAC in the directed Tanner crab fisheries ha</w:t>
      </w:r>
      <w:r w:rsidR="00A736AD" w:rsidRPr="0015116B">
        <w:t>s</w:t>
      </w:r>
      <w:r w:rsidRPr="0015116B">
        <w:t xml:space="preserve"> undergone three revisions in the past 6 years</w:t>
      </w:r>
      <w:r w:rsidR="00A736AD" w:rsidRPr="0015116B">
        <w:t xml:space="preserve"> (Daly et al., 2020)</w:t>
      </w:r>
      <w:r w:rsidRPr="0015116B">
        <w:t>. In</w:t>
      </w:r>
      <w:r w:rsidR="00585989" w:rsidRPr="0015116B">
        <w:t xml:space="preserve"> 2015</w:t>
      </w:r>
      <w:r w:rsidRPr="0015116B">
        <w:t>,</w:t>
      </w:r>
      <w:r w:rsidR="00585989" w:rsidRPr="0015116B">
        <w:t xml:space="preserve"> </w:t>
      </w:r>
      <w:r w:rsidRPr="0015116B">
        <w:t>the</w:t>
      </w:r>
      <w:r w:rsidR="00585989" w:rsidRPr="0015116B">
        <w:t xml:space="preserve"> </w:t>
      </w:r>
      <w:r w:rsidR="00783F63" w:rsidRPr="0015116B">
        <w:t xml:space="preserve">minimum </w:t>
      </w:r>
      <w:r w:rsidR="00585989" w:rsidRPr="0015116B">
        <w:t xml:space="preserve">preferred harvest size </w:t>
      </w:r>
      <w:r w:rsidRPr="0015116B">
        <w:t>used to compute TAC for the area east of 166</w:t>
      </w:r>
      <w:r w:rsidR="00F74B91" w:rsidRPr="0015116B">
        <w:rPr>
          <w:vertAlign w:val="superscript"/>
        </w:rPr>
        <w:t>o</w:t>
      </w:r>
      <w:r w:rsidRPr="0015116B">
        <w:t xml:space="preserve">W longitude was changed from 140 mm CW (5.5 inches; including the lateral spines) to </w:t>
      </w:r>
      <w:r w:rsidR="00783F63" w:rsidRPr="0015116B">
        <w:t>127 mm CW (</w:t>
      </w:r>
      <w:r w:rsidR="00585989" w:rsidRPr="0015116B">
        <w:t>5</w:t>
      </w:r>
      <w:r w:rsidR="00783F63" w:rsidRPr="0015116B">
        <w:t>.0</w:t>
      </w:r>
      <w:r w:rsidR="00585989" w:rsidRPr="0015116B">
        <w:t xml:space="preserve"> inches</w:t>
      </w:r>
      <w:r w:rsidR="00783F63" w:rsidRPr="0015116B">
        <w:t>)</w:t>
      </w:r>
      <w:r w:rsidR="00F74B91" w:rsidRPr="0015116B">
        <w:t>, the preferred size used to compute TAC for the area west of 166</w:t>
      </w:r>
      <w:r w:rsidR="00F74B91" w:rsidRPr="0015116B">
        <w:rPr>
          <w:vertAlign w:val="superscript"/>
        </w:rPr>
        <w:t>o</w:t>
      </w:r>
      <w:r w:rsidR="00F74B91" w:rsidRPr="0015116B">
        <w:t>W longitude</w:t>
      </w:r>
      <w:r w:rsidR="00783F63" w:rsidRPr="0015116B">
        <w:t>.</w:t>
      </w:r>
      <w:r w:rsidR="00C93C89" w:rsidRPr="0015116B">
        <w:t xml:space="preserve"> </w:t>
      </w:r>
      <w:r w:rsidR="00F74B91" w:rsidRPr="0015116B">
        <w:t xml:space="preserve">In 2017, the criteria used to determine mature female biomass (MFB) was changed from </w:t>
      </w:r>
      <w:r w:rsidR="00990D76" w:rsidRPr="0015116B">
        <w:t xml:space="preserve">an area-specific </w:t>
      </w:r>
      <w:r w:rsidR="00F74B91" w:rsidRPr="0015116B">
        <w:t>one based on carapace width to one based on</w:t>
      </w:r>
      <w:r w:rsidRPr="0015116B">
        <w:t xml:space="preserve"> morphology</w:t>
      </w:r>
      <w:r w:rsidR="00F74B91" w:rsidRPr="0015116B">
        <w:t xml:space="preserve"> (the same as that used by the NMFS EBS shelf bottom trawl survey)</w:t>
      </w:r>
      <w:r w:rsidRPr="0015116B">
        <w:t xml:space="preserve">, the definition of ‘long-term average’ </w:t>
      </w:r>
      <w:r w:rsidR="00F74B91" w:rsidRPr="0015116B">
        <w:t xml:space="preserve">for calculating average </w:t>
      </w:r>
      <w:r w:rsidR="00990D76" w:rsidRPr="0015116B">
        <w:t>mature biomass</w:t>
      </w:r>
      <w:r w:rsidR="00F74B91" w:rsidRPr="0015116B">
        <w:t xml:space="preserve"> </w:t>
      </w:r>
      <w:r w:rsidRPr="0015116B">
        <w:t xml:space="preserve">was changed </w:t>
      </w:r>
      <w:r w:rsidR="00F74B91" w:rsidRPr="0015116B">
        <w:t xml:space="preserve">from 1975-2010 </w:t>
      </w:r>
      <w:r w:rsidRPr="0015116B">
        <w:t xml:space="preserve">to 1982-2016, the spatial range </w:t>
      </w:r>
      <w:r w:rsidR="00990D76" w:rsidRPr="0015116B">
        <w:t xml:space="preserve">for calculating average MFB </w:t>
      </w:r>
      <w:r w:rsidRPr="0015116B">
        <w:t xml:space="preserve">was expanded to include the entire </w:t>
      </w:r>
      <w:r w:rsidR="00F74B91" w:rsidRPr="0015116B">
        <w:t xml:space="preserve">NMFS </w:t>
      </w:r>
      <w:r w:rsidRPr="0015116B">
        <w:t xml:space="preserve">EBS </w:t>
      </w:r>
      <w:r w:rsidR="00F74B91" w:rsidRPr="0015116B">
        <w:t>shelf bottom trawl</w:t>
      </w:r>
      <w:r w:rsidRPr="0015116B">
        <w:t xml:space="preserve"> survey area, and a</w:t>
      </w:r>
      <w:r w:rsidR="00F74B91" w:rsidRPr="0015116B">
        <w:t xml:space="preserve"> so-called</w:t>
      </w:r>
      <w:r w:rsidRPr="0015116B">
        <w:t xml:space="preserve"> 'error band system' was introduced to account for survey uncertainty </w:t>
      </w:r>
      <w:r w:rsidR="00F74B91" w:rsidRPr="0015116B">
        <w:t xml:space="preserve">such </w:t>
      </w:r>
      <w:r w:rsidRPr="0015116B">
        <w:t xml:space="preserve">that the exploitation rate on </w:t>
      </w:r>
      <w:r w:rsidR="00990D76" w:rsidRPr="0015116B">
        <w:t xml:space="preserve">industry-preferred </w:t>
      </w:r>
      <w:r w:rsidRPr="0015116B">
        <w:t xml:space="preserve">males </w:t>
      </w:r>
      <w:r w:rsidR="00990D76" w:rsidRPr="0015116B">
        <w:t xml:space="preserve">used to calculate </w:t>
      </w:r>
      <w:r w:rsidR="00F74B91" w:rsidRPr="0015116B">
        <w:t xml:space="preserve">was gradually reduced </w:t>
      </w:r>
      <w:r w:rsidRPr="0015116B">
        <w:t xml:space="preserve">when the lower 95% confidence interval of the point estimate of </w:t>
      </w:r>
      <w:r w:rsidR="00990D76" w:rsidRPr="0015116B">
        <w:t>MFB</w:t>
      </w:r>
      <w:r w:rsidRPr="0015116B">
        <w:t xml:space="preserve"> fell below 40% of the long-term average (</w:t>
      </w:r>
      <w:r w:rsidR="00990D76" w:rsidRPr="0015116B">
        <w:t xml:space="preserve">replacing a requirement to close the fisheries when MFB fell below the 40% threshold; </w:t>
      </w:r>
      <w:r w:rsidRPr="0015116B">
        <w:t>ADF&amp;G, 2017</w:t>
      </w:r>
      <w:r w:rsidR="00990D76" w:rsidRPr="0015116B">
        <w:t>; Daly et al., 2020</w:t>
      </w:r>
      <w:r w:rsidRPr="0015116B">
        <w:t>).</w:t>
      </w:r>
      <w:r w:rsidR="00C93C89" w:rsidRPr="0015116B">
        <w:t xml:space="preserve"> </w:t>
      </w:r>
      <w:r w:rsidR="00990D76" w:rsidRPr="0015116B">
        <w:t xml:space="preserve">In </w:t>
      </w:r>
      <w:r w:rsidR="00A736AD" w:rsidRPr="0015116B">
        <w:t xml:space="preserve">March </w:t>
      </w:r>
      <w:r w:rsidR="00990D76" w:rsidRPr="0015116B">
        <w:t xml:space="preserve">2020, </w:t>
      </w:r>
      <w:r w:rsidR="00A736AD" w:rsidRPr="0015116B">
        <w:t xml:space="preserve">the harvest control rule was </w:t>
      </w:r>
      <w:r w:rsidR="00877F27" w:rsidRPr="0015116B">
        <w:t xml:space="preserve">again </w:t>
      </w:r>
      <w:r w:rsidR="00A736AD" w:rsidRPr="0015116B">
        <w:t xml:space="preserve">changed based on results from </w:t>
      </w:r>
      <w:r w:rsidR="00877F27" w:rsidRPr="0015116B">
        <w:t>an extensive management strategy evaluation (MSE) conducted with input from industry stakeholders, NMFS and academic scientists, and ADF&amp;G managers (Daly et al., 2020). The current HCR (HCR 4_1 in Daly et al., 2020) defines the period for calculating average mature biomass as 1982-201</w:t>
      </w:r>
      <w:r w:rsidR="00D14731" w:rsidRPr="0015116B">
        <w:t>8</w:t>
      </w:r>
      <w:r w:rsidR="00877F27" w:rsidRPr="0015116B">
        <w:t xml:space="preserve"> and implements sliding scale</w:t>
      </w:r>
      <w:r w:rsidR="00D14731" w:rsidRPr="0015116B">
        <w:t>s</w:t>
      </w:r>
      <w:r w:rsidR="00877F27" w:rsidRPr="0015116B">
        <w:t xml:space="preserve"> for exploitation rates on mature males which </w:t>
      </w:r>
      <w:r w:rsidR="00D14731" w:rsidRPr="0015116B">
        <w:t>are</w:t>
      </w:r>
      <w:r w:rsidR="00877F27" w:rsidRPr="0015116B">
        <w:t xml:space="preserve"> function</w:t>
      </w:r>
      <w:r w:rsidR="00D14731" w:rsidRPr="0015116B">
        <w:t>s</w:t>
      </w:r>
      <w:r w:rsidR="00877F27" w:rsidRPr="0015116B">
        <w:t xml:space="preserve"> of the ratios of MMB and MFB to their </w:t>
      </w:r>
      <w:proofErr w:type="spellStart"/>
      <w:r w:rsidR="00877F27" w:rsidRPr="0015116B">
        <w:t>longterm</w:t>
      </w:r>
      <w:proofErr w:type="spellEnd"/>
      <w:r w:rsidR="00877F27" w:rsidRPr="0015116B">
        <w:t xml:space="preserve"> averages.</w:t>
      </w:r>
    </w:p>
    <w:p w14:paraId="001EBB09" w14:textId="65499C6E" w:rsidR="0025431B" w:rsidRPr="0015116B" w:rsidRDefault="00902372" w:rsidP="00585989">
      <w:r w:rsidRPr="0015116B">
        <w:t>The directed Tanner crab fisher</w:t>
      </w:r>
      <w:r w:rsidR="000D1346" w:rsidRPr="0015116B">
        <w:t>y east</w:t>
      </w:r>
      <w:r w:rsidRPr="0015116B">
        <w:t xml:space="preserve"> of 166</w:t>
      </w:r>
      <w:r w:rsidRPr="0015116B">
        <w:rPr>
          <w:vertAlign w:val="superscript"/>
        </w:rPr>
        <w:t>o</w:t>
      </w:r>
      <w:r w:rsidRPr="0015116B">
        <w:t>W longitude</w:t>
      </w:r>
      <w:r w:rsidR="000D1346" w:rsidRPr="0015116B">
        <w:t xml:space="preserve"> </w:t>
      </w:r>
      <w:r w:rsidR="00EA3AA3" w:rsidRPr="0015116B">
        <w:t>ha</w:t>
      </w:r>
      <w:r w:rsidR="000D1346" w:rsidRPr="0015116B">
        <w:t>s</w:t>
      </w:r>
      <w:r w:rsidRPr="0015116B">
        <w:t xml:space="preserve"> </w:t>
      </w:r>
      <w:r w:rsidR="00EA3AA3" w:rsidRPr="0015116B">
        <w:t xml:space="preserve">been </w:t>
      </w:r>
      <w:r w:rsidRPr="0015116B">
        <w:t xml:space="preserve">closed </w:t>
      </w:r>
      <w:r w:rsidR="00EA3AA3" w:rsidRPr="0015116B">
        <w:t>s</w:t>
      </w:r>
      <w:r w:rsidR="000D1346" w:rsidRPr="0015116B">
        <w:t>in</w:t>
      </w:r>
      <w:r w:rsidR="00EA3AA3" w:rsidRPr="0015116B">
        <w:t>ce</w:t>
      </w:r>
      <w:r w:rsidR="000D1346" w:rsidRPr="0015116B">
        <w:t xml:space="preserve"> 2016/17</w:t>
      </w:r>
      <w:r w:rsidRPr="0015116B">
        <w:t xml:space="preserve"> because mature female Tanner crab biomass </w:t>
      </w:r>
      <w:r w:rsidR="00EA3AA3" w:rsidRPr="0015116B">
        <w:t xml:space="preserve">in the area has </w:t>
      </w:r>
      <w:r w:rsidRPr="0015116B">
        <w:t>failed to meet the criteria defined in the SOA’s harvest strategy to open the fisher</w:t>
      </w:r>
      <w:r w:rsidR="00EA3AA3" w:rsidRPr="0015116B">
        <w:t>y</w:t>
      </w:r>
      <w:r w:rsidRPr="0015116B">
        <w:t xml:space="preserve">. </w:t>
      </w:r>
      <w:r w:rsidR="00EA3AA3" w:rsidRPr="0015116B">
        <w:t>The directed fishery west of 166</w:t>
      </w:r>
      <w:r w:rsidR="00EA3AA3" w:rsidRPr="0015116B">
        <w:rPr>
          <w:vertAlign w:val="superscript"/>
        </w:rPr>
        <w:t>o</w:t>
      </w:r>
      <w:r w:rsidR="00EA3AA3" w:rsidRPr="0015116B">
        <w:t xml:space="preserve">W longitude was also closed in 2016/17, but </w:t>
      </w:r>
      <w:r w:rsidR="007232BF" w:rsidRPr="0015116B">
        <w:t>was</w:t>
      </w:r>
      <w:r w:rsidR="00EA3AA3" w:rsidRPr="0015116B">
        <w:t xml:space="preserve"> prosecuted in 2017/18 and 2018/19.</w:t>
      </w:r>
      <w:r w:rsidR="007232BF" w:rsidRPr="0015116B">
        <w:t xml:space="preserve"> It was closed, as well, in 2019/20.</w:t>
      </w:r>
    </w:p>
    <w:p w14:paraId="37CE6280" w14:textId="77777777" w:rsidR="00435BF8" w:rsidRPr="0015116B" w:rsidRDefault="00895389" w:rsidP="00895389">
      <w:pPr>
        <w:pStyle w:val="Heading3"/>
      </w:pPr>
      <w:r w:rsidRPr="0015116B">
        <w:t xml:space="preserve">2. </w:t>
      </w:r>
      <w:r w:rsidR="00435BF8" w:rsidRPr="0015116B">
        <w:t>Changes to the input data</w:t>
      </w:r>
    </w:p>
    <w:p w14:paraId="03A5A0D8" w14:textId="166C620D" w:rsidR="00831ADF" w:rsidRPr="0015116B" w:rsidRDefault="008450C5" w:rsidP="00831ADF">
      <w:r w:rsidRPr="0015116B">
        <w:t xml:space="preserve">Due to safety concerns associated with the COVID-19 pandemic, the 2020 NMFS EBS shelf bottom trawl survey was cancelled. In addition, the directed fisheries for Tanner crab were closed by SOA regulation (estimated mature female biomass failed to meet the criteria for opening the fisheries). Thus, the changes to the input data to the assessment consisted mainly of finalized catch data for 2018/19 and new bycatch data for 2019/20. However, </w:t>
      </w:r>
      <w:r w:rsidR="00A37844" w:rsidRPr="0015116B">
        <w:t xml:space="preserve">estimated bycatch abundance and biomass in the groundfish fisheries for 2016/17-2018/19 also changed because AKFIN updated the algorithms it uses to calculate the estimate to match those the NMFS Alaska Regional Office uses to calculate Prohibited Species Catch (PSC) estimates. </w:t>
      </w:r>
      <w:r w:rsidR="00F65583" w:rsidRPr="0015116B">
        <w:t xml:space="preserve">The following table </w:t>
      </w:r>
      <w:r w:rsidR="002922F3" w:rsidRPr="0015116B">
        <w:t>summarizes</w:t>
      </w:r>
      <w:r w:rsidR="00F65583" w:rsidRPr="0015116B">
        <w:t xml:space="preserve"> </w:t>
      </w:r>
      <w:r w:rsidR="00DE4C17" w:rsidRPr="0015116B">
        <w:t>data sources that have been updated</w:t>
      </w:r>
      <w:r w:rsidR="002922F3" w:rsidRPr="0015116B">
        <w:t xml:space="preserve"> for this assessment</w:t>
      </w:r>
      <w:r w:rsidR="00DE4C17" w:rsidRPr="0015116B">
        <w:t>:</w:t>
      </w:r>
    </w:p>
    <w:p w14:paraId="041837DE" w14:textId="77777777" w:rsidR="009C6CF6" w:rsidRPr="0015116B" w:rsidRDefault="009C6CF6" w:rsidP="009C6CF6">
      <w:pPr>
        <w:pStyle w:val="SummaryTableCaption"/>
      </w:pPr>
      <w:r w:rsidRPr="0015116B">
        <w:lastRenderedPageBreak/>
        <w:t>Updated data sources.</w:t>
      </w:r>
    </w:p>
    <w:p w14:paraId="60E6C764" w14:textId="383D0B88" w:rsidR="00EA3AA3" w:rsidRPr="0015116B" w:rsidRDefault="008450C5" w:rsidP="00831ADF">
      <w:r w:rsidRPr="0015116B">
        <w:rPr>
          <w:noProof/>
        </w:rPr>
        <w:drawing>
          <wp:inline distT="0" distB="0" distL="0" distR="0" wp14:anchorId="30CC27C9" wp14:editId="5F19577D">
            <wp:extent cx="5943600" cy="41591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943600" cy="4159134"/>
                    </a:xfrm>
                    <a:prstGeom prst="rect">
                      <a:avLst/>
                    </a:prstGeom>
                    <a:noFill/>
                    <a:ln>
                      <a:noFill/>
                    </a:ln>
                  </pic:spPr>
                </pic:pic>
              </a:graphicData>
            </a:graphic>
          </wp:inline>
        </w:drawing>
      </w:r>
    </w:p>
    <w:p w14:paraId="6EFC1B3E" w14:textId="77777777" w:rsidR="00435BF8" w:rsidRPr="0015116B" w:rsidRDefault="00895389" w:rsidP="00895389">
      <w:pPr>
        <w:pStyle w:val="Heading3"/>
      </w:pPr>
      <w:r w:rsidRPr="0015116B">
        <w:t xml:space="preserve">3. </w:t>
      </w:r>
      <w:r w:rsidR="00435BF8" w:rsidRPr="0015116B">
        <w:t>Changes</w:t>
      </w:r>
      <w:r w:rsidR="007960BD" w:rsidRPr="0015116B">
        <w:t xml:space="preserve"> </w:t>
      </w:r>
      <w:r w:rsidR="00435BF8" w:rsidRPr="0015116B">
        <w:t>to the assessment methodology.</w:t>
      </w:r>
    </w:p>
    <w:p w14:paraId="09EB1AA9" w14:textId="25F5A26C" w:rsidR="00380B68" w:rsidRPr="0015116B" w:rsidRDefault="00771F33" w:rsidP="00831ADF">
      <w:r w:rsidRPr="0015116B">
        <w:t xml:space="preserve">The assessment model framework, TCSAM02, is described in detail in Appendix 1. </w:t>
      </w:r>
      <w:r w:rsidR="00380B68" w:rsidRPr="0015116B">
        <w:t xml:space="preserve">The model </w:t>
      </w:r>
      <w:r w:rsidR="007232BF" w:rsidRPr="0015116B">
        <w:t>accepted for the 2019 assessment</w:t>
      </w:r>
      <w:r w:rsidR="00380B68" w:rsidRPr="0015116B">
        <w:t xml:space="preserve">, </w:t>
      </w:r>
      <w:r w:rsidR="008A1598" w:rsidRPr="0015116B">
        <w:t>“</w:t>
      </w:r>
      <w:r w:rsidR="007232BF" w:rsidRPr="0015116B">
        <w:t>19.03</w:t>
      </w:r>
      <w:r w:rsidR="008A1598" w:rsidRPr="0015116B">
        <w:t>”</w:t>
      </w:r>
      <w:r w:rsidR="007232BF" w:rsidRPr="0015116B">
        <w:t xml:space="preserve"> (referred to as M19F03 in the 2019 SAFE chapter)</w:t>
      </w:r>
      <w:r w:rsidR="00380B68" w:rsidRPr="0015116B">
        <w:t>, differ</w:t>
      </w:r>
      <w:r w:rsidR="007232BF" w:rsidRPr="0015116B">
        <w:t>ed</w:t>
      </w:r>
      <w:r w:rsidR="00380B68" w:rsidRPr="0015116B">
        <w:t xml:space="preserve"> rather substantially from the 2017 </w:t>
      </w:r>
      <w:r w:rsidR="008A1598" w:rsidRPr="0015116B">
        <w:t xml:space="preserve">and 2018 </w:t>
      </w:r>
      <w:r w:rsidR="00380B68" w:rsidRPr="0015116B">
        <w:t>assessment model</w:t>
      </w:r>
      <w:r w:rsidR="008A1598" w:rsidRPr="0015116B">
        <w:t>s</w:t>
      </w:r>
      <w:r w:rsidR="00380B68" w:rsidRPr="0015116B">
        <w:t xml:space="preserve"> by: </w:t>
      </w:r>
      <w:r w:rsidR="008A1598" w:rsidRPr="0015116B">
        <w:t>1</w:t>
      </w:r>
      <w:r w:rsidR="00380B68" w:rsidRPr="0015116B">
        <w:t>) adding a likelihood component to fit annual male maturity ogives determined from chela height-to-carapace width ratios in the NMFS survey</w:t>
      </w:r>
      <w:r w:rsidR="008A1598" w:rsidRPr="0015116B">
        <w:t>;</w:t>
      </w:r>
      <w:r w:rsidR="00136DB9" w:rsidRPr="0015116B">
        <w:t xml:space="preserve"> </w:t>
      </w:r>
      <w:r w:rsidR="008A1598" w:rsidRPr="0015116B">
        <w:t>2</w:t>
      </w:r>
      <w:r w:rsidR="00380B68" w:rsidRPr="0015116B">
        <w:t>) eliminating fits to survey biomass and size composition data for male crab classified as mature/immature based on a maturity ogive determined outside the model</w:t>
      </w:r>
      <w:r w:rsidR="008A1598" w:rsidRPr="0015116B">
        <w:t>;</w:t>
      </w:r>
      <w:r w:rsidR="00380B68" w:rsidRPr="0015116B">
        <w:t xml:space="preserve"> and </w:t>
      </w:r>
      <w:r w:rsidR="008A1598" w:rsidRPr="0015116B">
        <w:t xml:space="preserve">3) </w:t>
      </w:r>
      <w:r w:rsidR="00380B68" w:rsidRPr="0015116B">
        <w:t xml:space="preserve">instead fitting to time series of </w:t>
      </w:r>
      <w:r w:rsidR="007F4C1B" w:rsidRPr="0015116B">
        <w:t>undifferentiated</w:t>
      </w:r>
      <w:r w:rsidR="00380B68" w:rsidRPr="0015116B">
        <w:t xml:space="preserve"> male survey biomass</w:t>
      </w:r>
      <w:r w:rsidR="007F4C1B" w:rsidRPr="0015116B">
        <w:t>,</w:t>
      </w:r>
      <w:r w:rsidR="00380B68" w:rsidRPr="0015116B">
        <w:t xml:space="preserve"> abundance, </w:t>
      </w:r>
      <w:r w:rsidR="007F4C1B" w:rsidRPr="0015116B">
        <w:t>and</w:t>
      </w:r>
      <w:r w:rsidR="00380B68" w:rsidRPr="0015116B">
        <w:t xml:space="preserve"> size compositions</w:t>
      </w:r>
      <w:r w:rsidR="00136DB9" w:rsidRPr="0015116B">
        <w:t>.</w:t>
      </w:r>
      <w:r w:rsidR="00380B68" w:rsidRPr="0015116B">
        <w:t xml:space="preserve"> </w:t>
      </w:r>
      <w:r w:rsidR="00136DB9" w:rsidRPr="0015116B">
        <w:t xml:space="preserve">In addition, </w:t>
      </w:r>
      <w:r w:rsidR="007F4C1B" w:rsidRPr="0015116B">
        <w:t xml:space="preserve">this scenario fit </w:t>
      </w:r>
      <w:r w:rsidR="00136DB9" w:rsidRPr="0015116B">
        <w:t>revised time series data for retained and total catch biomass since 1990/91 provided by ADFG for the directed Tanner crab, snow crab and Bristol Bay red king crab fisheries.</w:t>
      </w:r>
      <w:r w:rsidR="00147FBB" w:rsidRPr="0015116B">
        <w:t xml:space="preserve"> The model scenario 19.03(2020) is the base model for this assessment, and represents last year’s assessment model, 19.03, with the addition of fishery data for 2019/20.</w:t>
      </w:r>
    </w:p>
    <w:p w14:paraId="3D22F7F2" w14:textId="4B9C9840" w:rsidR="00147FBB" w:rsidRPr="0015116B" w:rsidRDefault="00147FBB" w:rsidP="00831ADF">
      <w:r w:rsidRPr="0015116B">
        <w:t xml:space="preserve">The additional uncertainty introduced into the assessment due to the lack of a 2020 NMFS EBS shelf bottom trawl survey was evaluated </w:t>
      </w:r>
      <w:r w:rsidR="00C835B5" w:rsidRPr="0015116B">
        <w:t>(Appendix 2) f</w:t>
      </w:r>
      <w:r w:rsidRPr="0015116B">
        <w:t>or 19.</w:t>
      </w:r>
      <w:r w:rsidR="00C835B5" w:rsidRPr="0015116B">
        <w:t>03 and 19.03(2020) using: 1) retrospective analyses in which the terminal year was sequentially dropped from the 19.03 dataset, re-run, and compared with results from the same model run without NMFS survey data in the terminal year and 2) model runs with simulated 2020 survey biomass data that bracketed the range of the value expected if the survey had been conducted.</w:t>
      </w:r>
    </w:p>
    <w:p w14:paraId="310790C7" w14:textId="6CA7F2B7" w:rsidR="007232BF" w:rsidRPr="0015116B" w:rsidRDefault="007232BF" w:rsidP="00831ADF">
      <w:r w:rsidRPr="0015116B">
        <w:t xml:space="preserve">The </w:t>
      </w:r>
      <w:r w:rsidR="00302F86" w:rsidRPr="0015116B">
        <w:t xml:space="preserve">author-preferred </w:t>
      </w:r>
      <w:r w:rsidR="00147FBB" w:rsidRPr="0015116B">
        <w:t>scenario</w:t>
      </w:r>
      <w:r w:rsidR="00302F86" w:rsidRPr="0015116B">
        <w:t xml:space="preserve"> for this assessment</w:t>
      </w:r>
      <w:r w:rsidR="00FF19D8" w:rsidRPr="0015116B">
        <w:t xml:space="preserve"> is Scenario 20.07, which builds on 19.03 by incorporating BSFRF trawl survey data from its cooperative “side-by-side” (SBS) catch </w:t>
      </w:r>
      <w:r w:rsidR="000F02CB" w:rsidRPr="0015116B">
        <w:t>comparison</w:t>
      </w:r>
      <w:r w:rsidR="00FF19D8" w:rsidRPr="0015116B">
        <w:t xml:space="preserve"> studies with the NMFS EBS shelf bottom trawl survey in order to better fix the scale of the NMFS survey </w:t>
      </w:r>
      <w:r w:rsidR="00FF19D8" w:rsidRPr="0015116B">
        <w:lastRenderedPageBreak/>
        <w:t>data.</w:t>
      </w:r>
      <w:r w:rsidR="000F02CB" w:rsidRPr="0015116B">
        <w:t xml:space="preserve"> </w:t>
      </w:r>
      <w:r w:rsidR="00771F33" w:rsidRPr="0015116B">
        <w:t>Empirical availability cu</w:t>
      </w:r>
      <w:r w:rsidR="00147FBB" w:rsidRPr="0015116B">
        <w:t>rves for the BSFRF were determined outside the assessment model (Appendix 3). These were used in the model to relate the BSFRF estimates of absolute abundance (at spatial scales smaller than the stock distribution) and the stock abundance estimated by the assessment model.</w:t>
      </w:r>
    </w:p>
    <w:p w14:paraId="270FE97F" w14:textId="77777777" w:rsidR="002578BA" w:rsidRPr="0015116B" w:rsidRDefault="00895389" w:rsidP="002578BA">
      <w:pPr>
        <w:pStyle w:val="Heading3"/>
      </w:pPr>
      <w:r w:rsidRPr="0015116B">
        <w:t xml:space="preserve">4. </w:t>
      </w:r>
      <w:r w:rsidR="00435BF8" w:rsidRPr="0015116B">
        <w:t>Changes to the assessment results</w:t>
      </w:r>
    </w:p>
    <w:p w14:paraId="287D6F86" w14:textId="70007054" w:rsidR="00831ADF" w:rsidRPr="0015116B" w:rsidRDefault="00FF19D8" w:rsidP="00831ADF">
      <w:r w:rsidRPr="0015116B">
        <w:t>Changes in the assessment results are relatively minor, but this may reflect the absence of data from the cancelled NMFS EBS shelf bottom trawl survey.</w:t>
      </w:r>
      <w:r w:rsidR="00ED0148" w:rsidRPr="0015116B">
        <w:t xml:space="preserve"> Average recruitment (1982-</w:t>
      </w:r>
      <w:r w:rsidRPr="0015116B">
        <w:t>2019</w:t>
      </w:r>
      <w:r w:rsidR="00ED0148" w:rsidRPr="0015116B">
        <w:t xml:space="preserve">) was </w:t>
      </w:r>
      <w:r w:rsidR="00DF6C6B" w:rsidRPr="0015116B">
        <w:t xml:space="preserve">estimated at </w:t>
      </w:r>
      <w:r w:rsidR="008A00E0" w:rsidRPr="0015116B">
        <w:t>394</w:t>
      </w:r>
      <w:r w:rsidR="00DF6C6B" w:rsidRPr="0015116B">
        <w:t xml:space="preserve"> million </w:t>
      </w:r>
      <w:r w:rsidRPr="0015116B">
        <w:t xml:space="preserve">in last year’s assessment, but </w:t>
      </w:r>
      <w:r w:rsidR="006E698A" w:rsidRPr="0015116B">
        <w:t xml:space="preserve">it </w:t>
      </w:r>
      <w:r w:rsidRPr="0015116B">
        <w:t xml:space="preserve">is slightly lower </w:t>
      </w:r>
      <w:r w:rsidR="006E698A" w:rsidRPr="0015116B">
        <w:t>at 370 million from</w:t>
      </w:r>
      <w:r w:rsidR="00DF6C6B" w:rsidRPr="0015116B">
        <w:t xml:space="preserve"> the author’s preferred model this year.</w:t>
      </w:r>
      <w:r w:rsidR="00BB19DF" w:rsidRPr="0015116B">
        <w:t xml:space="preserve"> F</w:t>
      </w:r>
      <w:r w:rsidR="00BB19DF" w:rsidRPr="0015116B">
        <w:rPr>
          <w:vertAlign w:val="subscript"/>
        </w:rPr>
        <w:t>MSY</w:t>
      </w:r>
      <w:r w:rsidR="00BB19DF" w:rsidRPr="0015116B">
        <w:t xml:space="preserve"> is </w:t>
      </w:r>
      <w:r w:rsidR="006E698A" w:rsidRPr="0015116B">
        <w:t>smaller</w:t>
      </w:r>
      <w:r w:rsidR="00BB19DF" w:rsidRPr="0015116B">
        <w:t xml:space="preserve"> this year (</w:t>
      </w:r>
      <w:r w:rsidR="006E698A" w:rsidRPr="0015116B">
        <w:t>0.96</w:t>
      </w:r>
      <w:r w:rsidR="00BB19DF" w:rsidRPr="0015116B">
        <w:t xml:space="preserve"> yr</w:t>
      </w:r>
      <w:r w:rsidR="00BB19DF" w:rsidRPr="0015116B">
        <w:rPr>
          <w:vertAlign w:val="superscript"/>
        </w:rPr>
        <w:t>-1</w:t>
      </w:r>
      <w:r w:rsidR="00BB19DF" w:rsidRPr="0015116B">
        <w:t xml:space="preserve"> this year vs. </w:t>
      </w:r>
      <w:r w:rsidR="006E698A" w:rsidRPr="0015116B">
        <w:t>1.18</w:t>
      </w:r>
      <w:r w:rsidR="00BB19DF" w:rsidRPr="0015116B">
        <w:t xml:space="preserve"> yr</w:t>
      </w:r>
      <w:r w:rsidR="00BB19DF" w:rsidRPr="0015116B">
        <w:rPr>
          <w:vertAlign w:val="superscript"/>
        </w:rPr>
        <w:t>-1</w:t>
      </w:r>
      <w:r w:rsidR="00BB19DF" w:rsidRPr="0015116B">
        <w:t xml:space="preserve"> last year), </w:t>
      </w:r>
      <w:r w:rsidR="008A00E0" w:rsidRPr="0015116B">
        <w:t>as is</w:t>
      </w:r>
      <w:r w:rsidR="00BB19DF" w:rsidRPr="0015116B">
        <w:t xml:space="preserve"> </w:t>
      </w:r>
      <w:r w:rsidR="003B3A4A" w:rsidRPr="0015116B">
        <w:t>B</w:t>
      </w:r>
      <w:r w:rsidR="003B3A4A" w:rsidRPr="0015116B">
        <w:rPr>
          <w:vertAlign w:val="subscript"/>
        </w:rPr>
        <w:t>MSY</w:t>
      </w:r>
      <w:r w:rsidR="003B3A4A" w:rsidRPr="0015116B">
        <w:t xml:space="preserve"> </w:t>
      </w:r>
      <w:r w:rsidR="00312041" w:rsidRPr="0015116B">
        <w:t>(</w:t>
      </w:r>
      <w:r w:rsidR="006E698A" w:rsidRPr="0015116B">
        <w:t>36.62</w:t>
      </w:r>
      <w:r w:rsidR="00BB19DF" w:rsidRPr="0015116B">
        <w:t xml:space="preserve"> thousand t vs. </w:t>
      </w:r>
      <w:r w:rsidR="006E698A" w:rsidRPr="0015116B">
        <w:t>40.75</w:t>
      </w:r>
      <w:r w:rsidR="00312041" w:rsidRPr="0015116B">
        <w:t xml:space="preserve"> thousand t)</w:t>
      </w:r>
      <w:r w:rsidR="00DF6C6B" w:rsidRPr="0015116B">
        <w:t>.</w:t>
      </w:r>
      <w:r w:rsidR="008A00E0" w:rsidRPr="0015116B">
        <w:t xml:space="preserve"> The stock remains in Tier 3</w:t>
      </w:r>
      <w:r w:rsidR="006E698A" w:rsidRPr="0015116B">
        <w:t xml:space="preserve">b </w:t>
      </w:r>
      <w:r w:rsidR="008A00E0" w:rsidRPr="0015116B">
        <w:t>because the ratio of projected MMB to B</w:t>
      </w:r>
      <w:r w:rsidR="008A00E0" w:rsidRPr="0015116B">
        <w:rPr>
          <w:vertAlign w:val="subscript"/>
        </w:rPr>
        <w:t>MSY</w:t>
      </w:r>
      <w:r w:rsidR="008A00E0" w:rsidRPr="0015116B">
        <w:t xml:space="preserve"> </w:t>
      </w:r>
      <w:r w:rsidR="006E698A" w:rsidRPr="0015116B">
        <w:t>is below 1 (as it was last year)</w:t>
      </w:r>
      <w:r w:rsidR="008A00E0" w:rsidRPr="0015116B">
        <w:t>.</w:t>
      </w:r>
      <w:r w:rsidR="000F02CB" w:rsidRPr="0015116B">
        <w:t xml:space="preserve"> </w:t>
      </w:r>
      <w:r w:rsidR="00F63948" w:rsidRPr="0015116B">
        <w:t>Because both average recruitment and F</w:t>
      </w:r>
      <w:r w:rsidR="00F63948" w:rsidRPr="0015116B">
        <w:rPr>
          <w:vertAlign w:val="subscript"/>
        </w:rPr>
        <w:t>MSY</w:t>
      </w:r>
      <w:r w:rsidR="00F63948" w:rsidRPr="0015116B">
        <w:t xml:space="preserve"> were estimated somewhat smaller than last year, this year’s OFL ended up being smaller than that for 2019/20 by 28%.</w:t>
      </w:r>
    </w:p>
    <w:p w14:paraId="63F48985" w14:textId="77777777" w:rsidR="003D480E" w:rsidRPr="0015116B" w:rsidRDefault="003D480E" w:rsidP="003D480E">
      <w:pPr>
        <w:pStyle w:val="Heading1"/>
      </w:pPr>
      <w:r w:rsidRPr="0015116B">
        <w:t>B. Responses to SSC and CPT Comments</w:t>
      </w:r>
    </w:p>
    <w:p w14:paraId="1CE77A18" w14:textId="3BF67B65" w:rsidR="00353BFA" w:rsidRPr="0015116B" w:rsidRDefault="003D480E" w:rsidP="00353BFA">
      <w:pPr>
        <w:pStyle w:val="Heading3"/>
      </w:pPr>
      <w:r w:rsidRPr="0015116B">
        <w:t xml:space="preserve">1. Responses to the most recent two sets </w:t>
      </w:r>
      <w:r w:rsidR="00C81766" w:rsidRPr="0015116B">
        <w:t xml:space="preserve">(May/June 2020, September/October 2019) </w:t>
      </w:r>
      <w:r w:rsidRPr="0015116B">
        <w:t>of SSC and CPT</w:t>
      </w:r>
      <w:r w:rsidRPr="0015116B">
        <w:rPr>
          <w:sz w:val="16"/>
          <w:szCs w:val="16"/>
        </w:rPr>
        <w:t xml:space="preserve"> </w:t>
      </w:r>
      <w:r w:rsidRPr="0015116B">
        <w:t>comments on assessments in general.</w:t>
      </w:r>
      <w:r w:rsidR="00353BFA" w:rsidRPr="0015116B">
        <w:rPr>
          <w:i w:val="0"/>
        </w:rPr>
        <w:t xml:space="preserve"> [Note: for continuity with the previous assessment, the following </w:t>
      </w:r>
      <w:r w:rsidR="00392678" w:rsidRPr="0015116B">
        <w:rPr>
          <w:i w:val="0"/>
        </w:rPr>
        <w:t xml:space="preserve">may </w:t>
      </w:r>
      <w:r w:rsidR="00353BFA" w:rsidRPr="0015116B">
        <w:rPr>
          <w:i w:val="0"/>
        </w:rPr>
        <w:t>include comments prior to the most recent two sets.]</w:t>
      </w:r>
    </w:p>
    <w:p w14:paraId="3D0D5776" w14:textId="77F8802A" w:rsidR="000A5DF1" w:rsidRPr="0015116B" w:rsidRDefault="00353BFA" w:rsidP="00353BFA">
      <w:pPr>
        <w:pStyle w:val="Heading4"/>
      </w:pPr>
      <w:r w:rsidRPr="0015116B">
        <w:t>June 2020 SSC Meeting</w:t>
      </w:r>
    </w:p>
    <w:p w14:paraId="1359CF6F" w14:textId="4967DBCD" w:rsidR="00353BFA" w:rsidRPr="0015116B" w:rsidRDefault="00F60330" w:rsidP="00F60330">
      <w:pPr>
        <w:pStyle w:val="Heading5"/>
      </w:pPr>
      <w:r w:rsidRPr="0015116B">
        <w:t>SSC Comment: The SSC reminds all stock assessment authors to implement the guidelines for model numbering for consistency and easier version tracking over time, and emphasizes how important this is for SSC review.</w:t>
      </w:r>
    </w:p>
    <w:p w14:paraId="30681D1E" w14:textId="3A99388D" w:rsidR="00F60330" w:rsidRPr="0015116B" w:rsidRDefault="00F60330" w:rsidP="00F60330">
      <w:pPr>
        <w:pStyle w:val="Comment-ResponseResponse"/>
      </w:pPr>
      <w:r w:rsidRPr="0015116B">
        <w:rPr>
          <w:i/>
          <w:iCs/>
        </w:rPr>
        <w:t>Response</w:t>
      </w:r>
      <w:r w:rsidR="00392678" w:rsidRPr="0015116B">
        <w:rPr>
          <w:i/>
          <w:iCs/>
        </w:rPr>
        <w:t xml:space="preserve"> (9/20)</w:t>
      </w:r>
      <w:r w:rsidRPr="0015116B">
        <w:t>: The SSC numbering convention</w:t>
      </w:r>
      <w:r w:rsidR="00392678" w:rsidRPr="0015116B">
        <w:t xml:space="preserve"> is followed in this chapter (having finally been implemented for Tanner crab in May 2020).</w:t>
      </w:r>
    </w:p>
    <w:p w14:paraId="422956BA" w14:textId="55E361E1" w:rsidR="00353BFA" w:rsidRPr="0015116B" w:rsidRDefault="00353BFA" w:rsidP="00353BFA">
      <w:pPr>
        <w:pStyle w:val="Heading4"/>
      </w:pPr>
      <w:r w:rsidRPr="0015116B">
        <w:t>May 2020 CPT Meeting</w:t>
      </w:r>
    </w:p>
    <w:p w14:paraId="0F2ED087" w14:textId="00A22857" w:rsidR="00DB5CA8" w:rsidRPr="0015116B" w:rsidRDefault="00DB5CA8" w:rsidP="00DB5CA8">
      <w:pPr>
        <w:pStyle w:val="Heading5"/>
      </w:pPr>
      <w:r w:rsidRPr="0015116B">
        <w:t>CPT Comment: Should no survey occur, the CPT recommends that stock assessment authors roll over last year’s accepted model, incorporating updated fishery data when possible, and projecting OFL/ABCs based on our understanding of stock trends from surveys to 2019.</w:t>
      </w:r>
    </w:p>
    <w:p w14:paraId="67F24F32" w14:textId="1EB83B5A" w:rsidR="00DB5CA8" w:rsidRPr="0015116B" w:rsidRDefault="00DB5CA8" w:rsidP="00DB5CA8">
      <w:pPr>
        <w:pStyle w:val="Comment-ResponseResponse"/>
      </w:pPr>
      <w:r w:rsidRPr="0015116B">
        <w:rPr>
          <w:i/>
          <w:iCs/>
        </w:rPr>
        <w:t>Response</w:t>
      </w:r>
      <w:r w:rsidR="00392678" w:rsidRPr="0015116B">
        <w:rPr>
          <w:i/>
          <w:iCs/>
        </w:rPr>
        <w:t xml:space="preserve"> (9/20)</w:t>
      </w:r>
      <w:r w:rsidRPr="0015116B">
        <w:t>: The 2020 NMFS EBS Shelf bottom trawl survey was indeed cancelled.</w:t>
      </w:r>
      <w:r w:rsidR="008B34B4" w:rsidRPr="0015116B">
        <w:t xml:space="preserve"> Model runs were conducted with last year’s accepted model, updated with fishery data for 2019/20 (Scenario 19.03(2020)). Additional runs were made that included simulated 2020 survey data which bracketed the survey biomass for 2020 predicted by 19.03(2020) by 25% of expected variation. The results of these runs are discussed in Appendix </w:t>
      </w:r>
      <w:proofErr w:type="gramStart"/>
      <w:r w:rsidR="00550A77" w:rsidRPr="0015116B">
        <w:t>2</w:t>
      </w:r>
      <w:proofErr w:type="gramEnd"/>
      <w:r w:rsidR="008B34B4" w:rsidRPr="0015116B">
        <w:t xml:space="preserve"> but the variability had little effect on the resulting OFL because other quantities exhibited offsetting changes.</w:t>
      </w:r>
    </w:p>
    <w:p w14:paraId="3844590C" w14:textId="77777777" w:rsidR="00353BFA" w:rsidRPr="0015116B" w:rsidRDefault="00353BFA" w:rsidP="00353BFA">
      <w:pPr>
        <w:pStyle w:val="Heading4"/>
      </w:pPr>
      <w:r w:rsidRPr="0015116B">
        <w:t>Oct 2019 SSC Meeting</w:t>
      </w:r>
    </w:p>
    <w:p w14:paraId="3118F20F" w14:textId="77777777" w:rsidR="00353BFA" w:rsidRPr="0015116B" w:rsidRDefault="00353BFA" w:rsidP="00353BFA">
      <w:pPr>
        <w:pStyle w:val="Heading5"/>
        <w:rPr>
          <w:i w:val="0"/>
        </w:rPr>
      </w:pPr>
      <w:r w:rsidRPr="0015116B">
        <w:t>SSC Comment:</w:t>
      </w:r>
      <w:r w:rsidRPr="0015116B">
        <w:rPr>
          <w:iCs/>
        </w:rPr>
        <w:t xml:space="preserve"> </w:t>
      </w:r>
      <w:r w:rsidRPr="0015116B">
        <w:t>The SSC reminds authors to use the model numbering protocols that allows the SSC to understand the year in which a particular version of the model was first introduced</w:t>
      </w:r>
      <w:r w:rsidRPr="0015116B">
        <w:rPr>
          <w:iCs/>
        </w:rPr>
        <w:t>.</w:t>
      </w:r>
    </w:p>
    <w:p w14:paraId="250AF4FB" w14:textId="75CAB8DA" w:rsidR="00353BFA" w:rsidRPr="0015116B" w:rsidRDefault="00353BFA" w:rsidP="00353BFA">
      <w:pPr>
        <w:pStyle w:val="Comment-ResponseResponse"/>
      </w:pPr>
      <w:r w:rsidRPr="0015116B">
        <w:rPr>
          <w:i/>
          <w:iCs/>
        </w:rPr>
        <w:t>Response</w:t>
      </w:r>
      <w:r w:rsidR="00392678" w:rsidRPr="0015116B">
        <w:rPr>
          <w:i/>
          <w:iCs/>
        </w:rPr>
        <w:t xml:space="preserve"> (5/20)</w:t>
      </w:r>
      <w:r w:rsidRPr="0015116B">
        <w:rPr>
          <w:i/>
          <w:iCs/>
        </w:rPr>
        <w:t xml:space="preserve">: </w:t>
      </w:r>
      <w:r w:rsidRPr="0015116B">
        <w:t>The requested numbering protocols have been implemented, with the 2019 assessment model “backdated” and referred here as 19.03 (where it was referred to 19F03 during the 2019 assessment).</w:t>
      </w:r>
    </w:p>
    <w:p w14:paraId="3064F842" w14:textId="77777777" w:rsidR="00353BFA" w:rsidRPr="0015116B" w:rsidRDefault="00353BFA" w:rsidP="00353BFA">
      <w:pPr>
        <w:pStyle w:val="Heading5"/>
        <w:rPr>
          <w:i w:val="0"/>
        </w:rPr>
      </w:pPr>
      <w:r w:rsidRPr="0015116B">
        <w:t>SSC Comment:</w:t>
      </w:r>
      <w:r w:rsidRPr="0015116B">
        <w:rPr>
          <w:iCs/>
        </w:rPr>
        <w:t xml:space="preserve"> the SSC </w:t>
      </w:r>
      <w:r w:rsidRPr="0015116B">
        <w:t xml:space="preserve">requests that the CPT consider developing a standard approach for projecting the upcoming year’s biomass that does not include removing the entire OFL for stocks where recent mortality has been substantially below the OFL. This may appreciably change the projected biomass levels for stocks such as Tanner crab, where actual catch mortality has been less than 10% of the OFL </w:t>
      </w:r>
      <w:r w:rsidRPr="0015116B">
        <w:rPr>
          <w:iCs/>
        </w:rPr>
        <w:t>.</w:t>
      </w:r>
    </w:p>
    <w:p w14:paraId="2C94C2DC" w14:textId="2BA81668" w:rsidR="00353BFA" w:rsidRPr="0015116B" w:rsidRDefault="00353BFA" w:rsidP="00353BFA">
      <w:pPr>
        <w:pStyle w:val="Comment-ResponseResponse"/>
      </w:pPr>
      <w:r w:rsidRPr="0015116B">
        <w:rPr>
          <w:i/>
          <w:iCs/>
        </w:rPr>
        <w:t>Response</w:t>
      </w:r>
      <w:r w:rsidR="00392678" w:rsidRPr="0015116B">
        <w:rPr>
          <w:i/>
          <w:iCs/>
        </w:rPr>
        <w:t xml:space="preserve"> (updated 9/20)</w:t>
      </w:r>
      <w:r w:rsidRPr="0015116B">
        <w:rPr>
          <w:i/>
          <w:iCs/>
        </w:rPr>
        <w:t xml:space="preserve">: </w:t>
      </w:r>
      <w:r w:rsidRPr="0015116B">
        <w:t>The CPT has not yet developed a standard approach for doing so</w:t>
      </w:r>
      <w:r w:rsidR="00392678" w:rsidRPr="0015116B">
        <w:t>, but will discuss ideas at the September 2020 meeting for implementation prior to the May 2021 CPT meeting.</w:t>
      </w:r>
    </w:p>
    <w:p w14:paraId="62044551" w14:textId="77777777" w:rsidR="00353BFA" w:rsidRPr="0015116B" w:rsidRDefault="00353BFA" w:rsidP="00353BFA">
      <w:pPr>
        <w:pStyle w:val="Heading5"/>
        <w:rPr>
          <w:i w:val="0"/>
        </w:rPr>
      </w:pPr>
      <w:r w:rsidRPr="0015116B">
        <w:lastRenderedPageBreak/>
        <w:t>SSC Comment:</w:t>
      </w:r>
      <w:r w:rsidRPr="0015116B">
        <w:rPr>
          <w:iCs/>
        </w:rPr>
        <w:t xml:space="preserve"> t</w:t>
      </w:r>
      <w:r w:rsidRPr="0015116B">
        <w:t xml:space="preserve">he SSC encouraged authors to work together to create a standard approach for creating priors on selectivity and catchability from these (BSFRF/NMFS side-by-side trawl) data for use in the respective assessments. A hierarchical comparison of all species pooled, separated species, and separated sexes may be helpful for understanding where statistically supported differences exist. Where sample sizes are modest (e.g., snow crab), bootstrapping, or a sample size-weighted estimate rather than a raw average may be useful for aggregating across years. </w:t>
      </w:r>
    </w:p>
    <w:p w14:paraId="58E414A2" w14:textId="3612D4BE" w:rsidR="00353BFA" w:rsidRPr="0015116B" w:rsidRDefault="00353BFA" w:rsidP="00353BFA">
      <w:pPr>
        <w:pStyle w:val="Comment-ResponseResponse"/>
      </w:pPr>
      <w:r w:rsidRPr="0015116B">
        <w:rPr>
          <w:i/>
          <w:iCs/>
        </w:rPr>
        <w:t>Response</w:t>
      </w:r>
      <w:r w:rsidR="00392678" w:rsidRPr="0015116B">
        <w:rPr>
          <w:i/>
          <w:iCs/>
        </w:rPr>
        <w:t xml:space="preserve"> (updated 9/20)</w:t>
      </w:r>
      <w:r w:rsidRPr="0015116B">
        <w:rPr>
          <w:i/>
          <w:iCs/>
        </w:rPr>
        <w:t xml:space="preserve">: </w:t>
      </w:r>
      <w:r w:rsidR="006C1CBA" w:rsidRPr="0015116B">
        <w:t xml:space="preserve">An option to use such priors has also been added to the Tanner crab assessment model code, but has not yet been utilized. </w:t>
      </w:r>
      <w:r w:rsidRPr="0015116B">
        <w:t xml:space="preserve">Results from </w:t>
      </w:r>
      <w:r w:rsidR="00392678" w:rsidRPr="0015116B">
        <w:t>a</w:t>
      </w:r>
      <w:r w:rsidRPr="0015116B">
        <w:t xml:space="preserve"> preliminary attempt to develop priors on sex/size-specific catchability (q </w:t>
      </w:r>
      <w:r w:rsidRPr="0015116B">
        <w:rPr>
          <w:i/>
          <w:iCs/>
        </w:rPr>
        <w:t>x</w:t>
      </w:r>
      <w:r w:rsidRPr="0015116B">
        <w:t xml:space="preserve"> selectivity) and availability </w:t>
      </w:r>
      <w:r w:rsidR="00392678" w:rsidRPr="0015116B">
        <w:t>were presented for</w:t>
      </w:r>
      <w:r w:rsidRPr="0015116B">
        <w:t xml:space="preserve"> Tanner crab</w:t>
      </w:r>
      <w:r w:rsidR="00392678" w:rsidRPr="0015116B">
        <w:t xml:space="preserve"> in the May 2020 CPT</w:t>
      </w:r>
      <w:r w:rsidRPr="0015116B">
        <w:t xml:space="preserve"> </w:t>
      </w:r>
      <w:r w:rsidR="00392678" w:rsidRPr="0015116B">
        <w:t>R</w:t>
      </w:r>
      <w:r w:rsidRPr="0015116B">
        <w:t xml:space="preserve">eport. </w:t>
      </w:r>
      <w:r w:rsidR="00C06743" w:rsidRPr="0015116B">
        <w:t xml:space="preserve">Further work estimating catchability outside the assessment model using catch ratio analysis </w:t>
      </w:r>
      <w:r w:rsidR="006C1CBA" w:rsidRPr="0015116B">
        <w:t xml:space="preserve">of the BSFRF/NMFS side-by-side trawl data using GAMMs is underway but incomplete (see Appendix </w:t>
      </w:r>
      <w:r w:rsidR="00550A77" w:rsidRPr="0015116B">
        <w:t>4</w:t>
      </w:r>
      <w:r w:rsidR="006C1CBA" w:rsidRPr="0015116B">
        <w:t xml:space="preserve"> for an interim report). </w:t>
      </w:r>
      <w:r w:rsidR="00C81766" w:rsidRPr="0015116B">
        <w:t>A m</w:t>
      </w:r>
      <w:r w:rsidR="006C1CBA" w:rsidRPr="0015116B">
        <w:t>odel scenario</w:t>
      </w:r>
      <w:r w:rsidR="00C81766" w:rsidRPr="0015116B">
        <w:t xml:space="preserve"> (20.10)</w:t>
      </w:r>
      <w:r w:rsidR="006C1CBA" w:rsidRPr="0015116B">
        <w:t xml:space="preserve"> using </w:t>
      </w:r>
      <w:r w:rsidR="00C81766" w:rsidRPr="0015116B">
        <w:t xml:space="preserve">the </w:t>
      </w:r>
      <w:r w:rsidR="006C1CBA" w:rsidRPr="0015116B">
        <w:t>“best” estimate</w:t>
      </w:r>
      <w:r w:rsidR="00C81766" w:rsidRPr="0015116B">
        <w:t>s</w:t>
      </w:r>
      <w:r w:rsidR="006C1CBA" w:rsidRPr="0015116B">
        <w:t xml:space="preserve"> </w:t>
      </w:r>
      <w:r w:rsidR="00C81766" w:rsidRPr="0015116B">
        <w:t xml:space="preserve">(from a limited, preliminary set of candidate models) </w:t>
      </w:r>
      <w:r w:rsidR="006C1CBA" w:rsidRPr="0015116B">
        <w:t xml:space="preserve">of sex-specific catchability from this analysis </w:t>
      </w:r>
      <w:r w:rsidR="00C81766" w:rsidRPr="0015116B">
        <w:t>is</w:t>
      </w:r>
      <w:r w:rsidR="006C1CBA" w:rsidRPr="0015116B">
        <w:t xml:space="preserve"> presented in this chapter, however, the</w:t>
      </w:r>
      <w:r w:rsidR="00C81766" w:rsidRPr="0015116B">
        <w:t xml:space="preserve"> estimated catchability curves</w:t>
      </w:r>
      <w:r w:rsidR="006C1CBA" w:rsidRPr="0015116B">
        <w:t xml:space="preserve"> are used as “known” in the assessment model rather than as priors </w:t>
      </w:r>
      <w:r w:rsidR="00853E78" w:rsidRPr="0015116B">
        <w:t xml:space="preserve">partly </w:t>
      </w:r>
      <w:r w:rsidR="006C1CBA" w:rsidRPr="0015116B">
        <w:t xml:space="preserve">because the uncertainty associated with the curves has not yet been adequately characterized and partly because assuming the curves are known reduces the </w:t>
      </w:r>
      <w:r w:rsidR="00853E78" w:rsidRPr="0015116B">
        <w:t>complexity of the model</w:t>
      </w:r>
      <w:r w:rsidR="006C1CBA" w:rsidRPr="0015116B">
        <w:t>.</w:t>
      </w:r>
      <w:r w:rsidR="00853E78" w:rsidRPr="0015116B">
        <w:t xml:space="preserve"> The suggested hierarchical comparison is an intriguing suggestion, and can be </w:t>
      </w:r>
      <w:r w:rsidR="005B2424" w:rsidRPr="0015116B">
        <w:t>addressed in future research.</w:t>
      </w:r>
    </w:p>
    <w:p w14:paraId="40F86D62" w14:textId="77777777" w:rsidR="00353BFA" w:rsidRPr="0015116B" w:rsidRDefault="00353BFA" w:rsidP="00353BFA">
      <w:pPr>
        <w:pStyle w:val="Heading4"/>
      </w:pPr>
      <w:r w:rsidRPr="0015116B">
        <w:t>September 2019 Crab Plan Team Meeting</w:t>
      </w:r>
    </w:p>
    <w:p w14:paraId="15891CF9" w14:textId="03F5AFF2" w:rsidR="00353BFA" w:rsidRPr="0015116B" w:rsidRDefault="00353BFA" w:rsidP="00353BFA">
      <w:pPr>
        <w:pStyle w:val="Heading5"/>
        <w:rPr>
          <w:i w:val="0"/>
        </w:rPr>
      </w:pPr>
      <w:r w:rsidRPr="0015116B">
        <w:rPr>
          <w:i w:val="0"/>
        </w:rPr>
        <w:t>No new general comments.</w:t>
      </w:r>
    </w:p>
    <w:p w14:paraId="36E504D7" w14:textId="77777777" w:rsidR="00353BFA" w:rsidRPr="0015116B" w:rsidRDefault="00353BFA" w:rsidP="00353BFA">
      <w:pPr>
        <w:pStyle w:val="Heading4"/>
      </w:pPr>
      <w:r w:rsidRPr="0015116B">
        <w:t>October 2018 SSC Meeting</w:t>
      </w:r>
    </w:p>
    <w:p w14:paraId="15D3287B" w14:textId="77777777" w:rsidR="00353BFA" w:rsidRPr="0015116B" w:rsidRDefault="00353BFA" w:rsidP="00353BFA">
      <w:pPr>
        <w:pStyle w:val="Heading5"/>
      </w:pPr>
      <w:r w:rsidRPr="0015116B">
        <w:t>SSC Comment: The SSC encourages authors (using VAST estimates of survey biomass) to consider whether or not the apparent reduction in uncertainty in survey biomass is appropriately accounted for with their models.</w:t>
      </w:r>
    </w:p>
    <w:p w14:paraId="6EAB927D" w14:textId="399FD54D" w:rsidR="00C81766" w:rsidRPr="0015116B" w:rsidRDefault="00C81766" w:rsidP="00353BFA">
      <w:pPr>
        <w:pStyle w:val="Comment-ResponseResponse"/>
      </w:pPr>
      <w:r w:rsidRPr="0015116B">
        <w:rPr>
          <w:i/>
          <w:iCs/>
        </w:rPr>
        <w:t xml:space="preserve">Updated response (09/20): </w:t>
      </w:r>
      <w:r w:rsidRPr="0015116B">
        <w:t xml:space="preserve">At its May 2020 meeting, the CPT suggested authors </w:t>
      </w:r>
      <w:proofErr w:type="gramStart"/>
      <w:r w:rsidRPr="0015116B">
        <w:t>not use</w:t>
      </w:r>
      <w:proofErr w:type="gramEnd"/>
      <w:r w:rsidRPr="0015116B">
        <w:t xml:space="preserve"> VAST estimates </w:t>
      </w:r>
      <w:r w:rsidR="00336E2B" w:rsidRPr="0015116B">
        <w:t xml:space="preserve">in assessment models </w:t>
      </w:r>
      <w:r w:rsidRPr="0015116B">
        <w:t xml:space="preserve">until </w:t>
      </w:r>
      <w:r w:rsidR="00336E2B" w:rsidRPr="0015116B">
        <w:t>the estimates could</w:t>
      </w:r>
      <w:r w:rsidRPr="0015116B">
        <w:t xml:space="preserve"> </w:t>
      </w:r>
      <w:r w:rsidR="00336E2B" w:rsidRPr="0015116B">
        <w:t>be better validated.</w:t>
      </w:r>
      <w:r w:rsidRPr="0015116B">
        <w:t xml:space="preserve"> </w:t>
      </w:r>
    </w:p>
    <w:p w14:paraId="60C4BD7D" w14:textId="3705A584" w:rsidR="00353BFA" w:rsidRPr="0015116B" w:rsidRDefault="00353BFA" w:rsidP="00353BFA">
      <w:pPr>
        <w:pStyle w:val="Comment-ResponseResponse"/>
      </w:pPr>
      <w:r w:rsidRPr="0015116B">
        <w:rPr>
          <w:i/>
          <w:iCs/>
        </w:rPr>
        <w:t xml:space="preserve">Updated response (05/20): </w:t>
      </w:r>
      <w:r w:rsidRPr="0015116B">
        <w:t>Two model scenarios fitting VAST estimates of survey biomass were included in this report: one which fit the estimates without adjusting the variance estimates and one which estimated parameters describing “extra” uncertainty (i.e., re-inflating the uncertainty of the VAST estimates). While the model fit without estimating “extra” uncertainty was “worse” from a strictly likelihood perspective (larger z-scores) compared to that from the same model fit to the standard design-based estimates, the predicted values “fit” the VAST estimates better from a visual standpoint (i.e., on a scale unweighted by the uncertainty). Unfortunately, the attempt to compensate for the possible over-shrinkage of uncertainty in the VAST estimates by estimating parameters related to “extra” uncertainty failed because the model converged to with the parameters at their upper bounds (equivalent to “extra” CVs of 270%).</w:t>
      </w:r>
    </w:p>
    <w:p w14:paraId="522AE464" w14:textId="5A06B2FC" w:rsidR="003D480E" w:rsidRPr="0015116B" w:rsidRDefault="003D480E" w:rsidP="003D480E">
      <w:pPr>
        <w:pStyle w:val="Heading3"/>
        <w:rPr>
          <w:i w:val="0"/>
        </w:rPr>
      </w:pPr>
      <w:r w:rsidRPr="0015116B">
        <w:t xml:space="preserve">2. Responses to the most recent two sets </w:t>
      </w:r>
      <w:r w:rsidR="00336E2B" w:rsidRPr="0015116B">
        <w:t xml:space="preserve">(May/June 2020, September/October 2019) </w:t>
      </w:r>
      <w:r w:rsidRPr="0015116B">
        <w:t>of SSC and CPT</w:t>
      </w:r>
      <w:r w:rsidRPr="0015116B">
        <w:rPr>
          <w:sz w:val="16"/>
          <w:szCs w:val="16"/>
        </w:rPr>
        <w:t xml:space="preserve"> </w:t>
      </w:r>
      <w:r w:rsidRPr="0015116B">
        <w:t>comments specific to the assessment.</w:t>
      </w:r>
      <w:r w:rsidRPr="0015116B">
        <w:rPr>
          <w:i w:val="0"/>
        </w:rPr>
        <w:t xml:space="preserve"> [Note: for continuity with the previous assessment, the following includes comments prior to the most recent two sets of comments.]</w:t>
      </w:r>
    </w:p>
    <w:p w14:paraId="0593FE01" w14:textId="0366BAF9" w:rsidR="00DB5CA8" w:rsidRPr="0015116B" w:rsidRDefault="005B2424" w:rsidP="00F60330">
      <w:pPr>
        <w:pStyle w:val="Heading4"/>
      </w:pPr>
      <w:r w:rsidRPr="0015116B">
        <w:t>June</w:t>
      </w:r>
      <w:r w:rsidR="00DB5CA8" w:rsidRPr="0015116B">
        <w:t xml:space="preserve"> 2020 SSC Meeting</w:t>
      </w:r>
    </w:p>
    <w:p w14:paraId="171F8E25" w14:textId="1058D56B" w:rsidR="005B2424" w:rsidRPr="0015116B" w:rsidRDefault="005B2424" w:rsidP="005B2424">
      <w:pPr>
        <w:pStyle w:val="Heading5"/>
      </w:pPr>
      <w:r w:rsidRPr="0015116B">
        <w:t>SSC Comment: The SSC requested that, for the next assessment, models be reparametrized, simplified, or have parameter bounds adjusted such that no parameters remain at the bounds after estimation.</w:t>
      </w:r>
    </w:p>
    <w:p w14:paraId="3B003001" w14:textId="7C12C346" w:rsidR="005B2424" w:rsidRPr="0015116B" w:rsidRDefault="005B2424" w:rsidP="005B2424">
      <w:pPr>
        <w:pStyle w:val="Comment-ResponseResponse"/>
      </w:pPr>
      <w:r w:rsidRPr="0015116B">
        <w:t xml:space="preserve">Response (9/20): </w:t>
      </w:r>
      <w:r w:rsidR="00B67041" w:rsidRPr="0015116B">
        <w:t>S</w:t>
      </w:r>
      <w:r w:rsidR="00E444B4" w:rsidRPr="0015116B">
        <w:t xml:space="preserve">everal attempts </w:t>
      </w:r>
      <w:r w:rsidR="00B67041" w:rsidRPr="0015116B">
        <w:t xml:space="preserve">so far to do so have not been successful. Model scenario 20.10 considered here reduced the number of parameters at bounds from 12 to 5, but was unsatisfactory for other reasons. It appears that </w:t>
      </w:r>
      <w:proofErr w:type="spellStart"/>
      <w:r w:rsidR="00B67041" w:rsidRPr="0015116B">
        <w:t>reparameterizing</w:t>
      </w:r>
      <w:proofErr w:type="spellEnd"/>
      <w:r w:rsidR="00B67041" w:rsidRPr="0015116B">
        <w:t xml:space="preserve"> selectivity functions from using logistic functions to using half-normal functions may eliminate several such parameters. It is also apparent that three parameters related to estimates of fully-selected retention can be eliminated. A simplified male-only model including </w:t>
      </w:r>
      <w:r w:rsidR="00B67041" w:rsidRPr="0015116B">
        <w:lastRenderedPageBreak/>
        <w:t>only the directed and snow crab fisheries as source of fishing mortality is being investigated</w:t>
      </w:r>
      <w:r w:rsidR="00550A77" w:rsidRPr="0015116B">
        <w:t xml:space="preserve">, as well as whether bycatch in the BBRKC fishery is small enough to be dropped post-2004 (at least for females). </w:t>
      </w:r>
      <w:r w:rsidR="00B67041" w:rsidRPr="0015116B">
        <w:t xml:space="preserve">As such, </w:t>
      </w:r>
      <w:r w:rsidR="00550A77" w:rsidRPr="0015116B">
        <w:t xml:space="preserve">a number of avenues are being explored but </w:t>
      </w:r>
      <w:r w:rsidR="00B67041" w:rsidRPr="0015116B">
        <w:t>work continues on this topic.</w:t>
      </w:r>
    </w:p>
    <w:p w14:paraId="6D476056" w14:textId="67C0C786" w:rsidR="005B2424" w:rsidRPr="0015116B" w:rsidRDefault="005B2424" w:rsidP="005B2424">
      <w:pPr>
        <w:pStyle w:val="Heading5"/>
      </w:pPr>
      <w:r w:rsidRPr="0015116B">
        <w:t>SSC Comment: Provide additional information on data weighting. Specifically, identify standardized residuals appreciably greater than would be expected by chance (e.g., values of four and larger), report mean input and harmonic mean effective sample sizes by source for evaluation of model fit, and consider basing input sample sizes on the number of trips/hauls sampled rather than the number of individual crab measured.</w:t>
      </w:r>
    </w:p>
    <w:p w14:paraId="69B34EA5" w14:textId="3BBD6517" w:rsidR="005B2424" w:rsidRPr="0015116B" w:rsidRDefault="005B2424" w:rsidP="005B2424">
      <w:pPr>
        <w:pStyle w:val="Comment-ResponseResponse"/>
      </w:pPr>
      <w:r w:rsidRPr="0015116B">
        <w:t>Response (9/20):</w:t>
      </w:r>
      <w:r w:rsidR="00336E2B" w:rsidRPr="0015116B">
        <w:t xml:space="preserve"> </w:t>
      </w:r>
      <w:r w:rsidR="008E513D" w:rsidRPr="0015116B">
        <w:t>Information is not currently provided to base input sample sizes on the number of trips/hauls sampled for fishery-related size compositions</w:t>
      </w:r>
      <w:r w:rsidR="0038018D" w:rsidRPr="0015116B">
        <w:t xml:space="preserve">, and the </w:t>
      </w:r>
      <w:r w:rsidR="008E513D" w:rsidRPr="0015116B">
        <w:t xml:space="preserve">sample sizes in the survey </w:t>
      </w:r>
      <w:r w:rsidR="0038018D" w:rsidRPr="0015116B">
        <w:t>are limited to 200 in order to avoid numerical issues (the number of hauls would typically be 375 in any survey year post-1987, and would never be as low as 200 in any case). Geometric mean, not harmonic mean, effective sample sizes based on the McAllister-Ianelli method are provided for all size composition data. Large standardized residuals are not specifically flagged as part of the assessment model output. This capability will be added in the future.</w:t>
      </w:r>
    </w:p>
    <w:p w14:paraId="61757421" w14:textId="3AD050BC" w:rsidR="005B2424" w:rsidRPr="0015116B" w:rsidRDefault="005B2424" w:rsidP="005B2424">
      <w:pPr>
        <w:pStyle w:val="Heading5"/>
      </w:pPr>
      <w:r w:rsidRPr="0015116B">
        <w:t>SSC Comment: The SSC reiterated its previous recommendation on analysis of the BSFRF data. The SSC encouraged authors to work together to create a standard approach for creating priors on selectivity and catchability from these data for use in the respective assessments. A hierarchical comparison of all species pooled, separated species, and separated sexes may be helpful for understanding where statistically supported differences exist. Where sample sizes are modest (e.g., snow crab), bootstrapping, or a sample size-weighted estimate rather than a raw average may be useful for aggregating across years.</w:t>
      </w:r>
    </w:p>
    <w:p w14:paraId="64B61DB4" w14:textId="2409F820" w:rsidR="005B2424" w:rsidRPr="0015116B" w:rsidRDefault="005B2424" w:rsidP="005B2424">
      <w:pPr>
        <w:pStyle w:val="Comment-ResponseResponse"/>
      </w:pPr>
      <w:r w:rsidRPr="0015116B">
        <w:t>Response:</w:t>
      </w:r>
      <w:r w:rsidR="00877303" w:rsidRPr="0015116B">
        <w:t xml:space="preserve"> This needs to be highlighted as a request to the CPT to add this topic as an agenda item to its January 2021 meeting, if possible. It seems like the best avenue forward at the moment is for individual authors to continue to develop the best analysis for their own stock. These can be compared in January and perhaps the best of these can be used as the basis for </w:t>
      </w:r>
      <w:proofErr w:type="gramStart"/>
      <w:r w:rsidR="00877303" w:rsidRPr="0015116B">
        <w:t>an</w:t>
      </w:r>
      <w:proofErr w:type="gramEnd"/>
      <w:r w:rsidR="00877303" w:rsidRPr="0015116B">
        <w:t xml:space="preserve"> hierarchical model, as the SSC recommends. Off hand, it seems </w:t>
      </w:r>
      <w:r w:rsidR="008E513D" w:rsidRPr="0015116B">
        <w:t xml:space="preserve">likely that the differing morphological characteristics of </w:t>
      </w:r>
      <w:r w:rsidR="008E513D" w:rsidRPr="0015116B">
        <w:rPr>
          <w:i/>
          <w:iCs/>
        </w:rPr>
        <w:t>Chionoecetes</w:t>
      </w:r>
      <w:r w:rsidR="008E513D" w:rsidRPr="0015116B">
        <w:t xml:space="preserve"> and </w:t>
      </w:r>
      <w:r w:rsidR="008E513D" w:rsidRPr="0015116B">
        <w:rPr>
          <w:i/>
          <w:iCs/>
        </w:rPr>
        <w:t>Paralithodes</w:t>
      </w:r>
      <w:r w:rsidR="008E513D" w:rsidRPr="0015116B">
        <w:t xml:space="preserve"> crab, as well as the different environmental conditions they experience across the EBS shelf, will affect catchability differently and produce statistically-supported differences among the stocks.</w:t>
      </w:r>
    </w:p>
    <w:p w14:paraId="32E465C7" w14:textId="5A3934A6" w:rsidR="00F60330" w:rsidRPr="0015116B" w:rsidRDefault="00F60330" w:rsidP="00F60330">
      <w:pPr>
        <w:pStyle w:val="Heading4"/>
      </w:pPr>
      <w:r w:rsidRPr="0015116B">
        <w:t>May 2020 CPT Meeting</w:t>
      </w:r>
    </w:p>
    <w:p w14:paraId="5FA59B72" w14:textId="12F2F34E" w:rsidR="00F60330" w:rsidRPr="0015116B" w:rsidRDefault="00F60330" w:rsidP="00F60330">
      <w:pPr>
        <w:pStyle w:val="Heading5"/>
      </w:pPr>
      <w:r w:rsidRPr="0015116B">
        <w:t>CPT Comment: Therefore, the CPT recommends that model 20.07 be identified as a preliminary base model for September. The CPT discussed a refinement to model 20.07 (here denoted model 20.07b), in which the empirical availability curves are input as data vectors with specified uncertainty, rather than assumed known. If Model 20.07b turns out to be straightforward to implement, as we expect, then Model 20.07b could be regarded as the preliminary base model rather than Model 20.07.</w:t>
      </w:r>
    </w:p>
    <w:p w14:paraId="0D6CBCDF" w14:textId="454F1496" w:rsidR="00F60330" w:rsidRPr="0015116B" w:rsidRDefault="00F60330" w:rsidP="00F60330">
      <w:pPr>
        <w:pStyle w:val="Comment-ResponseResponse"/>
      </w:pPr>
      <w:r w:rsidRPr="0015116B">
        <w:t xml:space="preserve">Response: </w:t>
      </w:r>
      <w:r w:rsidR="00ED6067" w:rsidRPr="0015116B">
        <w:t xml:space="preserve"> Given the current model code, Model 20.07b would be possible to implement, once the empirical curves and associated uncertainty were developed. Empirical curves (smooth functions of size) were developed by fitting </w:t>
      </w:r>
      <w:r w:rsidR="00582F4D" w:rsidRPr="0015116B">
        <w:t xml:space="preserve">the ratio of observed survey abundance in the side-by-side study area to that from the entire survey area on an annual basis for 2013-2017 using the same size bins as in the assessment model (Appendix </w:t>
      </w:r>
      <w:r w:rsidR="00E444B4" w:rsidRPr="0015116B">
        <w:t>3</w:t>
      </w:r>
      <w:r w:rsidR="00582F4D" w:rsidRPr="0015116B">
        <w:t xml:space="preserve">). However, it is unclear what the appropriate measure of uncertainty should be. Estimates of uncertainty from fitting the empirical curves seem to be too small, while ones developed previously from bootstrapping (May 2020 CPT Tanner Crab Report) </w:t>
      </w:r>
      <w:r w:rsidR="00A83AB0" w:rsidRPr="0015116B">
        <w:t>seem to be too large. With more pressing issues (characterizing the uncertainty associated with the missing 2020 NMFS EBS shelf bottom trawl survey), it was not possible to further resolve this one. The author looks forward to recommendations to move forward.</w:t>
      </w:r>
    </w:p>
    <w:p w14:paraId="21E00B71" w14:textId="43542C76" w:rsidR="00F60330" w:rsidRPr="0015116B" w:rsidRDefault="00F60330" w:rsidP="00F60330">
      <w:pPr>
        <w:pStyle w:val="Heading5"/>
      </w:pPr>
      <w:r w:rsidRPr="0015116B">
        <w:lastRenderedPageBreak/>
        <w:t>CPT Comment: Consider ways to remove any additional complexity in the Tanner crab assessment that does not add to our understanding of stock dynamics.</w:t>
      </w:r>
    </w:p>
    <w:p w14:paraId="0F3A8EFA" w14:textId="34293D34" w:rsidR="00F60330" w:rsidRPr="0015116B" w:rsidRDefault="00F60330" w:rsidP="00F60330">
      <w:pPr>
        <w:pStyle w:val="Comment-ResponseResponse"/>
      </w:pPr>
      <w:r w:rsidRPr="0015116B">
        <w:t>Response</w:t>
      </w:r>
      <w:r w:rsidR="00E444B4" w:rsidRPr="0015116B">
        <w:t xml:space="preserve"> (9/20)</w:t>
      </w:r>
      <w:r w:rsidRPr="0015116B">
        <w:t xml:space="preserve">: </w:t>
      </w:r>
      <w:r w:rsidR="00E444B4" w:rsidRPr="0015116B">
        <w:t>A male-only model including only the directed and snow crab fisheries is in development as a simplified baseline for adding further complexity (e.g., bycatch in the groundfish and BBRKC fisheries). A model that starts in 1982, after the survey gear change, is under consideration for development. Its implementation would require new code to parameterize the initial size compositions; this approach would be substantially different from the way the model is initialized at present.</w:t>
      </w:r>
    </w:p>
    <w:p w14:paraId="49B3E342" w14:textId="15E03189" w:rsidR="00F60330" w:rsidRPr="0015116B" w:rsidRDefault="00F60330" w:rsidP="00F60330">
      <w:pPr>
        <w:pStyle w:val="Heading5"/>
      </w:pPr>
      <w:r w:rsidRPr="0015116B">
        <w:t>CPT Comment: Evaluate potential conflicts between data sets in the assessment using likelihood profiles and other approaches.</w:t>
      </w:r>
    </w:p>
    <w:p w14:paraId="54D91090" w14:textId="6D9A220E" w:rsidR="00F60330" w:rsidRPr="0015116B" w:rsidRDefault="00F60330" w:rsidP="00F60330">
      <w:pPr>
        <w:pStyle w:val="Comment-ResponseResponse"/>
      </w:pPr>
      <w:r w:rsidRPr="0015116B">
        <w:rPr>
          <w:i/>
          <w:iCs/>
        </w:rPr>
        <w:t>Response</w:t>
      </w:r>
      <w:r w:rsidR="00E444B4" w:rsidRPr="0015116B">
        <w:rPr>
          <w:i/>
          <w:iCs/>
        </w:rPr>
        <w:t xml:space="preserve"> (9/20)</w:t>
      </w:r>
      <w:r w:rsidRPr="0015116B">
        <w:rPr>
          <w:i/>
          <w:iCs/>
        </w:rPr>
        <w:t xml:space="preserve">: </w:t>
      </w:r>
      <w:r w:rsidR="00E143FE" w:rsidRPr="0015116B">
        <w:t>This is a good suggestion, but ADMB’s likelihood profiling does not appear to be adequate to address this request because it does not report individual components to the likelihood. Thus, some specialized software needs to be developed in order to proceed.</w:t>
      </w:r>
    </w:p>
    <w:p w14:paraId="67D4A38B" w14:textId="012C31CF" w:rsidR="00F60330" w:rsidRPr="0015116B" w:rsidRDefault="00F60330" w:rsidP="00F60330">
      <w:pPr>
        <w:pStyle w:val="Heading5"/>
      </w:pPr>
      <w:r w:rsidRPr="0015116B">
        <w:t>CPT Comment: Further work is needed to incorporate empirical estimates of catchability in the assessment. Quantifying uncertainty in catchability is critical. Uncertainty estimates should consider year-to-year variation catchability either as a random effect or as a level of a hierarchical model.</w:t>
      </w:r>
    </w:p>
    <w:p w14:paraId="177F9470" w14:textId="57D65525" w:rsidR="00F60330" w:rsidRPr="0015116B" w:rsidRDefault="00F60330" w:rsidP="00F60330">
      <w:pPr>
        <w:pStyle w:val="Comment-ResponseResponse"/>
      </w:pPr>
      <w:r w:rsidRPr="0015116B">
        <w:rPr>
          <w:i/>
          <w:iCs/>
        </w:rPr>
        <w:t xml:space="preserve">Response: </w:t>
      </w:r>
      <w:r w:rsidR="00E25886" w:rsidRPr="0015116B">
        <w:rPr>
          <w:i/>
          <w:iCs/>
        </w:rPr>
        <w:t xml:space="preserve"> </w:t>
      </w:r>
      <w:r w:rsidR="00E25886" w:rsidRPr="0015116B">
        <w:t>Survey catchability for the NMFS EBS shelf bottom trawl survey</w:t>
      </w:r>
      <w:r w:rsidR="00E143FE" w:rsidRPr="0015116B">
        <w:t xml:space="preserve"> was estimated outside the assessment model</w:t>
      </w:r>
      <w:r w:rsidR="00E25886" w:rsidRPr="0015116B">
        <w:t xml:space="preserve"> using BSFRF-NMFS side-by-side (paired tows) data in a catch-comparison analysis (Appendix 4). The catchability curves were estimated using GAMs</w:t>
      </w:r>
      <w:r w:rsidR="00E143FE" w:rsidRPr="0015116B">
        <w:t xml:space="preserve"> with haul as a random effect. The analysis of models with year as a random effect, as well as the addition of potential environmental covariates, is pending. The curves were used in Scenario 20.10 as “known” values without any uncertainty. The author welcomes more-specific recommendations on how best to quantify the uncertainty, as well as how to include it in the assessment model.</w:t>
      </w:r>
    </w:p>
    <w:p w14:paraId="004192AB" w14:textId="77777777" w:rsidR="00A53A59" w:rsidRPr="0015116B" w:rsidRDefault="00A53A59" w:rsidP="00A53A59">
      <w:pPr>
        <w:pStyle w:val="Heading4"/>
      </w:pPr>
      <w:r w:rsidRPr="0015116B">
        <w:t>October 2019 SSC Meeting</w:t>
      </w:r>
    </w:p>
    <w:p w14:paraId="6EA44B3D" w14:textId="77777777" w:rsidR="00A53A59" w:rsidRPr="0015116B" w:rsidRDefault="00A53A59" w:rsidP="00A53A59">
      <w:pPr>
        <w:pStyle w:val="Heading5"/>
      </w:pPr>
      <w:r w:rsidRPr="0015116B">
        <w:t xml:space="preserve">SSC comment: The SSC requested that for the next assessment, models be </w:t>
      </w:r>
      <w:proofErr w:type="spellStart"/>
      <w:r w:rsidRPr="0015116B">
        <w:t>reparameterized</w:t>
      </w:r>
      <w:proofErr w:type="spellEnd"/>
      <w:r w:rsidRPr="0015116B">
        <w:t>, simplified, or have parameter bounds adjusted such that no parameters remain at the bounds after estimation.</w:t>
      </w:r>
    </w:p>
    <w:p w14:paraId="2FE747F1" w14:textId="105D1F7D" w:rsidR="00A53A59" w:rsidRPr="0015116B" w:rsidRDefault="00A53A59" w:rsidP="00A53A59">
      <w:pPr>
        <w:pStyle w:val="Comment-ResponseResponse"/>
      </w:pPr>
      <w:r w:rsidRPr="0015116B">
        <w:rPr>
          <w:i/>
        </w:rPr>
        <w:t>Response:</w:t>
      </w:r>
      <w:r w:rsidRPr="0015116B">
        <w:t xml:space="preserve"> </w:t>
      </w:r>
      <w:r w:rsidR="00593CBE" w:rsidRPr="0015116B">
        <w:t>See response above</w:t>
      </w:r>
      <w:r w:rsidRPr="0015116B">
        <w:t>.</w:t>
      </w:r>
    </w:p>
    <w:p w14:paraId="56BFB640" w14:textId="77777777" w:rsidR="00A53A59" w:rsidRPr="0015116B" w:rsidRDefault="00A53A59" w:rsidP="00A53A59">
      <w:pPr>
        <w:pStyle w:val="Heading5"/>
      </w:pPr>
      <w:r w:rsidRPr="0015116B">
        <w:t>SSC comment: Use the standard model numbering approach.</w:t>
      </w:r>
    </w:p>
    <w:p w14:paraId="13BF9CF4" w14:textId="77777777" w:rsidR="00A53A59" w:rsidRPr="0015116B" w:rsidRDefault="00A53A59" w:rsidP="00A53A59">
      <w:pPr>
        <w:pStyle w:val="Comment-ResponseResponse"/>
      </w:pPr>
      <w:r w:rsidRPr="0015116B">
        <w:rPr>
          <w:i/>
        </w:rPr>
        <w:t>Response:</w:t>
      </w:r>
      <w:r w:rsidRPr="0015116B">
        <w:t xml:space="preserve"> Done.</w:t>
      </w:r>
    </w:p>
    <w:p w14:paraId="38F4FF1A" w14:textId="77777777" w:rsidR="00A53A59" w:rsidRPr="0015116B" w:rsidRDefault="00A53A59" w:rsidP="00A53A59">
      <w:pPr>
        <w:pStyle w:val="Heading5"/>
      </w:pPr>
      <w:r w:rsidRPr="0015116B">
        <w:t>SSC comment: In next year’s assessment, project biomass using a mortality level consistent with recent years, rather than the full OFL (see general CPT comments).</w:t>
      </w:r>
    </w:p>
    <w:p w14:paraId="29EB66B5" w14:textId="78127F8A" w:rsidR="00A53A59" w:rsidRPr="0015116B" w:rsidRDefault="00A53A59" w:rsidP="00A53A59">
      <w:pPr>
        <w:pStyle w:val="Comment-ResponseResponse"/>
      </w:pPr>
      <w:r w:rsidRPr="0015116B">
        <w:rPr>
          <w:i/>
        </w:rPr>
        <w:t>Response:</w:t>
      </w:r>
      <w:r w:rsidRPr="0015116B">
        <w:t xml:space="preserve"> </w:t>
      </w:r>
      <w:r w:rsidR="00593CBE" w:rsidRPr="0015116B">
        <w:t>See response above</w:t>
      </w:r>
      <w:r w:rsidRPr="0015116B">
        <w:t>.</w:t>
      </w:r>
    </w:p>
    <w:p w14:paraId="46CFF490" w14:textId="77777777" w:rsidR="00A53A59" w:rsidRPr="0015116B" w:rsidRDefault="00A53A59" w:rsidP="00A53A59">
      <w:pPr>
        <w:pStyle w:val="Heading5"/>
      </w:pPr>
      <w:r w:rsidRPr="0015116B">
        <w:t>SSC comment: Provide a retrospective analysis for future assessments.</w:t>
      </w:r>
    </w:p>
    <w:p w14:paraId="32E604BE" w14:textId="2ED0F9AA" w:rsidR="00A53A59" w:rsidRPr="0015116B" w:rsidRDefault="00A53A59" w:rsidP="00A53A59">
      <w:pPr>
        <w:pStyle w:val="Comment-ResponseResponse"/>
      </w:pPr>
      <w:r w:rsidRPr="0015116B">
        <w:rPr>
          <w:i/>
        </w:rPr>
        <w:t>Response</w:t>
      </w:r>
      <w:r w:rsidR="00593CBE" w:rsidRPr="0015116B">
        <w:rPr>
          <w:i/>
        </w:rPr>
        <w:t xml:space="preserve"> (9/20)</w:t>
      </w:r>
      <w:r w:rsidRPr="0015116B">
        <w:rPr>
          <w:i/>
        </w:rPr>
        <w:t>:</w:t>
      </w:r>
      <w:r w:rsidRPr="0015116B">
        <w:t xml:space="preserve"> </w:t>
      </w:r>
      <w:r w:rsidR="00593CBE" w:rsidRPr="0015116B">
        <w:t>Retrospective analyses are now provided.</w:t>
      </w:r>
    </w:p>
    <w:p w14:paraId="3D50AAFD" w14:textId="77777777" w:rsidR="00A53A59" w:rsidRPr="0015116B" w:rsidRDefault="00A53A59" w:rsidP="00A53A59">
      <w:pPr>
        <w:pStyle w:val="Heading5"/>
      </w:pPr>
      <w:r w:rsidRPr="0015116B">
        <w:t>SSC comment: Add the 2018 BSFRF/NMFS side-by-side data for all future analyses of that time-series.</w:t>
      </w:r>
    </w:p>
    <w:p w14:paraId="5ABC8E11" w14:textId="2D877D1F" w:rsidR="00A53A59" w:rsidRPr="0015116B" w:rsidRDefault="00A53A59" w:rsidP="00A53A59">
      <w:pPr>
        <w:pStyle w:val="Comment-ResponseResponse"/>
      </w:pPr>
      <w:r w:rsidRPr="0015116B">
        <w:rPr>
          <w:i/>
        </w:rPr>
        <w:t>Response</w:t>
      </w:r>
      <w:r w:rsidR="00593CBE" w:rsidRPr="0015116B">
        <w:rPr>
          <w:i/>
        </w:rPr>
        <w:t xml:space="preserve"> (9/20)</w:t>
      </w:r>
      <w:r w:rsidRPr="0015116B">
        <w:rPr>
          <w:i/>
        </w:rPr>
        <w:t>:</w:t>
      </w:r>
      <w:r w:rsidRPr="0015116B">
        <w:t xml:space="preserve"> BSFRF has not provided this data</w:t>
      </w:r>
      <w:r w:rsidR="00593CBE" w:rsidRPr="0015116B">
        <w:t>, although it has been promised</w:t>
      </w:r>
      <w:r w:rsidRPr="0015116B">
        <w:t>.</w:t>
      </w:r>
    </w:p>
    <w:p w14:paraId="0EA2FA12" w14:textId="77777777" w:rsidR="00A53A59" w:rsidRPr="0015116B" w:rsidRDefault="00A53A59" w:rsidP="00A53A59">
      <w:pPr>
        <w:pStyle w:val="Heading5"/>
      </w:pPr>
      <w:r w:rsidRPr="0015116B">
        <w:t>SSC comment: Report the values for natural mortality actually used for calculation of reference points in the appropriate table(s).</w:t>
      </w:r>
    </w:p>
    <w:p w14:paraId="1D603A7D" w14:textId="56C38CB8" w:rsidR="00A53A59" w:rsidRPr="0015116B" w:rsidRDefault="00A53A59" w:rsidP="00A53A59">
      <w:pPr>
        <w:pStyle w:val="Comment-ResponseResponse"/>
      </w:pPr>
      <w:r w:rsidRPr="0015116B">
        <w:rPr>
          <w:i/>
        </w:rPr>
        <w:t>Response</w:t>
      </w:r>
      <w:r w:rsidR="00593CBE" w:rsidRPr="0015116B">
        <w:rPr>
          <w:i/>
        </w:rPr>
        <w:t xml:space="preserve"> (9/20)</w:t>
      </w:r>
      <w:r w:rsidRPr="0015116B">
        <w:rPr>
          <w:i/>
        </w:rPr>
        <w:t>:</w:t>
      </w:r>
      <w:r w:rsidRPr="0015116B">
        <w:t xml:space="preserve"> The </w:t>
      </w:r>
      <w:r w:rsidR="00593CBE" w:rsidRPr="0015116B">
        <w:t xml:space="preserve">values for natural mortality actually used for calculation of reference points are now reported in </w:t>
      </w:r>
      <w:r w:rsidRPr="0015116B">
        <w:t xml:space="preserve">tables </w:t>
      </w:r>
      <w:r w:rsidR="00593CBE" w:rsidRPr="0015116B">
        <w:t>i</w:t>
      </w:r>
      <w:r w:rsidRPr="0015116B">
        <w:t>n the Introduction to the SAFE and are updated by the CPT.</w:t>
      </w:r>
    </w:p>
    <w:p w14:paraId="0FB09EDC" w14:textId="77777777" w:rsidR="00A53A59" w:rsidRPr="0015116B" w:rsidRDefault="00A53A59" w:rsidP="00A53A59">
      <w:pPr>
        <w:pStyle w:val="Heading5"/>
      </w:pPr>
      <w:r w:rsidRPr="0015116B">
        <w:lastRenderedPageBreak/>
        <w:t>SSC comment: Provide additional information on data weighting. Specifically, identify standardized residuals appreciably greater than would be expected by chance (e.g., values of 4 and larger), report mean input and harmonic mean effective sample sizes by source for evaluation of model fit, and consider basing input sample sizes on the number of trips/hauls sampled rather than number of individual crab measured..</w:t>
      </w:r>
    </w:p>
    <w:p w14:paraId="05CB2269" w14:textId="2828F639" w:rsidR="00A53A59" w:rsidRPr="0015116B" w:rsidRDefault="00A53A59" w:rsidP="00A53A59">
      <w:pPr>
        <w:pStyle w:val="Comment-ResponseResponse"/>
      </w:pPr>
      <w:r w:rsidRPr="0015116B">
        <w:rPr>
          <w:i/>
        </w:rPr>
        <w:t>Response:</w:t>
      </w:r>
      <w:r w:rsidRPr="0015116B">
        <w:t xml:space="preserve"> </w:t>
      </w:r>
      <w:r w:rsidR="00593CBE" w:rsidRPr="0015116B">
        <w:t>See response above</w:t>
      </w:r>
      <w:r w:rsidRPr="0015116B">
        <w:t>.</w:t>
      </w:r>
    </w:p>
    <w:p w14:paraId="5CF3CA5E" w14:textId="77777777" w:rsidR="00A53A59" w:rsidRPr="0015116B" w:rsidRDefault="00A53A59" w:rsidP="00A53A59">
      <w:pPr>
        <w:pStyle w:val="Heading4"/>
      </w:pPr>
      <w:r w:rsidRPr="0015116B">
        <w:t>September 2019 CPT Meeting</w:t>
      </w:r>
    </w:p>
    <w:p w14:paraId="0FA76925" w14:textId="77777777" w:rsidR="00A53A59" w:rsidRPr="0015116B" w:rsidRDefault="00A53A59" w:rsidP="00A53A59">
      <w:pPr>
        <w:pStyle w:val="Heading5"/>
      </w:pPr>
      <w:r w:rsidRPr="0015116B">
        <w:t xml:space="preserve">The CPT suggested exploring appropriate values for catchability. For example, runs that fit to the BSFRF data and fix availability to empirical estimates to contrast the outcomes with runs in which availability is estimated could be informative for what is driving the small estimates of catchability in the author-preferred model. </w:t>
      </w:r>
    </w:p>
    <w:p w14:paraId="2479609F" w14:textId="467AAC4B" w:rsidR="00A53A59" w:rsidRPr="0015116B" w:rsidRDefault="00A53A59" w:rsidP="00A53A59">
      <w:pPr>
        <w:pStyle w:val="Comment-ResponseResponse"/>
      </w:pPr>
      <w:r w:rsidRPr="0015116B">
        <w:rPr>
          <w:i/>
          <w:iCs/>
        </w:rPr>
        <w:t>Response</w:t>
      </w:r>
      <w:r w:rsidR="005B2424" w:rsidRPr="0015116B">
        <w:rPr>
          <w:i/>
          <w:iCs/>
        </w:rPr>
        <w:t xml:space="preserve"> (9/20)</w:t>
      </w:r>
      <w:r w:rsidRPr="0015116B">
        <w:rPr>
          <w:i/>
          <w:iCs/>
        </w:rPr>
        <w:t>:</w:t>
      </w:r>
      <w:r w:rsidRPr="0015116B">
        <w:t xml:space="preserve"> Empirical estimates of availability and selectivity </w:t>
      </w:r>
      <w:r w:rsidR="005B2424" w:rsidRPr="0015116B">
        <w:t>we</w:t>
      </w:r>
      <w:r w:rsidRPr="0015116B">
        <w:t xml:space="preserve">re developed from BSFRF and NMFS side-by-side (SBS) selectivity study data for Tanner crab </w:t>
      </w:r>
      <w:r w:rsidR="005B2424" w:rsidRPr="0015116B">
        <w:t>and presented in the May 2020 CPT Report</w:t>
      </w:r>
      <w:r w:rsidRPr="0015116B">
        <w:t xml:space="preserve">. These </w:t>
      </w:r>
      <w:r w:rsidR="005B2424" w:rsidRPr="0015116B">
        <w:t>were used in several model scenarios</w:t>
      </w:r>
      <w:r w:rsidR="00593CBE" w:rsidRPr="0015116B">
        <w:t>.</w:t>
      </w:r>
    </w:p>
    <w:p w14:paraId="5F7C85BB" w14:textId="77777777" w:rsidR="00A53A59" w:rsidRPr="0015116B" w:rsidRDefault="00A53A59" w:rsidP="00A53A59">
      <w:pPr>
        <w:pStyle w:val="Heading5"/>
      </w:pPr>
      <w:r w:rsidRPr="0015116B">
        <w:t xml:space="preserve">The CPT suggested exploring the relationship between natural mortality, growth, and overestimates of large crab. For example, estimate growth outside the model to attempt to address the overestimates of large crab. </w:t>
      </w:r>
    </w:p>
    <w:p w14:paraId="47234C32" w14:textId="66A019A8" w:rsidR="00A53A59" w:rsidRPr="0015116B" w:rsidRDefault="00A53A59" w:rsidP="00A53A59">
      <w:pPr>
        <w:pStyle w:val="Comment-ResponseResponse"/>
      </w:pPr>
      <w:r w:rsidRPr="0015116B">
        <w:rPr>
          <w:i/>
          <w:iCs/>
        </w:rPr>
        <w:t>Response</w:t>
      </w:r>
      <w:r w:rsidR="00550A77" w:rsidRPr="0015116B">
        <w:rPr>
          <w:i/>
          <w:iCs/>
        </w:rPr>
        <w:t xml:space="preserve"> (9/20)</w:t>
      </w:r>
      <w:r w:rsidRPr="0015116B">
        <w:rPr>
          <w:i/>
          <w:iCs/>
        </w:rPr>
        <w:t>:</w:t>
      </w:r>
      <w:r w:rsidRPr="0015116B">
        <w:t xml:space="preserve"> </w:t>
      </w:r>
      <w:r w:rsidR="00593CBE" w:rsidRPr="0015116B">
        <w:t>Model scenarios have been run where growth is estimated outside the model</w:t>
      </w:r>
      <w:r w:rsidRPr="0015116B">
        <w:t>.</w:t>
      </w:r>
      <w:r w:rsidR="00593CBE" w:rsidRPr="0015116B">
        <w:t xml:space="preserve"> </w:t>
      </w:r>
      <w:r w:rsidR="00550A77" w:rsidRPr="0015116B">
        <w:t>This does not seem to solve this issue. Software to perform a likelihood profile on male growth parameters is under development and the results of the profile will hopefully shed some light on this issue.</w:t>
      </w:r>
    </w:p>
    <w:p w14:paraId="14B35CE7" w14:textId="7F59FA5E" w:rsidR="00E25886" w:rsidRPr="0015116B" w:rsidRDefault="00A53A59" w:rsidP="00E25886">
      <w:pPr>
        <w:pStyle w:val="Heading5"/>
      </w:pPr>
      <w:r w:rsidRPr="0015116B">
        <w:t xml:space="preserve">The CPT suggested exploring maturity states for growth increment data and make recommendations for directions for growth model development. </w:t>
      </w:r>
    </w:p>
    <w:p w14:paraId="39E6DE3C" w14:textId="5D31A960" w:rsidR="00AE302A" w:rsidRPr="0015116B" w:rsidRDefault="00AE302A" w:rsidP="00AE302A">
      <w:pPr>
        <w:pStyle w:val="Comment-ResponseResponse"/>
      </w:pPr>
      <w:r w:rsidRPr="0015116B">
        <w:rPr>
          <w:i/>
          <w:iCs/>
        </w:rPr>
        <w:t>Response (9/20):</w:t>
      </w:r>
      <w:r w:rsidRPr="0015116B">
        <w:t xml:space="preserve"> Except for the 2019 data, there seems to be little information on whether or not a molt was considered terminal.</w:t>
      </w:r>
    </w:p>
    <w:p w14:paraId="15DD6A52" w14:textId="30E885B5" w:rsidR="00A53A59" w:rsidRPr="0015116B" w:rsidRDefault="00A53A59" w:rsidP="00A53A59">
      <w:pPr>
        <w:pStyle w:val="Comment-ResponseResponse"/>
      </w:pPr>
      <w:r w:rsidRPr="0015116B">
        <w:rPr>
          <w:i/>
          <w:iCs/>
        </w:rPr>
        <w:t>Response</w:t>
      </w:r>
      <w:r w:rsidR="00906C14" w:rsidRPr="0015116B">
        <w:rPr>
          <w:i/>
          <w:iCs/>
        </w:rPr>
        <w:t xml:space="preserve"> (5/20)</w:t>
      </w:r>
      <w:r w:rsidRPr="0015116B">
        <w:rPr>
          <w:i/>
          <w:iCs/>
        </w:rPr>
        <w:t>:</w:t>
      </w:r>
      <w:r w:rsidRPr="0015116B">
        <w:t xml:space="preserve"> Work is in progress to address this issue. </w:t>
      </w:r>
    </w:p>
    <w:p w14:paraId="6A4489AD" w14:textId="77777777" w:rsidR="00A53A59" w:rsidRPr="0015116B" w:rsidRDefault="00A53A59" w:rsidP="00A53A59">
      <w:pPr>
        <w:pStyle w:val="Heading5"/>
      </w:pPr>
      <w:r w:rsidRPr="0015116B">
        <w:t xml:space="preserve">The CPT requested include the data to which the models are fit for the survey biomasses figures in the presentation. </w:t>
      </w:r>
    </w:p>
    <w:p w14:paraId="6262B366" w14:textId="2C3A9731" w:rsidR="00A53A59" w:rsidRPr="0015116B" w:rsidRDefault="00A53A59" w:rsidP="00A53A59">
      <w:pPr>
        <w:pStyle w:val="Comment-ResponseResponse"/>
      </w:pPr>
      <w:r w:rsidRPr="0015116B">
        <w:rPr>
          <w:i/>
          <w:iCs/>
        </w:rPr>
        <w:t>Response</w:t>
      </w:r>
      <w:r w:rsidR="00906C14" w:rsidRPr="0015116B">
        <w:rPr>
          <w:i/>
          <w:iCs/>
        </w:rPr>
        <w:t xml:space="preserve"> (5/20)</w:t>
      </w:r>
      <w:r w:rsidRPr="0015116B">
        <w:rPr>
          <w:i/>
          <w:iCs/>
        </w:rPr>
        <w:t>:</w:t>
      </w:r>
      <w:r w:rsidRPr="0015116B">
        <w:t xml:space="preserve"> The data was dropped for clarity of comparison among model predictions of survey biomass. The data will be included in future plots of this sort.</w:t>
      </w:r>
    </w:p>
    <w:p w14:paraId="7F892C10" w14:textId="77777777" w:rsidR="00A53A59" w:rsidRPr="0015116B" w:rsidRDefault="00A53A59" w:rsidP="00A53A59">
      <w:pPr>
        <w:pStyle w:val="Heading5"/>
      </w:pPr>
      <w:r w:rsidRPr="0015116B">
        <w:t xml:space="preserve">The CPT requested that if ‘catchability’ is to be used for something similar to ‘fully-selected fishing mortality’, perhaps translate it to a 0-1 scale and distinguish it from survey catchability so that it is clear that there is mortality associated with it. </w:t>
      </w:r>
    </w:p>
    <w:p w14:paraId="4C6C641D" w14:textId="72057FD1" w:rsidR="00A53A59" w:rsidRPr="0015116B" w:rsidRDefault="00A53A59" w:rsidP="00A53A59">
      <w:pPr>
        <w:pStyle w:val="Comment-ResponseResponse"/>
      </w:pPr>
      <w:r w:rsidRPr="0015116B">
        <w:rPr>
          <w:i/>
          <w:iCs/>
        </w:rPr>
        <w:t>Response</w:t>
      </w:r>
      <w:r w:rsidR="00906C14" w:rsidRPr="0015116B">
        <w:rPr>
          <w:i/>
          <w:iCs/>
        </w:rPr>
        <w:t xml:space="preserve"> (5/20)</w:t>
      </w:r>
      <w:r w:rsidRPr="0015116B">
        <w:rPr>
          <w:i/>
          <w:iCs/>
        </w:rPr>
        <w:t>:</w:t>
      </w:r>
      <w:r w:rsidRPr="0015116B">
        <w:t xml:space="preserve"> The term “catchability” was used to describe the rate at which “fully-selected” crab are captured in a fishery. Because some discards are assumed to survive, this is not equivalent to “fully-selected fishing mortality” (if discard mortality were 0, there would be </w:t>
      </w:r>
      <w:r w:rsidRPr="0015116B">
        <w:rPr>
          <w:i/>
          <w:iCs/>
        </w:rPr>
        <w:t>no</w:t>
      </w:r>
      <w:r w:rsidRPr="0015116B">
        <w:t xml:space="preserve"> mortality associated with capture in a bycatch fishery). Perhaps “capturability” would cause less confusion?</w:t>
      </w:r>
    </w:p>
    <w:p w14:paraId="75498193" w14:textId="77777777" w:rsidR="00A53A59" w:rsidRPr="0015116B" w:rsidRDefault="00A53A59" w:rsidP="00A53A59">
      <w:pPr>
        <w:pStyle w:val="Heading5"/>
      </w:pPr>
      <w:r w:rsidRPr="0015116B">
        <w:t xml:space="preserve">The CPT requested that the author explore ways to provide a retrospective analysis of the assessment model. </w:t>
      </w:r>
    </w:p>
    <w:p w14:paraId="1FFCEAD3" w14:textId="7F2560AA" w:rsidR="00A53A59" w:rsidRPr="0015116B" w:rsidRDefault="0056238E" w:rsidP="00A53A59">
      <w:pPr>
        <w:pStyle w:val="Comment-ResponseResponse"/>
      </w:pPr>
      <w:r w:rsidRPr="0015116B">
        <w:rPr>
          <w:i/>
          <w:iCs/>
        </w:rPr>
        <w:t xml:space="preserve">Updated </w:t>
      </w:r>
      <w:r w:rsidR="00A53A59" w:rsidRPr="0015116B">
        <w:rPr>
          <w:i/>
          <w:iCs/>
        </w:rPr>
        <w:t>Response</w:t>
      </w:r>
      <w:r w:rsidR="00906C14" w:rsidRPr="0015116B">
        <w:rPr>
          <w:i/>
          <w:iCs/>
        </w:rPr>
        <w:t xml:space="preserve"> (</w:t>
      </w:r>
      <w:r w:rsidRPr="0015116B">
        <w:rPr>
          <w:i/>
          <w:iCs/>
        </w:rPr>
        <w:t>9</w:t>
      </w:r>
      <w:r w:rsidR="00906C14" w:rsidRPr="0015116B">
        <w:rPr>
          <w:i/>
          <w:iCs/>
        </w:rPr>
        <w:t>/20)</w:t>
      </w:r>
      <w:r w:rsidR="00A53A59" w:rsidRPr="0015116B">
        <w:rPr>
          <w:i/>
          <w:iCs/>
        </w:rPr>
        <w:t>:</w:t>
      </w:r>
      <w:r w:rsidR="00A53A59" w:rsidRPr="0015116B">
        <w:t xml:space="preserve"> A substantial effort was made to add the capability to perform a retrospective analysis to the assessment model. </w:t>
      </w:r>
      <w:r w:rsidRPr="0015116B">
        <w:t>R</w:t>
      </w:r>
      <w:r w:rsidR="00A53A59" w:rsidRPr="0015116B">
        <w:t xml:space="preserve">etrospective analyses </w:t>
      </w:r>
      <w:r w:rsidRPr="0015116B">
        <w:t>are</w:t>
      </w:r>
      <w:r w:rsidR="00A53A59" w:rsidRPr="0015116B">
        <w:t xml:space="preserve"> provided </w:t>
      </w:r>
      <w:r w:rsidRPr="0015116B">
        <w:t>here for several model scenarios</w:t>
      </w:r>
      <w:r w:rsidR="00A53A59" w:rsidRPr="0015116B">
        <w:t>.</w:t>
      </w:r>
    </w:p>
    <w:p w14:paraId="44C97565" w14:textId="77777777" w:rsidR="00A53A59" w:rsidRPr="0015116B" w:rsidRDefault="00A53A59" w:rsidP="00A53A59">
      <w:pPr>
        <w:pStyle w:val="Heading4"/>
      </w:pPr>
      <w:r w:rsidRPr="0015116B">
        <w:t>June 2019 SSC Meeting</w:t>
      </w:r>
    </w:p>
    <w:p w14:paraId="7FA98E3C" w14:textId="77777777" w:rsidR="00A53A59" w:rsidRPr="0015116B" w:rsidRDefault="00A53A59" w:rsidP="00A53A59">
      <w:pPr>
        <w:pStyle w:val="Heading5"/>
      </w:pPr>
      <w:r w:rsidRPr="0015116B">
        <w:t>The SSC endorsed the CPT suggestions from its May meeting.</w:t>
      </w:r>
    </w:p>
    <w:p w14:paraId="26C29F3E" w14:textId="77777777" w:rsidR="00A53A59" w:rsidRPr="0015116B" w:rsidRDefault="00A53A59" w:rsidP="00A53A59">
      <w:pPr>
        <w:pStyle w:val="Comment-ResponseResponse"/>
      </w:pPr>
      <w:r w:rsidRPr="0015116B">
        <w:rPr>
          <w:i/>
        </w:rPr>
        <w:t>Response:</w:t>
      </w:r>
      <w:r w:rsidRPr="0015116B">
        <w:t xml:space="preserve"> none.</w:t>
      </w:r>
    </w:p>
    <w:p w14:paraId="1363C25A" w14:textId="77777777" w:rsidR="00A53A59" w:rsidRPr="0015116B" w:rsidRDefault="00A53A59" w:rsidP="00A53A59">
      <w:pPr>
        <w:pStyle w:val="Heading5"/>
      </w:pPr>
      <w:r w:rsidRPr="0015116B">
        <w:lastRenderedPageBreak/>
        <w:t>The SSC requested an evaluation of all parameters estimated to be at or very near bounds, or substantially limited by priors (unless those priors can be logically defended).</w:t>
      </w:r>
    </w:p>
    <w:p w14:paraId="7523AC57" w14:textId="77777777" w:rsidR="00A53A59" w:rsidRPr="0015116B" w:rsidRDefault="00A53A59" w:rsidP="00A53A59">
      <w:pPr>
        <w:pStyle w:val="Comment-ResponseResponse"/>
      </w:pPr>
      <w:r w:rsidRPr="0015116B">
        <w:rPr>
          <w:i/>
          <w:iCs/>
        </w:rPr>
        <w:t>Original response (9/19)</w:t>
      </w:r>
      <w:r w:rsidRPr="0015116B">
        <w:rPr>
          <w:i/>
        </w:rPr>
        <w:t>:</w:t>
      </w:r>
      <w:r w:rsidRPr="0015116B">
        <w:t xml:space="preserve"> Two tables of parameters estimated at or near their bounds are provided (Tables 18 and 19). These parameters are estimated at their bounds in all (or nearly all) of the scenarios examined here. The parameters include one related to peak retention in the directed fishery prior to 1997 (at its upper bound on the logit scale, implying full retention of large legal males) and two related to the probability of undergoing terminal molt (effectively 1 for males in the largest model size bin and 0 for females in the smallest model size bin). These could be fixed in future models (the latter two are in several scenarios here). Survey catchability parameters for the 1975-1981 time period were also estimated at their lower bound (0.5). This might not be unreasonable given the reduced areal coverage of these surveys relative to later surveys and the spatial limits of the Tanner crab stock. However, it would be worthwhile to explore the effect of reducing these bounds. The remaining parameters are related to selectivity functions describing the size-specific capture efficiency of the fisheries and surveys. Two at their lower bounds are probably inconsequential (pS2[10] and pS4[1]) and are related to the ascending and descending slopes of the dome-shaped selectivity describing male bycatch in the snow crab fishery prior to 1997. A double-normal is used to describe the dome shape, but an alternative function (e.g., a single normal) might have better estimation properties. The size at 50% selected was estimated at its upper bound (90 mm CW) for NMFS survey selectivity in the 1975-1981 time period pS1[1]). This results in an almost linear function, rather than asymptotic, across the size range. This result may reflect the changing interaction between the areas surveyed (availability) and the gear selectivity in this time period as the survey gradually extended from the southeast shelf and Bristol Bay where adult males were prevalent to the north and west where more immature males would be encountered, effectively “seeing” relatively more large males than small males. Two other survey-related selectivity parameters, describing the size difference between crab at 50% and 95% selected) were estimated at their upper bounds for the both males and females in the NMFS EBS trawl survey in the 1982-present time period (pS2[2] and pS2[4]). The selectivity functions are assumed to be logistic, with the other estimated parameter being the size at 95% selected. The practical consequence of this is that small crab (females in particular) are described as fairly well-selected (&gt; 50% for females) relative to fully-selected (sex-specific) large crab. This result may reflect conflicts from between the model assumption of equal sex ratios for recruitment in the 25-40 mm CW range, apparent equal abundances and spatial patterns for males and females at small sizes in the NMFS EBS survey, and assumed logistic selectivity. The selectivity parameter describing the size at 50% selected for males in the groundfish fisheries during 1987-1996 was estimated in all scenarios at its lower bound (40 mm CW), probably a consequence of fairly substantial catches of small crab in some years (e.g., 1993, Figure 12). Finally, three parameters at their upper bounds (pS1[23], pS1[24], and pS1[27]) are related to the size at 95% selected in the BBRKC fishery in the 1997-2004 (males) and 2005+ (males and females) time periods. The upper bounds (180 for males, 140 for females) were selected to reflect the largest possible sizes reasonably expected in the model, so the resulting selectivity functions are essentially positively-sloped linear functions with values fixed at 0.95 at the parameter bound because the other estimated logistic parameter estimates a large size at 50% selected (see selectivity curves in Figure 46).</w:t>
      </w:r>
    </w:p>
    <w:p w14:paraId="749787E7" w14:textId="77777777" w:rsidR="00A53A59" w:rsidRPr="0015116B" w:rsidRDefault="00A53A59" w:rsidP="00A53A59">
      <w:pPr>
        <w:pStyle w:val="Heading4"/>
      </w:pPr>
      <w:r w:rsidRPr="0015116B">
        <w:t>May2019 Crab Plan Team Meeting</w:t>
      </w:r>
    </w:p>
    <w:p w14:paraId="01DBF1EB" w14:textId="77777777" w:rsidR="00A53A59" w:rsidRPr="0015116B" w:rsidRDefault="00A53A59" w:rsidP="00A53A59">
      <w:pPr>
        <w:pStyle w:val="Heading5"/>
      </w:pPr>
      <w:r w:rsidRPr="0015116B">
        <w:t>CPT comment: Compare trends in largest crab to fishing pressure and area occupied by stock.</w:t>
      </w:r>
    </w:p>
    <w:p w14:paraId="6DDC6470" w14:textId="0FDF426D" w:rsidR="00A53A59" w:rsidRPr="0015116B" w:rsidRDefault="00A53A59" w:rsidP="00A53A59">
      <w:pPr>
        <w:pStyle w:val="Comment-ResponseResponse"/>
      </w:pPr>
      <w:r w:rsidRPr="0015116B">
        <w:rPr>
          <w:i/>
          <w:iCs/>
        </w:rPr>
        <w:t>Original response (9/19):</w:t>
      </w:r>
      <w:r w:rsidRPr="0015116B">
        <w:t xml:space="preserve"> This is a good suggestion that, time permitting, will be addressed before the January 202</w:t>
      </w:r>
      <w:r w:rsidR="00877303" w:rsidRPr="0015116B">
        <w:t>1</w:t>
      </w:r>
      <w:r w:rsidRPr="0015116B">
        <w:t xml:space="preserve"> CPT meeting.</w:t>
      </w:r>
    </w:p>
    <w:p w14:paraId="3B061301" w14:textId="77777777" w:rsidR="00A53A59" w:rsidRPr="0015116B" w:rsidRDefault="00A53A59" w:rsidP="00A53A59">
      <w:pPr>
        <w:pStyle w:val="Heading5"/>
      </w:pPr>
      <w:r w:rsidRPr="0015116B">
        <w:t>CPT comment: Compare the maximum sizes seen in the fishery to the survey.</w:t>
      </w:r>
    </w:p>
    <w:p w14:paraId="7313D092" w14:textId="4DC58CC1" w:rsidR="00A53A59" w:rsidRPr="0015116B" w:rsidRDefault="00A53A59" w:rsidP="00A53A59">
      <w:pPr>
        <w:pStyle w:val="Comment-ResponseResponse"/>
      </w:pPr>
      <w:r w:rsidRPr="0015116B">
        <w:rPr>
          <w:i/>
          <w:iCs/>
        </w:rPr>
        <w:t>Original response (9/19)</w:t>
      </w:r>
      <w:r w:rsidRPr="0015116B">
        <w:t>: Another good suggestion that, time permitting, will be addressed before the January 202</w:t>
      </w:r>
      <w:r w:rsidR="00877303" w:rsidRPr="0015116B">
        <w:t>1</w:t>
      </w:r>
      <w:r w:rsidRPr="0015116B">
        <w:t xml:space="preserve"> CPT meeting.</w:t>
      </w:r>
    </w:p>
    <w:p w14:paraId="5A356E9E" w14:textId="77777777" w:rsidR="00A53A59" w:rsidRPr="0015116B" w:rsidRDefault="00A53A59" w:rsidP="00A53A59">
      <w:pPr>
        <w:pStyle w:val="Heading5"/>
      </w:pPr>
      <w:r w:rsidRPr="0015116B">
        <w:lastRenderedPageBreak/>
        <w:t>CPT comment: Consider blocking for estimation of growth and probability of maturing.</w:t>
      </w:r>
    </w:p>
    <w:p w14:paraId="4EE18DB9" w14:textId="77777777" w:rsidR="00A53A59" w:rsidRPr="0015116B" w:rsidRDefault="00A53A59" w:rsidP="00A53A59">
      <w:r w:rsidRPr="0015116B">
        <w:rPr>
          <w:i/>
          <w:iCs/>
        </w:rPr>
        <w:t>Original response (9/19):</w:t>
      </w:r>
      <w:r w:rsidRPr="0015116B">
        <w:t xml:space="preserve"> This has been on the “to do” list for a while now, but with relatively low priority. The problem is that the principal data which the model relies on for estimating both processes is, except for size compositions, only available (from a practical standpoint) since 2006 for male maturity ogives and since 2015 for (both sexes) molt increment data. The ability of the model to reliably estimate changes in these processes is thus somewhat doubtful. </w:t>
      </w:r>
    </w:p>
    <w:p w14:paraId="75484266" w14:textId="77777777" w:rsidR="00A53A59" w:rsidRPr="0015116B" w:rsidRDefault="00A53A59" w:rsidP="00A53A59">
      <w:pPr>
        <w:pStyle w:val="Heading5"/>
      </w:pPr>
      <w:r w:rsidRPr="0015116B">
        <w:t>CPT comment: Provide retrospective analysis and calculate Mohn’s rho for MMB</w:t>
      </w:r>
    </w:p>
    <w:p w14:paraId="70282DAD" w14:textId="46675791" w:rsidR="00A53A59" w:rsidRPr="0015116B" w:rsidRDefault="00A53A59" w:rsidP="00A53A59">
      <w:pPr>
        <w:pStyle w:val="Comment-ResponseResponse"/>
      </w:pPr>
      <w:r w:rsidRPr="0015116B">
        <w:t xml:space="preserve">Updated response (9/20): </w:t>
      </w:r>
      <w:r w:rsidR="003A52C9" w:rsidRPr="0015116B">
        <w:t xml:space="preserve"> This has been done and results are presented in this chapter.</w:t>
      </w:r>
    </w:p>
    <w:p w14:paraId="1D9480EE" w14:textId="77777777" w:rsidR="008D6126" w:rsidRPr="0015116B" w:rsidRDefault="008D6126">
      <w:pPr>
        <w:spacing w:after="200" w:line="276" w:lineRule="auto"/>
      </w:pPr>
      <w:r w:rsidRPr="0015116B">
        <w:br w:type="page"/>
      </w:r>
    </w:p>
    <w:p w14:paraId="6522F28A" w14:textId="77777777" w:rsidR="00435BF8" w:rsidRPr="0015116B" w:rsidRDefault="006047FA" w:rsidP="003B104A">
      <w:pPr>
        <w:pStyle w:val="Heading1"/>
      </w:pPr>
      <w:r w:rsidRPr="0015116B">
        <w:lastRenderedPageBreak/>
        <w:t xml:space="preserve">C. </w:t>
      </w:r>
      <w:r w:rsidR="00435BF8" w:rsidRPr="0015116B">
        <w:t>Introduction</w:t>
      </w:r>
    </w:p>
    <w:p w14:paraId="08BF8E4C" w14:textId="77777777" w:rsidR="00435BF8" w:rsidRPr="0015116B" w:rsidRDefault="00366BB6" w:rsidP="00366BB6">
      <w:pPr>
        <w:pStyle w:val="Heading3"/>
      </w:pPr>
      <w:r w:rsidRPr="0015116B">
        <w:t xml:space="preserve">1. </w:t>
      </w:r>
      <w:r w:rsidR="00435BF8" w:rsidRPr="0015116B">
        <w:t>Scientific name.</w:t>
      </w:r>
    </w:p>
    <w:p w14:paraId="37C2BE3F" w14:textId="047DEBD4" w:rsidR="00DC5D2D" w:rsidRPr="0015116B" w:rsidRDefault="00903499" w:rsidP="00DC5D2D">
      <w:proofErr w:type="spellStart"/>
      <w:r w:rsidRPr="0015116B">
        <w:rPr>
          <w:i/>
        </w:rPr>
        <w:t>Chionocoetes</w:t>
      </w:r>
      <w:proofErr w:type="spellEnd"/>
      <w:r w:rsidRPr="0015116B">
        <w:rPr>
          <w:i/>
        </w:rPr>
        <w:t xml:space="preserve"> bairdi.</w:t>
      </w:r>
      <w:r w:rsidR="00933E10" w:rsidRPr="0015116B">
        <w:rPr>
          <w:i/>
        </w:rPr>
        <w:t xml:space="preserve"> </w:t>
      </w:r>
      <w:r w:rsidR="00207B7F" w:rsidRPr="0015116B">
        <w:t>Tanner crab</w:t>
      </w:r>
      <w:r w:rsidR="00207B7F" w:rsidRPr="0015116B">
        <w:rPr>
          <w:i/>
        </w:rPr>
        <w:t xml:space="preserve"> </w:t>
      </w:r>
      <w:r w:rsidR="00207B7F" w:rsidRPr="0015116B">
        <w:t xml:space="preserve">is one of five species in the genus </w:t>
      </w:r>
      <w:r w:rsidR="00207B7F" w:rsidRPr="0015116B">
        <w:rPr>
          <w:i/>
        </w:rPr>
        <w:t>Chionoecetes</w:t>
      </w:r>
      <w:r w:rsidR="002B4DAC" w:rsidRPr="0015116B">
        <w:t xml:space="preserve"> (Rathbun, 1924)</w:t>
      </w:r>
      <w:r w:rsidR="008C17A9" w:rsidRPr="0015116B">
        <w:t xml:space="preserve">. </w:t>
      </w:r>
      <w:r w:rsidR="00207B7F" w:rsidRPr="0015116B">
        <w:t xml:space="preserve">The common name “Tanner crab” for </w:t>
      </w:r>
      <w:r w:rsidR="00207B7F" w:rsidRPr="0015116B">
        <w:rPr>
          <w:i/>
        </w:rPr>
        <w:t>C. bairdi</w:t>
      </w:r>
      <w:r w:rsidR="00207B7F" w:rsidRPr="0015116B">
        <w:t xml:space="preserve"> (Williams et al. 1989) was recently modified to “southern Tanner crab” (McLaughlin et al. 2005).</w:t>
      </w:r>
      <w:r w:rsidR="000E77E5" w:rsidRPr="0015116B">
        <w:t xml:space="preserve"> </w:t>
      </w:r>
      <w:r w:rsidR="00207B7F" w:rsidRPr="0015116B">
        <w:t>Prior to this change, the term “Tanner crab” had also been used to refer to other members of the g</w:t>
      </w:r>
      <w:r w:rsidR="008C17A9" w:rsidRPr="0015116B">
        <w:t xml:space="preserve">enus, or the genus as a whole. </w:t>
      </w:r>
      <w:r w:rsidR="00207B7F" w:rsidRPr="0015116B">
        <w:t>Hereafter, the common name “Tanner crab” will be used in reference to “southern Tanner crab”.</w:t>
      </w:r>
    </w:p>
    <w:p w14:paraId="4509390C" w14:textId="77777777" w:rsidR="00435BF8" w:rsidRPr="0015116B" w:rsidRDefault="00366BB6" w:rsidP="00366BB6">
      <w:pPr>
        <w:pStyle w:val="Heading3"/>
      </w:pPr>
      <w:r w:rsidRPr="0015116B">
        <w:t xml:space="preserve">2. </w:t>
      </w:r>
      <w:r w:rsidR="00435BF8" w:rsidRPr="0015116B">
        <w:t>Description of general distribution</w:t>
      </w:r>
    </w:p>
    <w:p w14:paraId="0DDE6A1D" w14:textId="77777777" w:rsidR="00903499" w:rsidRPr="0015116B" w:rsidRDefault="00903499" w:rsidP="00903499">
      <w:r w:rsidRPr="0015116B">
        <w:t>Tanner crabs are found in continental shel</w:t>
      </w:r>
      <w:r w:rsidR="00E90929" w:rsidRPr="0015116B">
        <w:t xml:space="preserve">f waters of the north Pacific. </w:t>
      </w:r>
      <w:r w:rsidRPr="0015116B">
        <w:t>In the east, their range extends as far south as Oregon (</w:t>
      </w:r>
      <w:proofErr w:type="spellStart"/>
      <w:r w:rsidRPr="0015116B">
        <w:t>Hosie</w:t>
      </w:r>
      <w:proofErr w:type="spellEnd"/>
      <w:r w:rsidRPr="0015116B">
        <w:t xml:space="preserve"> and </w:t>
      </w:r>
      <w:proofErr w:type="spellStart"/>
      <w:r w:rsidRPr="0015116B">
        <w:t>Gaumer</w:t>
      </w:r>
      <w:proofErr w:type="spellEnd"/>
      <w:r w:rsidRPr="0015116B">
        <w:t xml:space="preserve"> 1974) and in the west as far south as Hokkaido, Japan (Kon 1996). The northern extent of their range is in the Bering Sea (Somerton 1981a)</w:t>
      </w:r>
      <w:r w:rsidR="00E90929" w:rsidRPr="0015116B">
        <w:t>,</w:t>
      </w:r>
      <w:r w:rsidRPr="0015116B">
        <w:t xml:space="preserve"> where they are found along the Kamchatka peninsula (</w:t>
      </w:r>
      <w:proofErr w:type="spellStart"/>
      <w:r w:rsidRPr="0015116B">
        <w:t>Slizkin</w:t>
      </w:r>
      <w:proofErr w:type="spellEnd"/>
      <w:r w:rsidRPr="0015116B">
        <w:t xml:space="preserve"> 1990) to the west and in Bristol Bay to the east. </w:t>
      </w:r>
    </w:p>
    <w:p w14:paraId="28998B77" w14:textId="5F28313C" w:rsidR="00DC5D2D" w:rsidRPr="0015116B" w:rsidRDefault="00903499" w:rsidP="00903499">
      <w:r w:rsidRPr="0015116B">
        <w:t xml:space="preserve">In the eastern Bering Sea (EBS), the Tanner crab distribution may be limited by water temperature (Somerton 1981a). </w:t>
      </w:r>
      <w:r w:rsidR="00E90929" w:rsidRPr="0015116B">
        <w:t>The unit stock is that defined across the geographic range of the EBS continental shelf, and managed as a single unit (</w:t>
      </w:r>
      <w:r w:rsidR="009B2C20" w:rsidRPr="0015116B">
        <w:t>Fig.</w:t>
      </w:r>
      <w:r w:rsidR="00146260" w:rsidRPr="0015116B">
        <w:t xml:space="preserve"> 1</w:t>
      </w:r>
      <w:r w:rsidR="00E90929" w:rsidRPr="0015116B">
        <w:t xml:space="preserve">). </w:t>
      </w:r>
      <w:r w:rsidRPr="0015116B">
        <w:rPr>
          <w:i/>
        </w:rPr>
        <w:t>C. bairdi</w:t>
      </w:r>
      <w:r w:rsidRPr="0015116B">
        <w:t xml:space="preserve"> is common in the southern half of Bristol Bay, around the Pribilof Islands, and along the shelf break, although males</w:t>
      </w:r>
      <w:r w:rsidR="002D2662" w:rsidRPr="0015116B">
        <w:t xml:space="preserve"> less than the industry-preferred size</w:t>
      </w:r>
      <w:r w:rsidRPr="0015116B">
        <w:t xml:space="preserve"> (</w:t>
      </w:r>
      <w:r w:rsidR="002D2662" w:rsidRPr="0015116B">
        <w:t>&gt;125</w:t>
      </w:r>
      <w:r w:rsidRPr="0015116B">
        <w:t xml:space="preserve"> mm </w:t>
      </w:r>
      <w:r w:rsidR="00146260" w:rsidRPr="0015116B">
        <w:t>CW</w:t>
      </w:r>
      <w:r w:rsidRPr="0015116B">
        <w:t xml:space="preserve">) and ovigerous and immature females of all sizes are distributed broadly from southern Bristol Bay northwest to St. Matthew Island (Rugolo and </w:t>
      </w:r>
      <w:proofErr w:type="spellStart"/>
      <w:r w:rsidRPr="0015116B">
        <w:t>Turnock</w:t>
      </w:r>
      <w:proofErr w:type="spellEnd"/>
      <w:r w:rsidRPr="0015116B">
        <w:t>, 2011a</w:t>
      </w:r>
      <w:r w:rsidR="00E90929" w:rsidRPr="0015116B">
        <w:t xml:space="preserve">). </w:t>
      </w:r>
      <w:r w:rsidRPr="0015116B">
        <w:t xml:space="preserve">The southern range of the cold water congener the snow crab, </w:t>
      </w:r>
      <w:r w:rsidRPr="0015116B">
        <w:rPr>
          <w:i/>
        </w:rPr>
        <w:t>C. opilio</w:t>
      </w:r>
      <w:r w:rsidRPr="0015116B">
        <w:t>, in the EBS is near the Pribilof Is</w:t>
      </w:r>
      <w:r w:rsidR="001925DA" w:rsidRPr="0015116B">
        <w:t>lands (</w:t>
      </w:r>
      <w:proofErr w:type="spellStart"/>
      <w:r w:rsidR="001925DA" w:rsidRPr="0015116B">
        <w:t>Turnock</w:t>
      </w:r>
      <w:proofErr w:type="spellEnd"/>
      <w:r w:rsidR="001925DA" w:rsidRPr="0015116B">
        <w:t xml:space="preserve"> and Rugolo, 2011)</w:t>
      </w:r>
      <w:r w:rsidR="00E90929" w:rsidRPr="0015116B">
        <w:t xml:space="preserve">. </w:t>
      </w:r>
      <w:r w:rsidRPr="0015116B">
        <w:t>The distributions of snow and Tanner crab overlap on the shelf from approximately 56° to 60°N, and in this area, the two species hybridize (</w:t>
      </w:r>
      <w:proofErr w:type="spellStart"/>
      <w:r w:rsidRPr="0015116B">
        <w:t>Karinen</w:t>
      </w:r>
      <w:proofErr w:type="spellEnd"/>
      <w:r w:rsidRPr="0015116B">
        <w:t xml:space="preserve"> and Hoopes 1971).</w:t>
      </w:r>
    </w:p>
    <w:p w14:paraId="25881F29" w14:textId="77777777" w:rsidR="00435BF8" w:rsidRPr="0015116B" w:rsidRDefault="00366BB6" w:rsidP="00366BB6">
      <w:pPr>
        <w:pStyle w:val="Heading3"/>
      </w:pPr>
      <w:r w:rsidRPr="0015116B">
        <w:t xml:space="preserve">3. </w:t>
      </w:r>
      <w:r w:rsidR="00435BF8" w:rsidRPr="0015116B">
        <w:t>Evidence of stock structure</w:t>
      </w:r>
    </w:p>
    <w:p w14:paraId="722033F2" w14:textId="4FD3805A" w:rsidR="00E90929" w:rsidRPr="0015116B" w:rsidRDefault="00E90929" w:rsidP="00E90929">
      <w:r w:rsidRPr="0015116B">
        <w:t xml:space="preserve">Tanner crabs in the EBS are considered to be a separate stock distinct from Tanner crabs in the eastern and western Aleutian Islands (NPFMC 1998). </w:t>
      </w:r>
      <w:r w:rsidR="009C787F" w:rsidRPr="0015116B">
        <w:t>C</w:t>
      </w:r>
      <w:r w:rsidRPr="0015116B">
        <w:t xml:space="preserve">linal differences </w:t>
      </w:r>
      <w:r w:rsidR="009C787F" w:rsidRPr="0015116B">
        <w:t xml:space="preserve">across the EBS shelf </w:t>
      </w:r>
      <w:r w:rsidRPr="0015116B">
        <w:t xml:space="preserve">in some biological characteristics </w:t>
      </w:r>
      <w:r w:rsidR="009C787F" w:rsidRPr="0015116B">
        <w:t xml:space="preserve">such as mean mature size </w:t>
      </w:r>
      <w:r w:rsidRPr="0015116B">
        <w:t>exist across the range of the unit stock</w:t>
      </w:r>
      <w:r w:rsidR="009C787F" w:rsidRPr="0015116B">
        <w:t xml:space="preserve">, leading some authors to </w:t>
      </w:r>
      <w:r w:rsidR="008D211C" w:rsidRPr="0015116B">
        <w:t>argue for a division into eastern and western stocks</w:t>
      </w:r>
      <w:r w:rsidR="009C787F" w:rsidRPr="0015116B">
        <w:t xml:space="preserve"> in the EBS (Somerton 1981b, Zheng 2008, Zheng and Pengilly 2011)</w:t>
      </w:r>
      <w:r w:rsidRPr="0015116B">
        <w:t xml:space="preserve">. </w:t>
      </w:r>
      <w:r w:rsidR="008D211C" w:rsidRPr="0015116B">
        <w:t>However,</w:t>
      </w:r>
      <w:r w:rsidRPr="0015116B">
        <w:t xml:space="preserve"> </w:t>
      </w:r>
      <w:r w:rsidR="008D211C" w:rsidRPr="0015116B">
        <w:t xml:space="preserve">it was not generally recognized at the time of these analyses that this species undergoes a </w:t>
      </w:r>
      <w:r w:rsidRPr="0015116B">
        <w:t>terminal molt at maturity</w:t>
      </w:r>
      <w:r w:rsidR="00A42DE5" w:rsidRPr="0015116B">
        <w:t xml:space="preserve"> (</w:t>
      </w:r>
      <w:proofErr w:type="spellStart"/>
      <w:r w:rsidR="00A42DE5" w:rsidRPr="0015116B">
        <w:t>Tamone</w:t>
      </w:r>
      <w:proofErr w:type="spellEnd"/>
      <w:r w:rsidR="00A42DE5" w:rsidRPr="0015116B">
        <w:t xml:space="preserve"> et al. 2007)</w:t>
      </w:r>
      <w:r w:rsidRPr="0015116B">
        <w:t>, nor w</w:t>
      </w:r>
      <w:r w:rsidR="008D211C" w:rsidRPr="0015116B">
        <w:t>ere the implications of</w:t>
      </w:r>
      <w:r w:rsidRPr="0015116B">
        <w:t xml:space="preserve"> </w:t>
      </w:r>
      <w:r w:rsidR="008D211C" w:rsidRPr="0015116B">
        <w:t>ontogenetic</w:t>
      </w:r>
      <w:r w:rsidRPr="0015116B">
        <w:t xml:space="preserve"> movement</w:t>
      </w:r>
      <w:r w:rsidR="008D211C" w:rsidRPr="0015116B">
        <w:t xml:space="preserve"> </w:t>
      </w:r>
      <w:r w:rsidRPr="0015116B">
        <w:t xml:space="preserve">considered. </w:t>
      </w:r>
      <w:r w:rsidR="008D211C" w:rsidRPr="0015116B">
        <w:t>Thus, b</w:t>
      </w:r>
      <w:r w:rsidRPr="0015116B">
        <w:t xml:space="preserve">iological characteristics estimated </w:t>
      </w:r>
      <w:r w:rsidR="008D211C" w:rsidRPr="0015116B">
        <w:t>using</w:t>
      </w:r>
      <w:r w:rsidRPr="0015116B">
        <w:t xml:space="preserve"> comparisons of length frequency distributions across the range of the stock, or on modal length analysis over time</w:t>
      </w:r>
      <w:r w:rsidR="008D211C" w:rsidRPr="0015116B">
        <w:t>,</w:t>
      </w:r>
      <w:r w:rsidRPr="0015116B">
        <w:t xml:space="preserve"> may be confounded as a result</w:t>
      </w:r>
      <w:r w:rsidR="008D211C" w:rsidRPr="0015116B">
        <w:t xml:space="preserve"> and do not provide definitive evidence of stock structure</w:t>
      </w:r>
      <w:r w:rsidRPr="0015116B">
        <w:t>.</w:t>
      </w:r>
    </w:p>
    <w:p w14:paraId="5875B2C3" w14:textId="331F33F2" w:rsidR="00DC5D2D" w:rsidRPr="0015116B" w:rsidRDefault="008D211C" w:rsidP="00CD1BDF">
      <w:r w:rsidRPr="0015116B">
        <w:t>Simulated patterns of larval</w:t>
      </w:r>
      <w:r w:rsidR="00CD1BDF" w:rsidRPr="0015116B">
        <w:t xml:space="preserve"> dispersal suggest that Tanner crab in Bristol Bay may be somewhat isolated from other areas on the shelf, and that this component of the stock relies heavily on local retention of larvae for recruitment, suggesting that Tanner crab on the shelf may exist as a metapopulation of weakly-connected sub-stocks (</w:t>
      </w:r>
      <w:proofErr w:type="spellStart"/>
      <w:r w:rsidR="00CD1BDF" w:rsidRPr="0015116B">
        <w:t>Richar</w:t>
      </w:r>
      <w:proofErr w:type="spellEnd"/>
      <w:r w:rsidR="00CD1BDF" w:rsidRPr="0015116B">
        <w:t xml:space="preserve"> et al. 2015). However, recent genetic analysis has failed to distinguish multiple non-intermixing, non-interbreeding sub-stocks on the EBS shelf (</w:t>
      </w:r>
      <w:r w:rsidR="000174B6" w:rsidRPr="0015116B">
        <w:t>Johnson 2019)</w:t>
      </w:r>
      <w:r w:rsidR="00CD1BDF" w:rsidRPr="0015116B">
        <w:t>, suggesting that Tanner crab in the EBS form a single unit stock.</w:t>
      </w:r>
      <w:r w:rsidR="00E90929" w:rsidRPr="0015116B">
        <w:t xml:space="preserve"> </w:t>
      </w:r>
    </w:p>
    <w:p w14:paraId="3657D9C1" w14:textId="77777777" w:rsidR="00435BF8" w:rsidRPr="0015116B" w:rsidRDefault="00366BB6" w:rsidP="00366BB6">
      <w:pPr>
        <w:pStyle w:val="Heading3"/>
      </w:pPr>
      <w:r w:rsidRPr="0015116B">
        <w:t xml:space="preserve">4. </w:t>
      </w:r>
      <w:r w:rsidR="00E83EF6" w:rsidRPr="0015116B">
        <w:t>L</w:t>
      </w:r>
      <w:r w:rsidR="00435BF8" w:rsidRPr="0015116B">
        <w:t>ife history characteristics</w:t>
      </w:r>
    </w:p>
    <w:p w14:paraId="63497EB4" w14:textId="77777777" w:rsidR="00682C36" w:rsidRPr="0015116B" w:rsidRDefault="00682C36" w:rsidP="00682C36">
      <w:pPr>
        <w:pStyle w:val="Heading4"/>
      </w:pPr>
      <w:r w:rsidRPr="0015116B">
        <w:t xml:space="preserve">a. </w:t>
      </w:r>
      <w:r w:rsidR="006228F1" w:rsidRPr="0015116B">
        <w:t xml:space="preserve">Molting and </w:t>
      </w:r>
      <w:r w:rsidRPr="0015116B">
        <w:t>Shell Condition</w:t>
      </w:r>
    </w:p>
    <w:p w14:paraId="158EA512" w14:textId="30B5B1A8" w:rsidR="00682C36" w:rsidRPr="0015116B" w:rsidRDefault="00682C36" w:rsidP="00682C36">
      <w:r w:rsidRPr="0015116B">
        <w:t>Tanner crab</w:t>
      </w:r>
      <w:r w:rsidR="006228F1" w:rsidRPr="0015116B">
        <w:t>s</w:t>
      </w:r>
      <w:r w:rsidRPr="0015116B">
        <w:t xml:space="preserve">, like all crustaceans, </w:t>
      </w:r>
      <w:r w:rsidR="006228F1" w:rsidRPr="0015116B">
        <w:t>normally exhibit</w:t>
      </w:r>
      <w:r w:rsidR="00AB4F89" w:rsidRPr="0015116B">
        <w:t xml:space="preserve"> a </w:t>
      </w:r>
      <w:r w:rsidRPr="0015116B">
        <w:t xml:space="preserve">hard </w:t>
      </w:r>
      <w:r w:rsidR="00AB4F89" w:rsidRPr="0015116B">
        <w:t xml:space="preserve">exoskeleton of chitin and calcium carbonate. This hard exoskeleton requires </w:t>
      </w:r>
      <w:r w:rsidR="006228F1" w:rsidRPr="0015116B">
        <w:t>individuals</w:t>
      </w:r>
      <w:r w:rsidR="00AB4F89" w:rsidRPr="0015116B">
        <w:t xml:space="preserve"> to grow through a process referred to as molting, in which the individual sheds its current hard shell, revealing a new, larger exoskeleton that is initially </w:t>
      </w:r>
      <w:proofErr w:type="gramStart"/>
      <w:r w:rsidR="00AB4F89" w:rsidRPr="0015116B">
        <w:t>soft</w:t>
      </w:r>
      <w:proofErr w:type="gramEnd"/>
      <w:r w:rsidR="00AB4F89" w:rsidRPr="0015116B">
        <w:t xml:space="preserve"> but which rapidly hardens over several days. Newly-molted </w:t>
      </w:r>
      <w:r w:rsidR="006228F1" w:rsidRPr="0015116B">
        <w:t>crab</w:t>
      </w:r>
      <w:r w:rsidR="00AB4F89" w:rsidRPr="0015116B">
        <w:t xml:space="preserve"> in this “soft shell” phase can be vulnerable to predators because they are generally torpid and have</w:t>
      </w:r>
      <w:r w:rsidR="006228F1" w:rsidRPr="0015116B">
        <w:t xml:space="preserve"> few</w:t>
      </w:r>
      <w:r w:rsidR="00AB4F89" w:rsidRPr="0015116B">
        <w:t xml:space="preserve"> defenses</w:t>
      </w:r>
      <w:r w:rsidR="006228F1" w:rsidRPr="0015116B">
        <w:t xml:space="preserve"> if discovered</w:t>
      </w:r>
      <w:r w:rsidR="00AB4F89" w:rsidRPr="0015116B">
        <w:t>.</w:t>
      </w:r>
      <w:r w:rsidR="006228F1" w:rsidRPr="0015116B">
        <w:t xml:space="preserve"> Subsequent to hardening, an individual’s shell provides a settlement substrate for a variety of </w:t>
      </w:r>
      <w:r w:rsidR="002A36BB" w:rsidRPr="0015116B">
        <w:t xml:space="preserve">epifaunal </w:t>
      </w:r>
      <w:r w:rsidR="006228F1" w:rsidRPr="0015116B">
        <w:t xml:space="preserve">“fouling” organisms such as </w:t>
      </w:r>
      <w:r w:rsidR="006228F1" w:rsidRPr="0015116B">
        <w:lastRenderedPageBreak/>
        <w:t>barnacles</w:t>
      </w:r>
      <w:r w:rsidR="002A36BB" w:rsidRPr="0015116B">
        <w:t xml:space="preserve"> and bryozoans</w:t>
      </w:r>
      <w:r w:rsidR="006228F1" w:rsidRPr="0015116B">
        <w:t xml:space="preserve">. The degree of hard-shell fouling was once thought to correspond closely to post-molt age and led to a classification of </w:t>
      </w:r>
      <w:r w:rsidR="009913FB" w:rsidRPr="0015116B">
        <w:t xml:space="preserve">Tanner </w:t>
      </w:r>
      <w:r w:rsidR="006228F1" w:rsidRPr="0015116B">
        <w:t>crab by shell condition (SC)</w:t>
      </w:r>
      <w:r w:rsidR="008E522B" w:rsidRPr="0015116B">
        <w:t xml:space="preserve"> in survey and fishery data</w:t>
      </w:r>
      <w:r w:rsidR="006228F1" w:rsidRPr="0015116B">
        <w:t xml:space="preserve"> </w:t>
      </w:r>
      <w:r w:rsidR="008E522B" w:rsidRPr="0015116B">
        <w:t>similar to that</w:t>
      </w:r>
      <w:r w:rsidR="006228F1" w:rsidRPr="0015116B">
        <w:t xml:space="preserve"> </w:t>
      </w:r>
      <w:r w:rsidR="00C8026C" w:rsidRPr="0015116B">
        <w:t>described in the following table</w:t>
      </w:r>
      <w:r w:rsidR="009913FB" w:rsidRPr="0015116B">
        <w:t xml:space="preserve"> (</w:t>
      </w:r>
      <w:r w:rsidR="00512433" w:rsidRPr="0015116B">
        <w:t>NMFS/AFSC/</w:t>
      </w:r>
      <w:r w:rsidR="00680A64" w:rsidRPr="0015116B">
        <w:t xml:space="preserve">RACE, </w:t>
      </w:r>
      <w:r w:rsidR="00512433" w:rsidRPr="0015116B">
        <w:t>unpublished</w:t>
      </w:r>
      <w:r w:rsidR="009913FB" w:rsidRPr="0015116B">
        <w:t>)</w:t>
      </w:r>
      <w:r w:rsidR="00C8026C" w:rsidRPr="0015116B">
        <w:t>:</w:t>
      </w:r>
    </w:p>
    <w:p w14:paraId="1C5F69AD" w14:textId="77777777" w:rsidR="00C8026C" w:rsidRPr="0015116B" w:rsidRDefault="009913FB" w:rsidP="009913FB">
      <w:pPr>
        <w:jc w:val="center"/>
      </w:pPr>
      <w:r w:rsidRPr="0015116B">
        <w:rPr>
          <w:noProof/>
        </w:rPr>
        <w:drawing>
          <wp:inline distT="0" distB="0" distL="0" distR="0" wp14:anchorId="5AC7F127" wp14:editId="437B4AFF">
            <wp:extent cx="4572000" cy="248840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572000" cy="2488406"/>
                    </a:xfrm>
                    <a:prstGeom prst="rect">
                      <a:avLst/>
                    </a:prstGeom>
                    <a:noFill/>
                    <a:ln w="9525">
                      <a:noFill/>
                      <a:miter lim="800000"/>
                      <a:headEnd/>
                      <a:tailEnd/>
                    </a:ln>
                  </pic:spPr>
                </pic:pic>
              </a:graphicData>
            </a:graphic>
          </wp:inline>
        </w:drawing>
      </w:r>
    </w:p>
    <w:p w14:paraId="1365C5ED" w14:textId="641CC317" w:rsidR="009913FB" w:rsidRPr="0015116B" w:rsidRDefault="003113B6" w:rsidP="009913FB">
      <w:r w:rsidRPr="0015116B">
        <w:t xml:space="preserve">Although these shell classifications continue to </w:t>
      </w:r>
      <w:r w:rsidR="00E35596" w:rsidRPr="0015116B">
        <w:t xml:space="preserve">be </w:t>
      </w:r>
      <w:r w:rsidRPr="0015116B">
        <w:t xml:space="preserve">applied </w:t>
      </w:r>
      <w:r w:rsidR="00E35596" w:rsidRPr="0015116B">
        <w:t xml:space="preserve">to crab </w:t>
      </w:r>
      <w:r w:rsidRPr="0015116B">
        <w:t>in the field, it has been shown</w:t>
      </w:r>
      <w:r w:rsidR="008D6126" w:rsidRPr="0015116B">
        <w:t xml:space="preserve"> </w:t>
      </w:r>
      <w:r w:rsidRPr="0015116B">
        <w:t>that there is little real correspondence between post-molt age and shell classifications SC 3 through 5, other than that they indicate that the individual has probably not molted within the previous year</w:t>
      </w:r>
      <w:r w:rsidR="00415D4A" w:rsidRPr="0015116B">
        <w:t xml:space="preserve"> (</w:t>
      </w:r>
      <w:proofErr w:type="spellStart"/>
      <w:r w:rsidR="00415D4A" w:rsidRPr="0015116B">
        <w:t>Nevisi</w:t>
      </w:r>
      <w:proofErr w:type="spellEnd"/>
      <w:r w:rsidR="00415D4A" w:rsidRPr="0015116B">
        <w:t xml:space="preserve"> et al, 1996)</w:t>
      </w:r>
      <w:r w:rsidRPr="0015116B">
        <w:t xml:space="preserve">. In this assessment, crab classified into </w:t>
      </w:r>
      <w:r w:rsidR="0053475B" w:rsidRPr="0015116B">
        <w:t>SCs</w:t>
      </w:r>
      <w:r w:rsidRPr="0015116B">
        <w:t xml:space="preserve"> </w:t>
      </w:r>
      <w:r w:rsidR="0053475B" w:rsidRPr="0015116B">
        <w:t xml:space="preserve">3-5 </w:t>
      </w:r>
      <w:r w:rsidR="00370CA0" w:rsidRPr="0015116B">
        <w:t xml:space="preserve">have been aggregated </w:t>
      </w:r>
      <w:r w:rsidR="0053475B" w:rsidRPr="0015116B">
        <w:t>as “old-shell” crab, indicating that these are crab likely to have not molted within the previous year. In a similar fashion, crab classified in SCs 0-2</w:t>
      </w:r>
      <w:r w:rsidRPr="0015116B">
        <w:t xml:space="preserve"> </w:t>
      </w:r>
      <w:r w:rsidR="00370CA0" w:rsidRPr="0015116B">
        <w:t xml:space="preserve">have been combined </w:t>
      </w:r>
      <w:r w:rsidRPr="0015116B">
        <w:t>as “new shell” crab</w:t>
      </w:r>
      <w:r w:rsidR="0053475B" w:rsidRPr="0015116B">
        <w:t>, indicating that these are crab have certainly (SCs 0 and 1</w:t>
      </w:r>
      <w:r w:rsidR="00370CA0" w:rsidRPr="0015116B">
        <w:t>), or are likely to have (SC 2),</w:t>
      </w:r>
      <w:r w:rsidR="0053475B" w:rsidRPr="0015116B">
        <w:t xml:space="preserve"> molted within the previous year.</w:t>
      </w:r>
    </w:p>
    <w:p w14:paraId="4266D1CA" w14:textId="77777777" w:rsidR="00FF1BB3" w:rsidRPr="0015116B" w:rsidRDefault="0053475B" w:rsidP="00FF1BB3">
      <w:pPr>
        <w:pStyle w:val="Heading4"/>
      </w:pPr>
      <w:r w:rsidRPr="0015116B">
        <w:t>b</w:t>
      </w:r>
      <w:r w:rsidR="00FF1BB3" w:rsidRPr="0015116B">
        <w:t>. Growth</w:t>
      </w:r>
    </w:p>
    <w:p w14:paraId="3360D19A" w14:textId="4EC8F9A3" w:rsidR="00AB4DB1" w:rsidRPr="0015116B" w:rsidRDefault="00AB4DB1" w:rsidP="00FF1BB3">
      <w:r w:rsidRPr="0015116B">
        <w:t>Work by Somerton (1981a) estimated growth for EBS Tanner crab based on modal size frequency analysis of Tanner crab in survey data assuming no terminal molt at maturity. Somerton’s approach did not directly measure molt increments and his findings are constrained by not considering that the progression of modal lengths between years was biased because crab ceased growing after their terminal molt to maturity.</w:t>
      </w:r>
    </w:p>
    <w:p w14:paraId="39B5876A" w14:textId="10AC2308" w:rsidR="0046586C" w:rsidRPr="0015116B" w:rsidRDefault="00AB4DB1" w:rsidP="0046586C">
      <w:r w:rsidRPr="0015116B">
        <w:t xml:space="preserve">Growth in immature Tanner crab larger than </w:t>
      </w:r>
      <w:r w:rsidR="00EA0F35" w:rsidRPr="0015116B">
        <w:t xml:space="preserve">approximately </w:t>
      </w:r>
      <w:r w:rsidRPr="0015116B">
        <w:t>25 mm CW proceeds by a series of annual molts, up to a final (terminal) molt to maturity (</w:t>
      </w:r>
      <w:proofErr w:type="spellStart"/>
      <w:r w:rsidRPr="0015116B">
        <w:t>Tamone</w:t>
      </w:r>
      <w:proofErr w:type="spellEnd"/>
      <w:r w:rsidRPr="0015116B">
        <w:t xml:space="preserve"> et al., 2007). </w:t>
      </w:r>
      <w:r w:rsidR="00FF1BB3" w:rsidRPr="0015116B">
        <w:t xml:space="preserve">Rugolo and </w:t>
      </w:r>
      <w:proofErr w:type="spellStart"/>
      <w:r w:rsidR="00FF1BB3" w:rsidRPr="0015116B">
        <w:t>Turnock</w:t>
      </w:r>
      <w:proofErr w:type="spellEnd"/>
      <w:r w:rsidR="00FF1BB3" w:rsidRPr="0015116B">
        <w:t xml:space="preserve"> (2012</w:t>
      </w:r>
      <w:r w:rsidR="00680A64" w:rsidRPr="0015116B">
        <w:t>a</w:t>
      </w:r>
      <w:r w:rsidR="00FF1BB3" w:rsidRPr="0015116B">
        <w:t xml:space="preserve">) derived growth relationships for male and female Tanner crab </w:t>
      </w:r>
      <w:r w:rsidR="001925DA" w:rsidRPr="0015116B">
        <w:t xml:space="preserve">used </w:t>
      </w:r>
      <w:r w:rsidRPr="0015116B">
        <w:t xml:space="preserve">as priors for estimated growth parameters </w:t>
      </w:r>
      <w:r w:rsidR="001925DA" w:rsidRPr="0015116B">
        <w:t xml:space="preserve">in this </w:t>
      </w:r>
      <w:r w:rsidRPr="0015116B">
        <w:t>(</w:t>
      </w:r>
      <w:r w:rsidR="002237CC" w:rsidRPr="0015116B">
        <w:t>and previous</w:t>
      </w:r>
      <w:r w:rsidRPr="0015116B">
        <w:t>)</w:t>
      </w:r>
      <w:r w:rsidR="002237CC" w:rsidRPr="0015116B">
        <w:t xml:space="preserve"> </w:t>
      </w:r>
      <w:r w:rsidR="001925DA" w:rsidRPr="0015116B">
        <w:t>assessment</w:t>
      </w:r>
      <w:r w:rsidR="002237CC" w:rsidRPr="0015116B">
        <w:t>s</w:t>
      </w:r>
      <w:r w:rsidR="001925DA" w:rsidRPr="0015116B">
        <w:t xml:space="preserve"> from</w:t>
      </w:r>
      <w:r w:rsidR="00FF1BB3" w:rsidRPr="0015116B">
        <w:t xml:space="preserve"> </w:t>
      </w:r>
      <w:r w:rsidR="0053475B" w:rsidRPr="0015116B">
        <w:t xml:space="preserve">data on </w:t>
      </w:r>
      <w:r w:rsidR="00FF1BB3" w:rsidRPr="0015116B">
        <w:t xml:space="preserve">observed growth </w:t>
      </w:r>
      <w:r w:rsidR="001925DA" w:rsidRPr="0015116B">
        <w:t>in</w:t>
      </w:r>
      <w:r w:rsidR="00FF1BB3" w:rsidRPr="0015116B">
        <w:t xml:space="preserve"> males to approximately 140 mm carapace width (CW) and </w:t>
      </w:r>
      <w:r w:rsidR="001925DA" w:rsidRPr="0015116B">
        <w:t>in</w:t>
      </w:r>
      <w:r w:rsidR="00FF1BB3" w:rsidRPr="0015116B">
        <w:t xml:space="preserve"> females to approximately 115 mm CW</w:t>
      </w:r>
      <w:r w:rsidR="001925DA" w:rsidRPr="0015116B">
        <w:t xml:space="preserve"> that were collected near Kodiak Island in the Gulf of Alaska (Munk,</w:t>
      </w:r>
      <w:r w:rsidRPr="0015116B">
        <w:t xml:space="preserve"> unpublished</w:t>
      </w:r>
      <w:r w:rsidR="001925DA" w:rsidRPr="0015116B">
        <w:t>.; Donaldson et al. 1981)</w:t>
      </w:r>
      <w:r w:rsidR="00FF1BB3" w:rsidRPr="0015116B">
        <w:t>.</w:t>
      </w:r>
      <w:r w:rsidR="00146260" w:rsidRPr="0015116B">
        <w:t xml:space="preserve"> </w:t>
      </w:r>
      <w:r w:rsidR="0046586C" w:rsidRPr="0015116B">
        <w:t xml:space="preserve">Rugolo and </w:t>
      </w:r>
      <w:proofErr w:type="spellStart"/>
      <w:r w:rsidR="0046586C" w:rsidRPr="0015116B">
        <w:t>Turnock</w:t>
      </w:r>
      <w:proofErr w:type="spellEnd"/>
      <w:r w:rsidR="0046586C" w:rsidRPr="0015116B">
        <w:t xml:space="preserve"> (2010)</w:t>
      </w:r>
      <w:r w:rsidR="00D523F0" w:rsidRPr="0015116B">
        <w:t xml:space="preserve"> compared the resulting growth per molt (</w:t>
      </w:r>
      <w:proofErr w:type="spellStart"/>
      <w:r w:rsidR="00D523F0" w:rsidRPr="0015116B">
        <w:t>gpm</w:t>
      </w:r>
      <w:proofErr w:type="spellEnd"/>
      <w:r w:rsidR="00D523F0" w:rsidRPr="0015116B">
        <w:t xml:space="preserve">) relationships with those of Stone et al. (2003) for Tanner crab in southeast Alaska in terms of the overall pattern of </w:t>
      </w:r>
      <w:proofErr w:type="spellStart"/>
      <w:r w:rsidR="00D523F0" w:rsidRPr="0015116B">
        <w:t>gpm</w:t>
      </w:r>
      <w:proofErr w:type="spellEnd"/>
      <w:r w:rsidR="00D523F0" w:rsidRPr="0015116B">
        <w:t xml:space="preserve"> over the size range of crab and found that the pattern of </w:t>
      </w:r>
      <w:proofErr w:type="spellStart"/>
      <w:r w:rsidR="00D523F0" w:rsidRPr="0015116B">
        <w:t>gpm</w:t>
      </w:r>
      <w:proofErr w:type="spellEnd"/>
      <w:r w:rsidR="00D523F0" w:rsidRPr="0015116B">
        <w:t xml:space="preserve"> for both males and females was characterized by a higher rate of growth to an intermediate size (90-100 mm CW) followed by a decrease in growth rate from that size thereafter</w:t>
      </w:r>
      <w:r w:rsidR="0046586C" w:rsidRPr="0015116B">
        <w:t xml:space="preserve">. </w:t>
      </w:r>
      <w:r w:rsidR="00D523F0" w:rsidRPr="0015116B">
        <w:t>Similarly-shaped growth curves were found by</w:t>
      </w:r>
      <w:r w:rsidR="00680A64" w:rsidRPr="0015116B">
        <w:t xml:space="preserve"> </w:t>
      </w:r>
      <w:r w:rsidR="00D523F0" w:rsidRPr="0015116B">
        <w:t>Somerton (1981</w:t>
      </w:r>
      <w:r w:rsidR="001925DA" w:rsidRPr="0015116B">
        <w:t>a</w:t>
      </w:r>
      <w:r w:rsidR="00D523F0" w:rsidRPr="0015116B">
        <w:t>)</w:t>
      </w:r>
      <w:r w:rsidR="001925DA" w:rsidRPr="0015116B">
        <w:t xml:space="preserve"> </w:t>
      </w:r>
      <w:r w:rsidR="00146260" w:rsidRPr="0015116B">
        <w:t xml:space="preserve">and </w:t>
      </w:r>
      <w:r w:rsidR="00D523F0" w:rsidRPr="0015116B">
        <w:t>Donaldson et al. (1981)</w:t>
      </w:r>
      <w:r w:rsidR="001925DA" w:rsidRPr="0015116B">
        <w:t>, as well</w:t>
      </w:r>
      <w:r w:rsidR="00D523F0" w:rsidRPr="0015116B">
        <w:t xml:space="preserve">. </w:t>
      </w:r>
    </w:p>
    <w:p w14:paraId="36C8A793" w14:textId="62FCD89E" w:rsidR="00EA0F35" w:rsidRPr="0015116B" w:rsidRDefault="00EA0F35" w:rsidP="0046586C">
      <w:r w:rsidRPr="0015116B">
        <w:t>Molt increment data was collected for Tanner crab in the EBS during 2015, 2016, 2017</w:t>
      </w:r>
      <w:r w:rsidR="00F21020" w:rsidRPr="0015116B">
        <w:t xml:space="preserve"> and 2019</w:t>
      </w:r>
      <w:r w:rsidRPr="0015116B">
        <w:t xml:space="preserve"> in cooperative research between NMFS and the Bering Sea Research Foundation (R. Foy</w:t>
      </w:r>
      <w:r w:rsidR="00C42C86" w:rsidRPr="0015116B">
        <w:t xml:space="preserve"> and </w:t>
      </w:r>
      <w:r w:rsidR="004B36ED" w:rsidRPr="0015116B">
        <w:t>E. Fedewa</w:t>
      </w:r>
      <w:r w:rsidRPr="0015116B">
        <w:t xml:space="preserve">, NMFS, pers. </w:t>
      </w:r>
      <w:proofErr w:type="spellStart"/>
      <w:r w:rsidRPr="0015116B">
        <w:t>comm.</w:t>
      </w:r>
      <w:r w:rsidR="00C42C86" w:rsidRPr="0015116B">
        <w:t>s</w:t>
      </w:r>
      <w:proofErr w:type="spellEnd"/>
      <w:r w:rsidRPr="0015116B">
        <w:t xml:space="preserve">). </w:t>
      </w:r>
      <w:r w:rsidR="00563B50" w:rsidRPr="0015116B">
        <w:t>P</w:t>
      </w:r>
      <w:r w:rsidR="000D1346" w:rsidRPr="0015116B">
        <w:t>revious a</w:t>
      </w:r>
      <w:r w:rsidR="00563B50" w:rsidRPr="0015116B">
        <w:t>nalysis of the data suggests it is not substantially different from that obtained near Kodiak Island (</w:t>
      </w:r>
      <w:r w:rsidR="000D1346" w:rsidRPr="0015116B">
        <w:t>Stockhausen, 2017</w:t>
      </w:r>
      <w:r w:rsidR="00563B50" w:rsidRPr="0015116B">
        <w:t xml:space="preserve">). </w:t>
      </w:r>
      <w:r w:rsidR="000D1346" w:rsidRPr="0015116B">
        <w:t>Th</w:t>
      </w:r>
      <w:r w:rsidR="00F21020" w:rsidRPr="0015116B">
        <w:t>e</w:t>
      </w:r>
      <w:r w:rsidR="00311D0A" w:rsidRPr="0015116B">
        <w:t xml:space="preserve"> EBS molt increment</w:t>
      </w:r>
      <w:r w:rsidR="000D1346" w:rsidRPr="0015116B">
        <w:t xml:space="preserve"> data is incorporated in the </w:t>
      </w:r>
      <w:r w:rsidR="000D1346" w:rsidRPr="0015116B">
        <w:lastRenderedPageBreak/>
        <w:t>assessment model</w:t>
      </w:r>
      <w:r w:rsidR="00563B50" w:rsidRPr="0015116B">
        <w:t xml:space="preserve"> to inform inferred growth trajectories </w:t>
      </w:r>
      <w:r w:rsidR="000D1346" w:rsidRPr="0015116B">
        <w:t>in</w:t>
      </w:r>
      <w:r w:rsidR="00563B50" w:rsidRPr="0015116B">
        <w:t xml:space="preserve"> </w:t>
      </w:r>
      <w:r w:rsidR="000D1346" w:rsidRPr="0015116B">
        <w:t>all</w:t>
      </w:r>
      <w:r w:rsidR="00563B50" w:rsidRPr="0015116B">
        <w:t xml:space="preserve"> of the alternative models evaluated in this assessment.</w:t>
      </w:r>
    </w:p>
    <w:p w14:paraId="41DBBE96" w14:textId="22B7215C" w:rsidR="00FF1BB3" w:rsidRPr="0015116B" w:rsidRDefault="0053475B" w:rsidP="00FF1BB3">
      <w:pPr>
        <w:pStyle w:val="Heading4"/>
      </w:pPr>
      <w:r w:rsidRPr="0015116B">
        <w:t>c</w:t>
      </w:r>
      <w:r w:rsidR="00FF1BB3" w:rsidRPr="0015116B">
        <w:t xml:space="preserve">. Weight at </w:t>
      </w:r>
      <w:r w:rsidR="008D363E" w:rsidRPr="0015116B">
        <w:t>Size</w:t>
      </w:r>
    </w:p>
    <w:p w14:paraId="5FB376FB" w14:textId="1A8236F3" w:rsidR="008A670B" w:rsidRPr="0015116B" w:rsidRDefault="00AB4DB1" w:rsidP="00E35596">
      <w:r w:rsidRPr="0015116B">
        <w:t>W</w:t>
      </w:r>
      <w:r w:rsidR="008A670B" w:rsidRPr="0015116B">
        <w:t xml:space="preserve">eight-at-size </w:t>
      </w:r>
      <w:r w:rsidRPr="0015116B">
        <w:t>relationships used in this assessment were revised in 2014 based on a comprehensive re-evaluation of data from the NMFS EBS Bottom Trawl Survey (Daly et al., 2014). Weight-at-size is described by a</w:t>
      </w:r>
      <w:r w:rsidR="008A670B" w:rsidRPr="0015116B">
        <w:t xml:space="preserve"> power-law model of the form </w:t>
      </w:r>
      <m:oMath>
        <m:r>
          <w:rPr>
            <w:rFonts w:ascii="Cambria Math" w:hAnsi="Cambria Math"/>
          </w:rPr>
          <m:t>w=a∙</m:t>
        </m:r>
        <m:sSup>
          <m:sSupPr>
            <m:ctrlPr>
              <w:rPr>
                <w:rFonts w:ascii="Cambria Math" w:hAnsi="Cambria Math"/>
                <w:i/>
              </w:rPr>
            </m:ctrlPr>
          </m:sSupPr>
          <m:e>
            <m:r>
              <w:rPr>
                <w:rFonts w:ascii="Cambria Math" w:hAnsi="Cambria Math"/>
              </w:rPr>
              <m:t>z</m:t>
            </m:r>
          </m:e>
          <m:sup>
            <m:r>
              <w:rPr>
                <w:rFonts w:ascii="Cambria Math" w:hAnsi="Cambria Math"/>
              </w:rPr>
              <m:t>b</m:t>
            </m:r>
          </m:sup>
        </m:sSup>
      </m:oMath>
      <w:r w:rsidRPr="0015116B">
        <w:rPr>
          <w:rFonts w:eastAsiaTheme="minorEastAsia"/>
        </w:rPr>
        <w:t xml:space="preserve">, where </w:t>
      </w:r>
      <w:r w:rsidRPr="0015116B">
        <w:rPr>
          <w:rFonts w:eastAsiaTheme="minorEastAsia"/>
          <w:i/>
        </w:rPr>
        <w:t>w</w:t>
      </w:r>
      <w:r w:rsidRPr="0015116B">
        <w:rPr>
          <w:rFonts w:eastAsiaTheme="minorEastAsia"/>
        </w:rPr>
        <w:t xml:space="preserve"> is weight in kg and </w:t>
      </w:r>
      <w:r w:rsidRPr="0015116B">
        <w:rPr>
          <w:rFonts w:eastAsiaTheme="minorEastAsia"/>
          <w:i/>
        </w:rPr>
        <w:t>z</w:t>
      </w:r>
      <w:r w:rsidRPr="0015116B">
        <w:rPr>
          <w:rFonts w:eastAsiaTheme="minorEastAsia"/>
        </w:rPr>
        <w:t xml:space="preserve"> is size in mm CW</w:t>
      </w:r>
      <w:r w:rsidR="008A670B" w:rsidRPr="0015116B">
        <w:t xml:space="preserve"> (Daly et al., 20</w:t>
      </w:r>
      <w:r w:rsidRPr="0015116B">
        <w:t>1</w:t>
      </w:r>
      <w:r w:rsidR="00BE7A6B" w:rsidRPr="0015116B">
        <w:t>6</w:t>
      </w:r>
      <w:r w:rsidR="008A670B" w:rsidRPr="0015116B">
        <w:t>; table below)</w:t>
      </w:r>
      <w:r w:rsidRPr="0015116B">
        <w:t>. P</w:t>
      </w:r>
      <w:r w:rsidR="008A670B" w:rsidRPr="0015116B">
        <w:t>arameter values are presented in the following table:</w:t>
      </w:r>
    </w:p>
    <w:p w14:paraId="47C7E09C" w14:textId="545C057F" w:rsidR="008A670B" w:rsidRPr="0015116B" w:rsidRDefault="00BE7A6B" w:rsidP="008A670B">
      <w:pPr>
        <w:jc w:val="center"/>
      </w:pPr>
      <w:r w:rsidRPr="0015116B">
        <w:rPr>
          <w:noProof/>
        </w:rPr>
        <w:drawing>
          <wp:inline distT="0" distB="0" distL="0" distR="0" wp14:anchorId="62CF2A7E" wp14:editId="3A920E12">
            <wp:extent cx="22860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286000" cy="914400"/>
                    </a:xfrm>
                    <a:prstGeom prst="rect">
                      <a:avLst/>
                    </a:prstGeom>
                    <a:noFill/>
                    <a:ln>
                      <a:noFill/>
                    </a:ln>
                  </pic:spPr>
                </pic:pic>
              </a:graphicData>
            </a:graphic>
          </wp:inline>
        </w:drawing>
      </w:r>
    </w:p>
    <w:p w14:paraId="2391CAEE" w14:textId="77777777" w:rsidR="001F2864" w:rsidRPr="0015116B" w:rsidRDefault="006C6CC7" w:rsidP="00F74BA2">
      <w:pPr>
        <w:pStyle w:val="Heading4"/>
      </w:pPr>
      <w:r w:rsidRPr="0015116B">
        <w:t>d</w:t>
      </w:r>
      <w:r w:rsidR="00F74BA2" w:rsidRPr="0015116B">
        <w:t xml:space="preserve">. </w:t>
      </w:r>
      <w:r w:rsidR="00964DAF" w:rsidRPr="0015116B">
        <w:t xml:space="preserve">Maturity and </w:t>
      </w:r>
      <w:r w:rsidR="001F2864" w:rsidRPr="0015116B">
        <w:t>Reproduction</w:t>
      </w:r>
    </w:p>
    <w:p w14:paraId="2B22DBE3" w14:textId="2F2330CF" w:rsidR="001F2864" w:rsidRPr="0015116B" w:rsidRDefault="00FF1BB3" w:rsidP="001F2864">
      <w:r w:rsidRPr="0015116B">
        <w:t xml:space="preserve">It is now </w:t>
      </w:r>
      <w:r w:rsidR="00E35596" w:rsidRPr="0015116B">
        <w:t xml:space="preserve">generally </w:t>
      </w:r>
      <w:r w:rsidRPr="0015116B">
        <w:t>accepted that both Tanner crab</w:t>
      </w:r>
      <w:r w:rsidR="001F2864" w:rsidRPr="0015116B">
        <w:t xml:space="preserve"> males (</w:t>
      </w:r>
      <w:proofErr w:type="spellStart"/>
      <w:r w:rsidR="001F2864" w:rsidRPr="0015116B">
        <w:t>Tamone</w:t>
      </w:r>
      <w:proofErr w:type="spellEnd"/>
      <w:r w:rsidR="001F2864" w:rsidRPr="0015116B">
        <w:t xml:space="preserve"> et al. 2007) and females (Donaldson and Adams 1989) undergo </w:t>
      </w:r>
      <w:r w:rsidRPr="0015116B">
        <w:t xml:space="preserve">a </w:t>
      </w:r>
      <w:r w:rsidR="001F2864" w:rsidRPr="0015116B">
        <w:t xml:space="preserve">terminal molt </w:t>
      </w:r>
      <w:r w:rsidRPr="0015116B">
        <w:t>to</w:t>
      </w:r>
      <w:r w:rsidR="001F2864" w:rsidRPr="0015116B">
        <w:t xml:space="preserve"> maturity</w:t>
      </w:r>
      <w:r w:rsidRPr="0015116B">
        <w:t xml:space="preserve">, as in most </w:t>
      </w:r>
      <w:proofErr w:type="spellStart"/>
      <w:r w:rsidRPr="0015116B">
        <w:t>majid</w:t>
      </w:r>
      <w:proofErr w:type="spellEnd"/>
      <w:r w:rsidRPr="0015116B">
        <w:t xml:space="preserve"> crabs. </w:t>
      </w:r>
      <w:r w:rsidR="00563B50" w:rsidRPr="0015116B">
        <w:t xml:space="preserve">Maturity in females can be determined visually rather unambiguously from the relative size of the abdomen. </w:t>
      </w:r>
      <w:r w:rsidR="001F2864" w:rsidRPr="0015116B">
        <w:t>Females</w:t>
      </w:r>
      <w:r w:rsidR="006C6CC7" w:rsidRPr="0015116B">
        <w:t xml:space="preserve"> usually</w:t>
      </w:r>
      <w:r w:rsidR="001F2864" w:rsidRPr="0015116B">
        <w:t xml:space="preserve"> </w:t>
      </w:r>
      <w:r w:rsidR="006C6CC7" w:rsidRPr="0015116B">
        <w:t>undergo their terminal</w:t>
      </w:r>
      <w:r w:rsidR="001F2864" w:rsidRPr="0015116B">
        <w:t xml:space="preserve"> molt from their last juvenile, or pubescent, instar while being grasped by a ma</w:t>
      </w:r>
      <w:r w:rsidRPr="0015116B">
        <w:t xml:space="preserve">le (Donaldson and Adams 1989). </w:t>
      </w:r>
      <w:r w:rsidR="001F2864" w:rsidRPr="0015116B">
        <w:t>Subsequent mating takes place annually in a hard shell state (</w:t>
      </w:r>
      <w:proofErr w:type="spellStart"/>
      <w:r w:rsidR="001F2864" w:rsidRPr="0015116B">
        <w:t>Hilsinger</w:t>
      </w:r>
      <w:proofErr w:type="spellEnd"/>
      <w:r w:rsidR="001F2864" w:rsidRPr="0015116B">
        <w:t xml:space="preserve"> 1976</w:t>
      </w:r>
      <w:r w:rsidR="00E35596" w:rsidRPr="0015116B">
        <w:t>) and after extruding the female’s</w:t>
      </w:r>
      <w:r w:rsidR="001F2864" w:rsidRPr="0015116B">
        <w:t xml:space="preserve"> clutch of eggs. While mating involving old-shell adult females has been documented (Donaldson and Hicks 1977), fertile egg clutches can be produced in the absence of males by using sperm </w:t>
      </w:r>
      <w:r w:rsidR="00964DAF" w:rsidRPr="0015116B">
        <w:t xml:space="preserve">stored in </w:t>
      </w:r>
      <w:r w:rsidR="001F2864" w:rsidRPr="0015116B">
        <w:t xml:space="preserve">the </w:t>
      </w:r>
      <w:proofErr w:type="spellStart"/>
      <w:r w:rsidR="001F2864" w:rsidRPr="0015116B">
        <w:t>spermathacae</w:t>
      </w:r>
      <w:proofErr w:type="spellEnd"/>
      <w:r w:rsidR="001F2864" w:rsidRPr="0015116B">
        <w:t xml:space="preserve"> (Adams and Paul 1983, Paul and Paul 1992). Two or more consecutive egg fertilization events can follow a single copulation using stored sperm to self-fertilize the new clutch (Paul 1982, Adams and Paul 1983), </w:t>
      </w:r>
      <w:r w:rsidR="00964DAF" w:rsidRPr="0015116B">
        <w:t>although</w:t>
      </w:r>
      <w:r w:rsidR="001F2864" w:rsidRPr="0015116B">
        <w:t xml:space="preserve"> egg viability decreases with time and age of the stored sperm (Paul 1984).</w:t>
      </w:r>
    </w:p>
    <w:p w14:paraId="735A5B9E" w14:textId="7E58EEDE" w:rsidR="001F2864" w:rsidRPr="0015116B" w:rsidRDefault="001F2864" w:rsidP="001F2864">
      <w:r w:rsidRPr="0015116B">
        <w:t>Maturity in males can be classified either physiologically or morphometrically</w:t>
      </w:r>
      <w:r w:rsidR="00563B50" w:rsidRPr="0015116B">
        <w:t>, but is not as easily determined as with females</w:t>
      </w:r>
      <w:r w:rsidRPr="0015116B">
        <w:t xml:space="preserve">. Physiological maturity refers to the presence or absence of </w:t>
      </w:r>
      <w:proofErr w:type="spellStart"/>
      <w:r w:rsidRPr="0015116B">
        <w:t>spermataphores</w:t>
      </w:r>
      <w:proofErr w:type="spellEnd"/>
      <w:r w:rsidRPr="0015116B">
        <w:t xml:space="preserve"> in the gonads whereas morphometric maturity refers to the presence or absence of a large claw (Brown and Powell 1972). During the molt to morphometric maturity, there is a disproportionate increase in the size of the chelae in relation to the carapace (Somerton 1981a). </w:t>
      </w:r>
      <w:r w:rsidR="00A66D10" w:rsidRPr="0015116B">
        <w:t xml:space="preserve">The ratio of chela height (CH) to carapace width (CW) has been used to classify male Tanner crab as to morphometric maturity. </w:t>
      </w:r>
      <w:r w:rsidRPr="0015116B">
        <w:t xml:space="preserve">While many earlier studies on Tanner crabs assumed that morphometrically mature male crabs continued to molt and grow, there is now substantial evidence supporting a terminal molt for males (Otto 1998, </w:t>
      </w:r>
      <w:proofErr w:type="spellStart"/>
      <w:r w:rsidRPr="0015116B">
        <w:t>Tamone</w:t>
      </w:r>
      <w:proofErr w:type="spellEnd"/>
      <w:r w:rsidRPr="0015116B">
        <w:t xml:space="preserve"> et al. 2007). A consequence of the terminal molt in male Tanner crab is that a substantial portion of the population may never </w:t>
      </w:r>
      <w:r w:rsidR="00964DAF" w:rsidRPr="0015116B">
        <w:t>achieve</w:t>
      </w:r>
      <w:r w:rsidRPr="0015116B">
        <w:t xml:space="preserve"> legal size (NPFMC 2007).</w:t>
      </w:r>
      <w:r w:rsidR="00A66D10" w:rsidRPr="0015116B">
        <w:t xml:space="preserve"> In this assessment, several model scenarios are considered in which size-specific annual proportions of mature</w:t>
      </w:r>
      <w:r w:rsidR="00311D0A" w:rsidRPr="0015116B">
        <w:t>, new shell</w:t>
      </w:r>
      <w:r w:rsidR="00A66D10" w:rsidRPr="0015116B">
        <w:t xml:space="preserve"> male crab </w:t>
      </w:r>
      <w:r w:rsidR="00311D0A" w:rsidRPr="0015116B">
        <w:t xml:space="preserve">to all new shell male crab </w:t>
      </w:r>
      <w:r w:rsidR="00A66D10" w:rsidRPr="0015116B">
        <w:t>in the NMFS EBS bottom trawl survey, based on classification using CH:CW ratios, are fit to inform size-specific probabilities of terminal molt.</w:t>
      </w:r>
    </w:p>
    <w:p w14:paraId="6C79B987" w14:textId="0B20C1E9" w:rsidR="001F2864" w:rsidRPr="0015116B" w:rsidRDefault="001F2864" w:rsidP="001F2864">
      <w:r w:rsidRPr="0015116B">
        <w:t>Although observations are lacking in the EBS, seasonal differences have been observed between mating periods for pubescent and multiparous females in the Gulf of Al</w:t>
      </w:r>
      <w:r w:rsidR="00964DAF" w:rsidRPr="0015116B">
        <w:t xml:space="preserve">aska and Prince William Sound. </w:t>
      </w:r>
      <w:r w:rsidRPr="0015116B">
        <w:t xml:space="preserve">There, pubescent molting and mating takes place over a protracted period from winter through early summer, whereas multiparous mating occurs over a relatively short period during </w:t>
      </w:r>
      <w:proofErr w:type="spellStart"/>
      <w:r w:rsidRPr="0015116B">
        <w:t>mid April</w:t>
      </w:r>
      <w:proofErr w:type="spellEnd"/>
      <w:r w:rsidRPr="0015116B">
        <w:t xml:space="preserve"> to early June (</w:t>
      </w:r>
      <w:proofErr w:type="spellStart"/>
      <w:r w:rsidRPr="0015116B">
        <w:t>Hilsinger</w:t>
      </w:r>
      <w:proofErr w:type="spellEnd"/>
      <w:r w:rsidRPr="0015116B">
        <w:t xml:space="preserve"> 1976, Munk et al. 1996, and Stevens 2000). In the EBS, egg condition for multiparous Tanner crabs assessed between April and July 1976 also suggested that hatching and extrusion of new clutches for this maturity stat</w:t>
      </w:r>
      <w:r w:rsidR="001925DA" w:rsidRPr="0015116B">
        <w:t>e</w:t>
      </w:r>
      <w:r w:rsidRPr="0015116B">
        <w:t xml:space="preserve"> began in April and ended sometime in mid</w:t>
      </w:r>
      <w:r w:rsidR="001925DA" w:rsidRPr="0015116B">
        <w:t>-</w:t>
      </w:r>
      <w:r w:rsidRPr="0015116B">
        <w:t>June (Somerton 1981a).</w:t>
      </w:r>
    </w:p>
    <w:p w14:paraId="14CF5713" w14:textId="77777777" w:rsidR="001F2864" w:rsidRPr="0015116B" w:rsidRDefault="00964DAF" w:rsidP="00F74BA2">
      <w:pPr>
        <w:pStyle w:val="Heading4"/>
      </w:pPr>
      <w:r w:rsidRPr="0015116B">
        <w:lastRenderedPageBreak/>
        <w:t>e</w:t>
      </w:r>
      <w:r w:rsidR="00F74BA2" w:rsidRPr="0015116B">
        <w:t xml:space="preserve">. </w:t>
      </w:r>
      <w:r w:rsidR="001F2864" w:rsidRPr="0015116B">
        <w:t>Fecundity</w:t>
      </w:r>
    </w:p>
    <w:p w14:paraId="714C1E16" w14:textId="67172C9B" w:rsidR="001F2864" w:rsidRPr="0015116B" w:rsidRDefault="001F2864" w:rsidP="001F2864">
      <w:r w:rsidRPr="0015116B">
        <w:t>A variety of factors affect female fecundity</w:t>
      </w:r>
      <w:r w:rsidR="00964DAF" w:rsidRPr="0015116B">
        <w:t>,</w:t>
      </w:r>
      <w:r w:rsidRPr="0015116B">
        <w:t xml:space="preserve"> including somatic size, maturity status (primiparous vs. multiparous), age post termina</w:t>
      </w:r>
      <w:r w:rsidR="002B4DAC" w:rsidRPr="0015116B">
        <w:t>l molt, and egg loss (NMFS 2004</w:t>
      </w:r>
      <w:r w:rsidR="00964DAF" w:rsidRPr="0015116B">
        <w:t xml:space="preserve">). </w:t>
      </w:r>
      <w:r w:rsidRPr="0015116B">
        <w:t xml:space="preserve">Of these factors, somatic size is the most important, with estimates of 89 to 424 thousand eggs for females 75 to 124 mm </w:t>
      </w:r>
      <w:r w:rsidR="00964DAF" w:rsidRPr="0015116B">
        <w:t>CW,</w:t>
      </w:r>
      <w:r w:rsidRPr="0015116B">
        <w:t xml:space="preserve"> respectively (Haynes et al. 1976</w:t>
      </w:r>
      <w:r w:rsidR="00964DAF" w:rsidRPr="0015116B">
        <w:t xml:space="preserve">). </w:t>
      </w:r>
      <w:r w:rsidRPr="0015116B">
        <w:t>Maturity status is another important factor affecting fecundity</w:t>
      </w:r>
      <w:r w:rsidR="00964DAF" w:rsidRPr="0015116B">
        <w:t>,</w:t>
      </w:r>
      <w:r w:rsidRPr="0015116B">
        <w:t xml:space="preserve"> with primiparous females being only ~70% as fecund as equal size multiparous females (Somerton and Meyers 1983).</w:t>
      </w:r>
      <w:r w:rsidR="000E77E5" w:rsidRPr="0015116B">
        <w:t xml:space="preserve"> </w:t>
      </w:r>
      <w:r w:rsidRPr="0015116B">
        <w:t>The number of years post maturity molt, and whether or not, a female has had to use stored sperm from that first mating can also affect egg counts (Paul 1984, Paul and Paul 1992</w:t>
      </w:r>
      <w:r w:rsidR="00964DAF" w:rsidRPr="0015116B">
        <w:t xml:space="preserve">). </w:t>
      </w:r>
      <w:r w:rsidRPr="0015116B">
        <w:t xml:space="preserve">Additionally, older senescent females often carry small clutches or no eggs (i.e., </w:t>
      </w:r>
      <w:r w:rsidR="00964DAF" w:rsidRPr="0015116B">
        <w:t xml:space="preserve">are </w:t>
      </w:r>
      <w:r w:rsidRPr="0015116B">
        <w:t xml:space="preserve">barren) suggesting that female crab reproductive output is a </w:t>
      </w:r>
      <w:r w:rsidR="00964DAF" w:rsidRPr="0015116B">
        <w:t>concave</w:t>
      </w:r>
      <w:r w:rsidR="002B4DAC" w:rsidRPr="0015116B">
        <w:t xml:space="preserve"> function of age (NMFS 2004</w:t>
      </w:r>
      <w:r w:rsidRPr="0015116B">
        <w:t>).</w:t>
      </w:r>
    </w:p>
    <w:p w14:paraId="102B15F3" w14:textId="77777777" w:rsidR="001F2864" w:rsidRPr="0015116B" w:rsidRDefault="00964DAF" w:rsidP="00F74BA2">
      <w:pPr>
        <w:pStyle w:val="Heading4"/>
      </w:pPr>
      <w:r w:rsidRPr="0015116B">
        <w:t>f</w:t>
      </w:r>
      <w:r w:rsidR="00F74BA2" w:rsidRPr="0015116B">
        <w:t xml:space="preserve">. </w:t>
      </w:r>
      <w:r w:rsidR="001F2864" w:rsidRPr="0015116B">
        <w:t>Size at Maturity</w:t>
      </w:r>
    </w:p>
    <w:p w14:paraId="454F9DF2" w14:textId="5B3AB975" w:rsidR="00311D0A" w:rsidRPr="0015116B" w:rsidRDefault="00607D2E" w:rsidP="00B85FA0">
      <w:r w:rsidRPr="0015116B">
        <w:t xml:space="preserve">Rugolo and </w:t>
      </w:r>
      <w:proofErr w:type="spellStart"/>
      <w:r w:rsidRPr="0015116B">
        <w:t>Turnock</w:t>
      </w:r>
      <w:proofErr w:type="spellEnd"/>
      <w:r w:rsidRPr="0015116B">
        <w:t xml:space="preserve"> (</w:t>
      </w:r>
      <w:r w:rsidR="007169E5" w:rsidRPr="0015116B">
        <w:t>2012b</w:t>
      </w:r>
      <w:r w:rsidRPr="0015116B">
        <w:t>) estimated s</w:t>
      </w:r>
      <w:r w:rsidR="00FF29BF" w:rsidRPr="0015116B">
        <w:t xml:space="preserve">ize at 50% mature </w:t>
      </w:r>
      <w:r w:rsidR="001F2864" w:rsidRPr="0015116B">
        <w:t xml:space="preserve">for females </w:t>
      </w:r>
      <w:r w:rsidR="00FF29BF" w:rsidRPr="0015116B">
        <w:t>(</w:t>
      </w:r>
      <w:r w:rsidR="001F2864" w:rsidRPr="0015116B">
        <w:t>all shell classes combined</w:t>
      </w:r>
      <w:r w:rsidR="00FF29BF" w:rsidRPr="0015116B">
        <w:t>)</w:t>
      </w:r>
      <w:r w:rsidR="001F2864" w:rsidRPr="0015116B">
        <w:t xml:space="preserve"> </w:t>
      </w:r>
      <w:r w:rsidRPr="0015116B">
        <w:t>from data collected in the NMFS bottom trawl survey at</w:t>
      </w:r>
      <w:r w:rsidR="001F2864" w:rsidRPr="0015116B">
        <w:t xml:space="preserve"> 68.8 mm</w:t>
      </w:r>
      <w:r w:rsidR="00FF29BF" w:rsidRPr="0015116B">
        <w:t xml:space="preserve"> CW</w:t>
      </w:r>
      <w:r w:rsidR="001F2864" w:rsidRPr="0015116B">
        <w:t xml:space="preserve">, and </w:t>
      </w:r>
      <w:r w:rsidRPr="0015116B">
        <w:t>74.6 mm CW</w:t>
      </w:r>
      <w:r w:rsidR="001F2864" w:rsidRPr="0015116B">
        <w:t xml:space="preserve"> for new shell females</w:t>
      </w:r>
      <w:r w:rsidR="00FF29BF" w:rsidRPr="0015116B">
        <w:t xml:space="preserve">. </w:t>
      </w:r>
      <w:r w:rsidR="001F2864" w:rsidRPr="0015116B">
        <w:t xml:space="preserve">For males, </w:t>
      </w:r>
      <w:r w:rsidRPr="0015116B">
        <w:t xml:space="preserve">Rugolo and </w:t>
      </w:r>
      <w:proofErr w:type="spellStart"/>
      <w:r w:rsidRPr="0015116B">
        <w:t>Turnock</w:t>
      </w:r>
      <w:proofErr w:type="spellEnd"/>
      <w:r w:rsidRPr="0015116B">
        <w:t xml:space="preserve"> (</w:t>
      </w:r>
      <w:r w:rsidR="00680A64" w:rsidRPr="0015116B">
        <w:t>2012a</w:t>
      </w:r>
      <w:r w:rsidRPr="0015116B">
        <w:t>)</w:t>
      </w:r>
      <w:r w:rsidR="001F2864" w:rsidRPr="0015116B">
        <w:t xml:space="preserve"> estimated classification lines</w:t>
      </w:r>
      <w:r w:rsidR="00E5762B" w:rsidRPr="0015116B">
        <w:t xml:space="preserve"> using mixture-of-two-regressions analysis</w:t>
      </w:r>
      <w:r w:rsidR="007169E5" w:rsidRPr="0015116B">
        <w:t xml:space="preserve"> </w:t>
      </w:r>
      <w:r w:rsidR="00E5762B" w:rsidRPr="0015116B">
        <w:t xml:space="preserve">to </w:t>
      </w:r>
      <w:r w:rsidR="007169E5" w:rsidRPr="0015116B">
        <w:t>defin</w:t>
      </w:r>
      <w:r w:rsidR="00E5762B" w:rsidRPr="0015116B">
        <w:t>e</w:t>
      </w:r>
      <w:r w:rsidR="007169E5" w:rsidRPr="0015116B">
        <w:t xml:space="preserve"> morphometric maturity for the unit Tanner crab stock, and for the sub-stock components east and west of 166</w:t>
      </w:r>
      <w:r w:rsidR="007169E5" w:rsidRPr="0015116B">
        <w:rPr>
          <w:vertAlign w:val="superscript"/>
        </w:rPr>
        <w:t>o</w:t>
      </w:r>
      <w:r w:rsidR="007169E5" w:rsidRPr="0015116B">
        <w:t>W</w:t>
      </w:r>
      <w:r w:rsidR="00E5762B" w:rsidRPr="0015116B">
        <w:t>,</w:t>
      </w:r>
      <w:r w:rsidR="001F2864" w:rsidRPr="0015116B">
        <w:t xml:space="preserve"> </w:t>
      </w:r>
      <w:r w:rsidR="00E5762B" w:rsidRPr="0015116B">
        <w:t>based on</w:t>
      </w:r>
      <w:r w:rsidR="007169E5" w:rsidRPr="0015116B">
        <w:t xml:space="preserve"> </w:t>
      </w:r>
      <w:r w:rsidR="001F2864" w:rsidRPr="0015116B">
        <w:t>chela height and carapace width</w:t>
      </w:r>
      <w:r w:rsidRPr="0015116B">
        <w:t xml:space="preserve"> </w:t>
      </w:r>
      <w:r w:rsidR="00E5762B" w:rsidRPr="0015116B">
        <w:t>data collected during the 2008 NMFS bottom trawl survey</w:t>
      </w:r>
      <w:r w:rsidRPr="0015116B">
        <w:t xml:space="preserve">. </w:t>
      </w:r>
      <w:r w:rsidR="001F2864" w:rsidRPr="0015116B">
        <w:t xml:space="preserve">These rules were then applied to historical survey data from 1990-2007 to apportion male crab </w:t>
      </w:r>
      <w:r w:rsidR="00FF29BF" w:rsidRPr="0015116B">
        <w:t>as</w:t>
      </w:r>
      <w:r w:rsidR="001F2864" w:rsidRPr="0015116B">
        <w:t xml:space="preserve"> immature </w:t>
      </w:r>
      <w:r w:rsidR="00FF29BF" w:rsidRPr="0015116B">
        <w:t>or</w:t>
      </w:r>
      <w:r w:rsidR="001F2864" w:rsidRPr="0015116B">
        <w:t xml:space="preserve"> mature</w:t>
      </w:r>
      <w:r w:rsidR="00FF29BF" w:rsidRPr="0015116B">
        <w:t xml:space="preserve"> based on size</w:t>
      </w:r>
      <w:r w:rsidR="00E5762B" w:rsidRPr="0015116B">
        <w:t xml:space="preserve"> (Rugolo and </w:t>
      </w:r>
      <w:proofErr w:type="spellStart"/>
      <w:r w:rsidR="00E5762B" w:rsidRPr="0015116B">
        <w:t>Turnock</w:t>
      </w:r>
      <w:proofErr w:type="spellEnd"/>
      <w:r w:rsidR="00E5762B" w:rsidRPr="0015116B">
        <w:t>, 2012b)</w:t>
      </w:r>
      <w:r w:rsidR="001F2864" w:rsidRPr="0015116B">
        <w:t xml:space="preserve">. </w:t>
      </w:r>
      <w:r w:rsidR="00FF29BF" w:rsidRPr="0015116B">
        <w:t xml:space="preserve">Rugolo and </w:t>
      </w:r>
      <w:proofErr w:type="spellStart"/>
      <w:r w:rsidR="00FF29BF" w:rsidRPr="0015116B">
        <w:t>Turnock</w:t>
      </w:r>
      <w:proofErr w:type="spellEnd"/>
      <w:r w:rsidR="00FF29BF" w:rsidRPr="0015116B">
        <w:t xml:space="preserve"> </w:t>
      </w:r>
      <w:r w:rsidRPr="0015116B">
        <w:t>(</w:t>
      </w:r>
      <w:r w:rsidR="00680A64" w:rsidRPr="0015116B">
        <w:t>2012a</w:t>
      </w:r>
      <w:r w:rsidRPr="0015116B">
        <w:t xml:space="preserve">) </w:t>
      </w:r>
      <w:r w:rsidR="001F2864" w:rsidRPr="0015116B">
        <w:t>found no significant differences between the classification lines of the sub-s</w:t>
      </w:r>
      <w:r w:rsidR="00FF29BF" w:rsidRPr="0015116B">
        <w:t>tock components (</w:t>
      </w:r>
      <w:r w:rsidR="003E56B0" w:rsidRPr="0015116B">
        <w:t>i.e., east</w:t>
      </w:r>
      <w:r w:rsidR="00FF29BF" w:rsidRPr="0015116B">
        <w:t xml:space="preserve"> and </w:t>
      </w:r>
      <w:r w:rsidR="00370CA0" w:rsidRPr="0015116B">
        <w:t>w</w:t>
      </w:r>
      <w:r w:rsidR="003E56B0" w:rsidRPr="0015116B">
        <w:t>est</w:t>
      </w:r>
      <w:r w:rsidR="00FF29BF" w:rsidRPr="0015116B">
        <w:t xml:space="preserve"> of 166</w:t>
      </w:r>
      <w:r w:rsidR="00FF29BF" w:rsidRPr="0015116B">
        <w:rPr>
          <w:vertAlign w:val="superscript"/>
        </w:rPr>
        <w:t>o</w:t>
      </w:r>
      <w:r w:rsidR="001F2864" w:rsidRPr="0015116B">
        <w:t>W), or between the sub-stock components and that of the unit stock classification line.</w:t>
      </w:r>
      <w:r w:rsidR="003E56B0" w:rsidRPr="0015116B">
        <w:t xml:space="preserve"> Size at 50% mature</w:t>
      </w:r>
      <w:r w:rsidR="001F2864" w:rsidRPr="0015116B">
        <w:t xml:space="preserve"> for males </w:t>
      </w:r>
      <w:r w:rsidR="003E56B0" w:rsidRPr="0015116B">
        <w:t>(</w:t>
      </w:r>
      <w:r w:rsidR="001F2864" w:rsidRPr="0015116B">
        <w:t>all shell condition classes combined</w:t>
      </w:r>
      <w:r w:rsidR="003E56B0" w:rsidRPr="0015116B">
        <w:t>)</w:t>
      </w:r>
      <w:r w:rsidR="001F2864" w:rsidRPr="0015116B">
        <w:t xml:space="preserve"> was estimated </w:t>
      </w:r>
      <w:r w:rsidRPr="0015116B">
        <w:t>at</w:t>
      </w:r>
      <w:r w:rsidR="001F2864" w:rsidRPr="0015116B">
        <w:t xml:space="preserve"> 91.9 mm </w:t>
      </w:r>
      <w:r w:rsidR="003E56B0" w:rsidRPr="0015116B">
        <w:t>CW</w:t>
      </w:r>
      <w:r w:rsidR="001F2864" w:rsidRPr="0015116B">
        <w:t>, and</w:t>
      </w:r>
      <w:r w:rsidR="00AF4677" w:rsidRPr="0015116B">
        <w:t xml:space="preserve"> at 104.4 mm CW</w:t>
      </w:r>
      <w:r w:rsidR="001F2864" w:rsidRPr="0015116B">
        <w:t xml:space="preserve"> for new shell males</w:t>
      </w:r>
      <w:r w:rsidR="00AF4677" w:rsidRPr="0015116B">
        <w:t xml:space="preserve">. </w:t>
      </w:r>
      <w:r w:rsidR="001F2864" w:rsidRPr="0015116B">
        <w:t>By comparison, Zheng</w:t>
      </w:r>
      <w:r w:rsidR="00D7452A" w:rsidRPr="0015116B">
        <w:t xml:space="preserve"> and Kruse</w:t>
      </w:r>
      <w:r w:rsidR="001F2864" w:rsidRPr="0015116B">
        <w:t xml:space="preserve"> (1999) used knife-edge maturity at &gt;79 mm </w:t>
      </w:r>
      <w:r w:rsidR="003E56B0" w:rsidRPr="0015116B">
        <w:t>CW</w:t>
      </w:r>
      <w:r w:rsidR="001F2864" w:rsidRPr="0015116B">
        <w:t xml:space="preserve"> for females and &gt;112 mm </w:t>
      </w:r>
      <w:r w:rsidR="003E56B0" w:rsidRPr="0015116B">
        <w:t>CW</w:t>
      </w:r>
      <w:r w:rsidR="001F2864" w:rsidRPr="0015116B">
        <w:t xml:space="preserve"> for males</w:t>
      </w:r>
      <w:r w:rsidR="003E56B0" w:rsidRPr="0015116B">
        <w:t xml:space="preserve"> in development of the current SOA harvest strategy</w:t>
      </w:r>
      <w:r w:rsidR="001F2864" w:rsidRPr="0015116B">
        <w:t>.</w:t>
      </w:r>
      <w:r w:rsidR="00BC0226" w:rsidRPr="0015116B">
        <w:t xml:space="preserve"> </w:t>
      </w:r>
    </w:p>
    <w:p w14:paraId="736FAF17" w14:textId="77777777" w:rsidR="001F2864" w:rsidRPr="0015116B" w:rsidRDefault="00964DAF" w:rsidP="00F74BA2">
      <w:pPr>
        <w:pStyle w:val="Heading4"/>
        <w:rPr>
          <w:color w:val="FFFFFF" w:themeColor="background1"/>
        </w:rPr>
      </w:pPr>
      <w:r w:rsidRPr="0015116B">
        <w:t>g</w:t>
      </w:r>
      <w:r w:rsidR="00F74BA2" w:rsidRPr="0015116B">
        <w:t xml:space="preserve">. </w:t>
      </w:r>
      <w:r w:rsidR="001F2864" w:rsidRPr="0015116B">
        <w:t>Mortality</w:t>
      </w:r>
    </w:p>
    <w:p w14:paraId="1E9CFDEB" w14:textId="77777777" w:rsidR="001F2864" w:rsidRPr="0015116B" w:rsidRDefault="001F2864" w:rsidP="001F2864">
      <w:r w:rsidRPr="0015116B">
        <w:t>Due to the lack of age information</w:t>
      </w:r>
      <w:r w:rsidR="00AF4677" w:rsidRPr="0015116B">
        <w:t xml:space="preserve"> for crab</w:t>
      </w:r>
      <w:r w:rsidRPr="0015116B">
        <w:t xml:space="preserve">, Somerton (1981a) estimated mortality separately for individual EBS cohorts of </w:t>
      </w:r>
      <w:r w:rsidR="003E56B0" w:rsidRPr="0015116B">
        <w:t>immature</w:t>
      </w:r>
      <w:r w:rsidR="00853843" w:rsidRPr="0015116B">
        <w:t xml:space="preserve"> and adult Tanner crab. </w:t>
      </w:r>
      <w:r w:rsidRPr="0015116B">
        <w:t>Somerton postulated that</w:t>
      </w:r>
      <w:r w:rsidR="00AF4677" w:rsidRPr="0015116B">
        <w:t xml:space="preserve"> </w:t>
      </w:r>
      <w:r w:rsidRPr="0015116B">
        <w:t xml:space="preserve">age five crab (mean </w:t>
      </w:r>
      <w:r w:rsidR="003E56B0" w:rsidRPr="0015116B">
        <w:t xml:space="preserve">CW </w:t>
      </w:r>
      <w:r w:rsidRPr="0015116B">
        <w:t>=</w:t>
      </w:r>
      <w:r w:rsidR="003E56B0" w:rsidRPr="0015116B">
        <w:t xml:space="preserve"> </w:t>
      </w:r>
      <w:r w:rsidRPr="0015116B">
        <w:t xml:space="preserve">95 mm) were the first cohort to be fully recruited to the </w:t>
      </w:r>
      <w:r w:rsidR="00AF4677" w:rsidRPr="0015116B">
        <w:t xml:space="preserve">NMFS trawl survey sampling </w:t>
      </w:r>
      <w:r w:rsidRPr="0015116B">
        <w:t>gear</w:t>
      </w:r>
      <w:r w:rsidR="00AF4677" w:rsidRPr="0015116B">
        <w:t xml:space="preserve"> and</w:t>
      </w:r>
      <w:r w:rsidRPr="0015116B">
        <w:t xml:space="preserve"> estimated an instantaneous natural mortality rate of 0.35 for this size cla</w:t>
      </w:r>
      <w:r w:rsidR="00AF4677" w:rsidRPr="0015116B">
        <w:t xml:space="preserve">ss using catch curve analysis. </w:t>
      </w:r>
      <w:r w:rsidRPr="0015116B">
        <w:t>Using this analysis with two different data sets, Somerton estimated natural mortality rates of adult male crab from the fished sto</w:t>
      </w:r>
      <w:r w:rsidR="00AF4677" w:rsidRPr="0015116B">
        <w:t xml:space="preserve">ck to range from 0.20 to 0.28. </w:t>
      </w:r>
      <w:r w:rsidRPr="0015116B">
        <w:t xml:space="preserve">When using CPUE data from the Japanese fishery, estimates </w:t>
      </w:r>
      <w:r w:rsidR="00AF4677" w:rsidRPr="0015116B">
        <w:t xml:space="preserve">of M ranged from 0.13 to 0.18. </w:t>
      </w:r>
      <w:r w:rsidRPr="0015116B">
        <w:t xml:space="preserve">Somerton concluded that </w:t>
      </w:r>
      <w:r w:rsidR="00AF4677" w:rsidRPr="0015116B">
        <w:t xml:space="preserve">estimates of </w:t>
      </w:r>
      <w:r w:rsidRPr="0015116B">
        <w:t xml:space="preserve">M </w:t>
      </w:r>
      <w:r w:rsidR="00AF4677" w:rsidRPr="0015116B">
        <w:t>from</w:t>
      </w:r>
      <w:r w:rsidRPr="0015116B">
        <w:t xml:space="preserve"> 0.22 to 0.28 </w:t>
      </w:r>
      <w:r w:rsidR="00AF4677" w:rsidRPr="0015116B">
        <w:t>obtained</w:t>
      </w:r>
      <w:r w:rsidRPr="0015116B">
        <w:t xml:space="preserve"> from models that used both the survey and fishery data were the most representative.</w:t>
      </w:r>
    </w:p>
    <w:p w14:paraId="07C5DDE4" w14:textId="32CE2C92" w:rsidR="001F2864" w:rsidRPr="0015116B" w:rsidRDefault="00F74BA2" w:rsidP="001F2864">
      <w:r w:rsidRPr="0015116B">
        <w:t xml:space="preserve">Rugolo and </w:t>
      </w:r>
      <w:proofErr w:type="spellStart"/>
      <w:r w:rsidRPr="0015116B">
        <w:t>Turnock</w:t>
      </w:r>
      <w:proofErr w:type="spellEnd"/>
      <w:r w:rsidRPr="0015116B">
        <w:t xml:space="preserve"> (2011</w:t>
      </w:r>
      <w:r w:rsidR="001925DA" w:rsidRPr="0015116B">
        <w:t>a</w:t>
      </w:r>
      <w:r w:rsidRPr="0015116B">
        <w:t>)</w:t>
      </w:r>
      <w:r w:rsidR="001F2864" w:rsidRPr="0015116B">
        <w:t xml:space="preserve"> examined empirical evidence for reliable estimates of oldest obse</w:t>
      </w:r>
      <w:r w:rsidR="00872F3F" w:rsidRPr="0015116B">
        <w:t xml:space="preserve">rved age for male Tanner crab. </w:t>
      </w:r>
      <w:r w:rsidR="001F2864" w:rsidRPr="0015116B">
        <w:t>Unlike its congener the snow crab, information on longevity of the Tanner crab is lack</w:t>
      </w:r>
      <w:r w:rsidR="00872F3F" w:rsidRPr="0015116B">
        <w:t xml:space="preserve">ing. </w:t>
      </w:r>
      <w:r w:rsidR="00AF4677" w:rsidRPr="0015116B">
        <w:t>They</w:t>
      </w:r>
      <w:r w:rsidR="001F2864" w:rsidRPr="0015116B">
        <w:t xml:space="preserve"> reasoned that longevity in a virgin population of Tanner crab would be analogous to that of the snow crab</w:t>
      </w:r>
      <w:r w:rsidR="00AF4677" w:rsidRPr="0015116B">
        <w:t>, where longevity would be at least 20 years</w:t>
      </w:r>
      <w:r w:rsidR="00872F3F" w:rsidRPr="0015116B">
        <w:t>,</w:t>
      </w:r>
      <w:r w:rsidR="001F2864" w:rsidRPr="0015116B">
        <w:t xml:space="preserve"> given the close analogues in population dynamic and life-history characteristics</w:t>
      </w:r>
      <w:r w:rsidR="00AF4677" w:rsidRPr="0015116B">
        <w:t xml:space="preserve"> (</w:t>
      </w:r>
      <w:proofErr w:type="spellStart"/>
      <w:r w:rsidR="00AF4677" w:rsidRPr="0015116B">
        <w:t>Turnock</w:t>
      </w:r>
      <w:proofErr w:type="spellEnd"/>
      <w:r w:rsidR="00AF4677" w:rsidRPr="0015116B">
        <w:t xml:space="preserve"> and Rugolo 2011</w:t>
      </w:r>
      <w:r w:rsidR="001925DA" w:rsidRPr="0015116B">
        <w:t>a</w:t>
      </w:r>
      <w:r w:rsidR="00AF4677" w:rsidRPr="0015116B">
        <w:t xml:space="preserve">). </w:t>
      </w:r>
      <w:r w:rsidR="001F2864" w:rsidRPr="0015116B">
        <w:t>Employing 20 years as a proxy for longevity and assuming that this age represent</w:t>
      </w:r>
      <w:r w:rsidR="00AF4677" w:rsidRPr="0015116B">
        <w:t>ed</w:t>
      </w:r>
      <w:r w:rsidR="001F2864" w:rsidRPr="0015116B">
        <w:t xml:space="preserve"> the upper 98.5th percentile of the distribution of ages in an unexploited population, M </w:t>
      </w:r>
      <w:r w:rsidR="00AF4677" w:rsidRPr="0015116B">
        <w:t xml:space="preserve">was estimated to be 0.23 based on </w:t>
      </w:r>
      <w:r w:rsidR="001F2864" w:rsidRPr="0015116B">
        <w:t>Hoenig</w:t>
      </w:r>
      <w:r w:rsidR="00AF4677" w:rsidRPr="0015116B">
        <w:t>’s (</w:t>
      </w:r>
      <w:r w:rsidR="001F2864" w:rsidRPr="0015116B">
        <w:t>1983)</w:t>
      </w:r>
      <w:r w:rsidR="00AF4677" w:rsidRPr="0015116B">
        <w:t xml:space="preserve"> method</w:t>
      </w:r>
      <w:r w:rsidR="00680A64" w:rsidRPr="0015116B">
        <w:t xml:space="preserve">. </w:t>
      </w:r>
      <w:r w:rsidR="00EB2F0A" w:rsidRPr="0015116B">
        <w:t>Alternatively, i</w:t>
      </w:r>
      <w:r w:rsidR="001F2864" w:rsidRPr="0015116B">
        <w:t xml:space="preserve">f 20 years </w:t>
      </w:r>
      <w:r w:rsidR="00AF4677" w:rsidRPr="0015116B">
        <w:t>wa</w:t>
      </w:r>
      <w:r w:rsidR="001F2864" w:rsidRPr="0015116B">
        <w:t xml:space="preserve">s assumed to represent the 95% percentile of the distribution of ages in </w:t>
      </w:r>
      <w:r w:rsidR="00AF4677" w:rsidRPr="0015116B">
        <w:t>the</w:t>
      </w:r>
      <w:r w:rsidR="001F2864" w:rsidRPr="0015116B">
        <w:t xml:space="preserve"> unexploited stock, </w:t>
      </w:r>
      <w:r w:rsidR="00AF4677" w:rsidRPr="0015116B">
        <w:t xml:space="preserve">the estimate for </w:t>
      </w:r>
      <w:r w:rsidR="001F2864" w:rsidRPr="0015116B">
        <w:t xml:space="preserve">M </w:t>
      </w:r>
      <w:r w:rsidR="00EB2F0A" w:rsidRPr="0015116B">
        <w:t>would be</w:t>
      </w:r>
      <w:r w:rsidR="00680A64" w:rsidRPr="0015116B">
        <w:t xml:space="preserve"> 0.15. </w:t>
      </w:r>
      <w:r w:rsidR="00AF4677" w:rsidRPr="0015116B">
        <w:t xml:space="preserve">Rugolo and </w:t>
      </w:r>
      <w:proofErr w:type="spellStart"/>
      <w:r w:rsidR="00AF4677" w:rsidRPr="0015116B">
        <w:t>Turnock</w:t>
      </w:r>
      <w:proofErr w:type="spellEnd"/>
      <w:r w:rsidR="00AF4677" w:rsidRPr="0015116B">
        <w:t xml:space="preserve"> (2011</w:t>
      </w:r>
      <w:r w:rsidR="001925DA" w:rsidRPr="0015116B">
        <w:t>a</w:t>
      </w:r>
      <w:r w:rsidR="00AF4677" w:rsidRPr="0015116B">
        <w:t xml:space="preserve">) </w:t>
      </w:r>
      <w:r w:rsidR="001F2864" w:rsidRPr="0015116B">
        <w:t>adopted M=0.23 for both male and female Tanner</w:t>
      </w:r>
      <w:r w:rsidR="00AF4677" w:rsidRPr="0015116B">
        <w:t xml:space="preserve"> because the</w:t>
      </w:r>
      <w:r w:rsidR="001F2864" w:rsidRPr="0015116B">
        <w:t xml:space="preserve"> value correspond</w:t>
      </w:r>
      <w:r w:rsidR="00AF4677" w:rsidRPr="0015116B">
        <w:t>ed</w:t>
      </w:r>
      <w:r w:rsidR="001F2864" w:rsidRPr="0015116B">
        <w:t xml:space="preserve"> with the range estimated by Somerton</w:t>
      </w:r>
      <w:r w:rsidR="00AF4677" w:rsidRPr="0015116B">
        <w:t xml:space="preserve"> (1981a)</w:t>
      </w:r>
      <w:r w:rsidR="001F2864" w:rsidRPr="0015116B">
        <w:t xml:space="preserve">, </w:t>
      </w:r>
      <w:r w:rsidR="00AF4677" w:rsidRPr="0015116B">
        <w:t>as well as</w:t>
      </w:r>
      <w:r w:rsidR="001F2864" w:rsidRPr="0015116B">
        <w:t xml:space="preserve"> the value used in the analysis to estimate </w:t>
      </w:r>
      <w:r w:rsidR="00EB2F0A" w:rsidRPr="0015116B">
        <w:t>the</w:t>
      </w:r>
      <w:r w:rsidR="001F2864" w:rsidRPr="0015116B">
        <w:t xml:space="preserve"> overfishing definitions </w:t>
      </w:r>
      <w:r w:rsidR="00AF4677" w:rsidRPr="0015116B">
        <w:t>underlying</w:t>
      </w:r>
      <w:r w:rsidR="001F2864" w:rsidRPr="0015116B">
        <w:t xml:space="preserve"> Amendment 24 to the </w:t>
      </w:r>
      <w:r w:rsidR="00AF4677" w:rsidRPr="0015116B">
        <w:t>C</w:t>
      </w:r>
      <w:r w:rsidR="00872F3F" w:rsidRPr="0015116B">
        <w:t>rab Fishery M</w:t>
      </w:r>
      <w:r w:rsidR="001F2864" w:rsidRPr="0015116B">
        <w:t xml:space="preserve">anagement </w:t>
      </w:r>
      <w:r w:rsidR="00872F3F" w:rsidRPr="0015116B">
        <w:t>P</w:t>
      </w:r>
      <w:r w:rsidR="001F2864" w:rsidRPr="0015116B">
        <w:t>lan (NPFMC 2007).</w:t>
      </w:r>
    </w:p>
    <w:p w14:paraId="4CDE2C2C" w14:textId="27B3563A" w:rsidR="00435BF8" w:rsidRPr="0015116B" w:rsidRDefault="00366BB6" w:rsidP="00366BB6">
      <w:pPr>
        <w:pStyle w:val="Heading3"/>
      </w:pPr>
      <w:r w:rsidRPr="0015116B">
        <w:lastRenderedPageBreak/>
        <w:t xml:space="preserve">5. </w:t>
      </w:r>
      <w:r w:rsidR="00435BF8" w:rsidRPr="0015116B">
        <w:t xml:space="preserve">Brief summary of management history. </w:t>
      </w:r>
    </w:p>
    <w:p w14:paraId="0251849B" w14:textId="0985FB82" w:rsidR="00FF2CBA" w:rsidRPr="0015116B" w:rsidRDefault="001925DA" w:rsidP="00FF2CBA">
      <w:r w:rsidRPr="0015116B">
        <w:t>A complete summary of the management</w:t>
      </w:r>
      <w:r w:rsidR="0065769E" w:rsidRPr="0015116B">
        <w:t xml:space="preserve"> history is provided in the ADF</w:t>
      </w:r>
      <w:r w:rsidRPr="0015116B">
        <w:t xml:space="preserve">G Area Management Report appended to the annual SAFE. </w:t>
      </w:r>
      <w:r w:rsidR="00FF2CBA" w:rsidRPr="0015116B">
        <w:t>Fisheries have historically taken place for Tanner crab throughout their range in Alaska, but currently only the fishery in the EBS is managed under a federal Fishery Management Plan (FMP</w:t>
      </w:r>
      <w:r w:rsidRPr="0015116B">
        <w:t>;</w:t>
      </w:r>
      <w:r w:rsidR="00FF2CBA" w:rsidRPr="0015116B">
        <w:t xml:space="preserve"> NPFMC </w:t>
      </w:r>
      <w:r w:rsidR="002D2662" w:rsidRPr="0015116B">
        <w:t>2011</w:t>
      </w:r>
      <w:r w:rsidR="00FF2CBA" w:rsidRPr="0015116B">
        <w:t>).</w:t>
      </w:r>
      <w:r w:rsidR="000E77E5" w:rsidRPr="0015116B">
        <w:t xml:space="preserve"> </w:t>
      </w:r>
      <w:r w:rsidR="00FF2CBA" w:rsidRPr="0015116B">
        <w:t>The plan defers certain management controls for Tanner crab to the State of Alaska</w:t>
      </w:r>
      <w:r w:rsidR="003767DA" w:rsidRPr="0015116B">
        <w:t xml:space="preserve"> (SOA)</w:t>
      </w:r>
      <w:r w:rsidR="00FF2CBA" w:rsidRPr="0015116B">
        <w:t xml:space="preserve">, with federal oversight (Bowers et al. 2008). The </w:t>
      </w:r>
      <w:r w:rsidR="003767DA" w:rsidRPr="0015116B">
        <w:t xml:space="preserve">SOA </w:t>
      </w:r>
      <w:r w:rsidR="00FF2CBA" w:rsidRPr="0015116B">
        <w:t xml:space="preserve">manages Tanner crab based on registration areas divided into districts. Under the FMP, the state can adjust districts as needed to avoid overharvest in a particular area, change size limits from other stocks in the registration area, change fishing seasons, or encourage exploration (NPFMC </w:t>
      </w:r>
      <w:r w:rsidR="002D2662" w:rsidRPr="0015116B">
        <w:t>2011</w:t>
      </w:r>
      <w:r w:rsidR="00FF2CBA" w:rsidRPr="0015116B">
        <w:t>).</w:t>
      </w:r>
    </w:p>
    <w:p w14:paraId="0C58E203" w14:textId="45FC17BD" w:rsidR="00FF2CBA" w:rsidRPr="0015116B" w:rsidRDefault="00FF2CBA" w:rsidP="00FF2CBA">
      <w:r w:rsidRPr="0015116B">
        <w:t>The Bering Sea District of Tanner crab Registration Area J (</w:t>
      </w:r>
      <w:r w:rsidR="00A45BBB" w:rsidRPr="0015116B">
        <w:t xml:space="preserve">Figure </w:t>
      </w:r>
      <w:r w:rsidR="00A45BBB" w:rsidRPr="0015116B">
        <w:fldChar w:fldCharType="begin"/>
      </w:r>
      <w:r w:rsidR="00A45BBB" w:rsidRPr="0015116B">
        <w:instrText xml:space="preserve"> SEQ FigNum\# "0"\r 1 \* MERGEFORMAT </w:instrText>
      </w:r>
      <w:r w:rsidR="00A45BBB" w:rsidRPr="0015116B">
        <w:fldChar w:fldCharType="separate"/>
      </w:r>
      <w:r w:rsidR="00A45BBB" w:rsidRPr="0015116B">
        <w:rPr>
          <w:noProof/>
        </w:rPr>
        <w:t>1</w:t>
      </w:r>
      <w:r w:rsidR="00A45BBB" w:rsidRPr="0015116B">
        <w:fldChar w:fldCharType="end"/>
      </w:r>
      <w:r w:rsidRPr="0015116B">
        <w:t>) includes all waters of the Bering Sea no</w:t>
      </w:r>
      <w:r w:rsidR="00581083" w:rsidRPr="0015116B">
        <w:t xml:space="preserve">rth of Cape </w:t>
      </w:r>
      <w:proofErr w:type="spellStart"/>
      <w:r w:rsidR="00581083" w:rsidRPr="0015116B">
        <w:t>Sarichef</w:t>
      </w:r>
      <w:proofErr w:type="spellEnd"/>
      <w:r w:rsidR="00581083" w:rsidRPr="0015116B">
        <w:t xml:space="preserve"> at 54° 36’</w:t>
      </w:r>
      <w:r w:rsidRPr="0015116B">
        <w:t>N and east of the U.S.-Russia Maritime Boundary Line of 1991. This district is divided into the Eastern and West</w:t>
      </w:r>
      <w:r w:rsidR="00581083" w:rsidRPr="0015116B">
        <w:t>ern Subdistricts at 173°</w:t>
      </w:r>
      <w:r w:rsidRPr="0015116B">
        <w:t>W. The Eastern Subdistrict is further divided at the Norton Sound Section north of the latitude of Cape Romanzof and east of 168°W and the General Section to the south and west of the Norton Sound Section (Bowers et al. 2008).</w:t>
      </w:r>
      <w:r w:rsidR="007910AD" w:rsidRPr="0015116B">
        <w:t xml:space="preserve"> In this report, the terms “east region” and “west region” </w:t>
      </w:r>
      <w:r w:rsidR="003767DA" w:rsidRPr="0015116B">
        <w:t>are used in</w:t>
      </w:r>
      <w:r w:rsidR="007910AD" w:rsidRPr="0015116B">
        <w:t xml:space="preserve"> shorthand </w:t>
      </w:r>
      <w:r w:rsidR="003767DA" w:rsidRPr="0015116B">
        <w:t xml:space="preserve">fashion </w:t>
      </w:r>
      <w:r w:rsidR="007910AD" w:rsidRPr="0015116B">
        <w:t>to refer to the regions demarcated by 166</w:t>
      </w:r>
      <w:r w:rsidR="007910AD" w:rsidRPr="0015116B">
        <w:rPr>
          <w:vertAlign w:val="superscript"/>
        </w:rPr>
        <w:t>o</w:t>
      </w:r>
      <w:r w:rsidR="007910AD" w:rsidRPr="0015116B">
        <w:t>W</w:t>
      </w:r>
      <w:r w:rsidR="003767DA" w:rsidRPr="0015116B">
        <w:t xml:space="preserve"> longitude</w:t>
      </w:r>
      <w:r w:rsidR="007910AD" w:rsidRPr="0015116B">
        <w:t>.</w:t>
      </w:r>
    </w:p>
    <w:p w14:paraId="229472B3" w14:textId="324C3039" w:rsidR="00763A62" w:rsidRPr="0015116B" w:rsidRDefault="00FF2CBA" w:rsidP="00002F6D">
      <w:r w:rsidRPr="0015116B">
        <w:t xml:space="preserve">In March 2011, the Alaska Board of Fisheries </w:t>
      </w:r>
      <w:r w:rsidR="0065769E" w:rsidRPr="0015116B">
        <w:t>(</w:t>
      </w:r>
      <w:r w:rsidR="007620F3" w:rsidRPr="0015116B">
        <w:t xml:space="preserve">BOF) </w:t>
      </w:r>
      <w:r w:rsidRPr="0015116B">
        <w:t xml:space="preserve">approved a new minimum size limit </w:t>
      </w:r>
      <w:r w:rsidR="007620F3" w:rsidRPr="0015116B">
        <w:t xml:space="preserve">harvest </w:t>
      </w:r>
      <w:r w:rsidRPr="0015116B">
        <w:t xml:space="preserve">strategy for Tanner crab effective for the 2011/12 fishery. </w:t>
      </w:r>
      <w:r w:rsidR="002D7A65" w:rsidRPr="0015116B">
        <w:t>Prior to this change, t</w:t>
      </w:r>
      <w:r w:rsidRPr="0015116B">
        <w:t xml:space="preserve">he minimum legal size limit </w:t>
      </w:r>
      <w:r w:rsidR="002D7A65" w:rsidRPr="0015116B">
        <w:t>was</w:t>
      </w:r>
      <w:r w:rsidRPr="0015116B">
        <w:t xml:space="preserve"> 5.5” (1</w:t>
      </w:r>
      <w:r w:rsidR="00E032DB" w:rsidRPr="0015116B">
        <w:t>40</w:t>
      </w:r>
      <w:r w:rsidRPr="0015116B">
        <w:t xml:space="preserve"> mm CW</w:t>
      </w:r>
      <w:r w:rsidR="00E032DB" w:rsidRPr="0015116B">
        <w:t>, including lateral spines</w:t>
      </w:r>
      <w:r w:rsidRPr="0015116B">
        <w:t>) throu</w:t>
      </w:r>
      <w:r w:rsidR="00C255F7" w:rsidRPr="0015116B">
        <w:t xml:space="preserve">ghout the </w:t>
      </w:r>
      <w:r w:rsidR="002D7A65" w:rsidRPr="0015116B">
        <w:t>Bering Sea District</w:t>
      </w:r>
      <w:r w:rsidR="00C255F7" w:rsidRPr="0015116B">
        <w:t xml:space="preserve">. </w:t>
      </w:r>
      <w:r w:rsidRPr="0015116B">
        <w:t>The new regulations established different minimum size l</w:t>
      </w:r>
      <w:r w:rsidR="00556CB6" w:rsidRPr="0015116B">
        <w:t>imits east and west of 166</w:t>
      </w:r>
      <w:r w:rsidR="007910AD" w:rsidRPr="0015116B">
        <w:rPr>
          <w:vertAlign w:val="superscript"/>
        </w:rPr>
        <w:t>o</w:t>
      </w:r>
      <w:r w:rsidR="0008598C" w:rsidRPr="0015116B">
        <w:t> </w:t>
      </w:r>
      <w:r w:rsidR="00556CB6" w:rsidRPr="0015116B">
        <w:t xml:space="preserve">W. </w:t>
      </w:r>
      <w:r w:rsidRPr="0015116B">
        <w:t xml:space="preserve">The minimum size limit for the fishery to the east </w:t>
      </w:r>
      <w:r w:rsidR="00C255F7" w:rsidRPr="0015116B">
        <w:t>of 166</w:t>
      </w:r>
      <w:r w:rsidR="00C255F7" w:rsidRPr="0015116B">
        <w:rPr>
          <w:vertAlign w:val="superscript"/>
        </w:rPr>
        <w:t>o</w:t>
      </w:r>
      <w:r w:rsidR="00E032DB" w:rsidRPr="0015116B">
        <w:t> </w:t>
      </w:r>
      <w:r w:rsidR="00C255F7" w:rsidRPr="0015116B">
        <w:t>W is</w:t>
      </w:r>
      <w:r w:rsidRPr="0015116B">
        <w:t xml:space="preserve"> </w:t>
      </w:r>
      <w:r w:rsidR="00556CB6" w:rsidRPr="0015116B">
        <w:t xml:space="preserve">now </w:t>
      </w:r>
      <w:r w:rsidRPr="0015116B">
        <w:t xml:space="preserve">4.8” (122 mm </w:t>
      </w:r>
      <w:r w:rsidR="00C255F7" w:rsidRPr="0015116B">
        <w:t>CW</w:t>
      </w:r>
      <w:r w:rsidR="00556CB6" w:rsidRPr="0015116B">
        <w:t>)</w:t>
      </w:r>
      <w:r w:rsidR="00B74DF1" w:rsidRPr="0015116B">
        <w:t xml:space="preserve"> and that to the west</w:t>
      </w:r>
      <w:r w:rsidR="00C255F7" w:rsidRPr="0015116B">
        <w:t xml:space="preserve"> is</w:t>
      </w:r>
      <w:r w:rsidRPr="0015116B">
        <w:t xml:space="preserve"> 4.4” (112 mm </w:t>
      </w:r>
      <w:r w:rsidR="007910AD" w:rsidRPr="0015116B">
        <w:t>CW), where the size measurement includes the lateral spines.</w:t>
      </w:r>
      <w:r w:rsidR="00002F6D" w:rsidRPr="0015116B">
        <w:t xml:space="preserve"> For economic reasons, fishers may adopt larger minimum sizes for retention of crab in both areas, and the SOA’s harvest control rules (HCRs) used to determine total allowable catch (TAC) generally incorporate minimum industry-preferred sizes that are larger than the legal minimums. In 2011, these minimum preferred sizes were set at 5.5” (140 mm CW) in the east and 5” (127 mm CW) in the west, including the lateral spines (ADFG 2014). </w:t>
      </w:r>
      <w:r w:rsidR="00427D75" w:rsidRPr="0015116B">
        <w:t xml:space="preserve">The </w:t>
      </w:r>
      <w:r w:rsidR="00927C91" w:rsidRPr="0015116B">
        <w:t xml:space="preserve">harvest strategy </w:t>
      </w:r>
      <w:r w:rsidR="00002F6D" w:rsidRPr="0015116B">
        <w:t xml:space="preserve">also </w:t>
      </w:r>
      <w:r w:rsidR="00927C91" w:rsidRPr="0015116B">
        <w:t xml:space="preserve">employed </w:t>
      </w:r>
      <w:r w:rsidR="00002F6D" w:rsidRPr="0015116B">
        <w:t xml:space="preserve">a </w:t>
      </w:r>
      <w:r w:rsidR="00423E9B" w:rsidRPr="0015116B">
        <w:t xml:space="preserve">minimum </w:t>
      </w:r>
      <w:r w:rsidR="00002F6D" w:rsidRPr="0015116B">
        <w:t xml:space="preserve">threshold </w:t>
      </w:r>
      <w:r w:rsidR="00423E9B" w:rsidRPr="0015116B">
        <w:t xml:space="preserve">that the </w:t>
      </w:r>
      <w:r w:rsidR="00002F6D" w:rsidRPr="0015116B">
        <w:t xml:space="preserve">mature female biomass </w:t>
      </w:r>
      <w:r w:rsidR="00763A62" w:rsidRPr="0015116B">
        <w:t xml:space="preserve">(MFB) </w:t>
      </w:r>
      <w:r w:rsidR="00423E9B" w:rsidRPr="0015116B">
        <w:t>in the Eastern subdistrict be larger than 40% of</w:t>
      </w:r>
      <w:r w:rsidR="00002F6D" w:rsidRPr="0015116B">
        <w:t xml:space="preserve"> its </w:t>
      </w:r>
      <w:proofErr w:type="spellStart"/>
      <w:r w:rsidR="00002F6D" w:rsidRPr="0015116B">
        <w:t>longterm</w:t>
      </w:r>
      <w:proofErr w:type="spellEnd"/>
      <w:r w:rsidR="00002F6D" w:rsidRPr="0015116B">
        <w:t xml:space="preserve"> (1975-2010) </w:t>
      </w:r>
      <w:r w:rsidR="00423E9B" w:rsidRPr="0015116B">
        <w:t xml:space="preserve">average in two subsequent years before the fisheries in either subdistrict could be opened. Minimum thresholds for opening the fishery in a subdistrict were also defined using </w:t>
      </w:r>
      <w:r w:rsidR="005835AE" w:rsidRPr="0015116B">
        <w:t>the ratio</w:t>
      </w:r>
      <w:r w:rsidR="00423E9B" w:rsidRPr="0015116B">
        <w:t xml:space="preserve"> subdistrict-specific MMB </w:t>
      </w:r>
      <w:r w:rsidR="005835AE" w:rsidRPr="0015116B">
        <w:t xml:space="preserve">to its </w:t>
      </w:r>
      <w:r w:rsidR="002401D1" w:rsidRPr="0015116B">
        <w:t xml:space="preserve">associated </w:t>
      </w:r>
      <w:proofErr w:type="spellStart"/>
      <w:r w:rsidR="005835AE" w:rsidRPr="0015116B">
        <w:t>longterm</w:t>
      </w:r>
      <w:proofErr w:type="spellEnd"/>
      <w:r w:rsidR="005835AE" w:rsidRPr="0015116B">
        <w:t xml:space="preserve"> average.</w:t>
      </w:r>
      <w:r w:rsidR="00423E9B" w:rsidRPr="0015116B">
        <w:t xml:space="preserve"> Finally, the harvest strategy defined subdistrict</w:t>
      </w:r>
      <w:r w:rsidR="00002F6D" w:rsidRPr="0015116B">
        <w:t xml:space="preserve">-specific </w:t>
      </w:r>
      <w:r w:rsidR="00927C91" w:rsidRPr="0015116B">
        <w:t xml:space="preserve">sloping </w:t>
      </w:r>
      <w:r w:rsidR="00002F6D" w:rsidRPr="0015116B">
        <w:t xml:space="preserve">harvest </w:t>
      </w:r>
      <w:r w:rsidR="00927C91" w:rsidRPr="0015116B">
        <w:t>control rule</w:t>
      </w:r>
      <w:r w:rsidR="00002F6D" w:rsidRPr="0015116B">
        <w:t>s</w:t>
      </w:r>
      <w:r w:rsidR="00927C91" w:rsidRPr="0015116B">
        <w:t xml:space="preserve"> to determine the maximum </w:t>
      </w:r>
      <w:r w:rsidR="00002F6D" w:rsidRPr="0015116B">
        <w:t xml:space="preserve">allowable </w:t>
      </w:r>
      <w:r w:rsidR="00427D75" w:rsidRPr="0015116B">
        <w:t xml:space="preserve">exploitation rate on </w:t>
      </w:r>
      <w:r w:rsidR="00927C91" w:rsidRPr="0015116B">
        <w:t>mature males</w:t>
      </w:r>
      <w:r w:rsidR="00002F6D" w:rsidRPr="0015116B">
        <w:t xml:space="preserve"> </w:t>
      </w:r>
      <w:r w:rsidR="00423E9B" w:rsidRPr="0015116B">
        <w:t>in each subdistrict</w:t>
      </w:r>
      <w:r w:rsidR="00763A62" w:rsidRPr="0015116B">
        <w:t xml:space="preserve"> based on the ratio of MFB to average MFB</w:t>
      </w:r>
      <w:r w:rsidR="00423E9B" w:rsidRPr="0015116B">
        <w:t xml:space="preserve">, together with limits on the </w:t>
      </w:r>
      <w:r w:rsidR="00763A62" w:rsidRPr="0015116B">
        <w:t xml:space="preserve">maximum exploitation rate </w:t>
      </w:r>
      <w:r w:rsidR="00002F6D" w:rsidRPr="0015116B">
        <w:t>(Figure</w:t>
      </w:r>
      <w:r w:rsidR="00A45BBB" w:rsidRPr="0015116B">
        <w:t xml:space="preserve"> </w:t>
      </w:r>
      <w:r w:rsidR="00A45BBB" w:rsidRPr="0015116B">
        <w:fldChar w:fldCharType="begin"/>
      </w:r>
      <w:r w:rsidR="00A45BBB" w:rsidRPr="0015116B">
        <w:instrText xml:space="preserve"> SEQ FigNum\# "0" \* MERGEFORMAT </w:instrText>
      </w:r>
      <w:r w:rsidR="00A45BBB" w:rsidRPr="0015116B">
        <w:fldChar w:fldCharType="separate"/>
      </w:r>
      <w:r w:rsidR="00A45BBB" w:rsidRPr="0015116B">
        <w:rPr>
          <w:noProof/>
        </w:rPr>
        <w:t>2</w:t>
      </w:r>
      <w:r w:rsidR="00A45BBB" w:rsidRPr="0015116B">
        <w:fldChar w:fldCharType="end"/>
      </w:r>
      <w:r w:rsidR="00002F6D" w:rsidRPr="0015116B">
        <w:t>)</w:t>
      </w:r>
      <w:r w:rsidR="00927C91" w:rsidRPr="0015116B">
        <w:t>.</w:t>
      </w:r>
      <w:r w:rsidR="00137744" w:rsidRPr="0015116B">
        <w:t xml:space="preserve"> </w:t>
      </w:r>
    </w:p>
    <w:p w14:paraId="25255EDF" w14:textId="0C658D94" w:rsidR="00763A62" w:rsidRPr="0015116B" w:rsidRDefault="00763A62" w:rsidP="00002F6D">
      <w:r w:rsidRPr="0015116B">
        <w:t>Subsequently, t</w:t>
      </w:r>
      <w:r w:rsidR="00E032DB" w:rsidRPr="0015116B">
        <w:t xml:space="preserve">he SOA’s harvest </w:t>
      </w:r>
      <w:r w:rsidRPr="0015116B">
        <w:t>strategy</w:t>
      </w:r>
      <w:r w:rsidR="00E032DB" w:rsidRPr="0015116B">
        <w:t xml:space="preserve"> has undergone three revisions in the past 6 years (Daly et al., 2020). In 2015, the minimum preferred harvest size used to compute TAC for the area east of 166</w:t>
      </w:r>
      <w:r w:rsidR="00E032DB" w:rsidRPr="0015116B">
        <w:rPr>
          <w:vertAlign w:val="superscript"/>
        </w:rPr>
        <w:t>o</w:t>
      </w:r>
      <w:r w:rsidR="00E032DB" w:rsidRPr="0015116B">
        <w:t>W longitude was changed from 140 mm CW (5.5 inches; including the lateral spines) to 127 mm CW (5.0 inches), the preferred size used to compute TAC for the area west of 166</w:t>
      </w:r>
      <w:r w:rsidR="00E032DB" w:rsidRPr="0015116B">
        <w:rPr>
          <w:vertAlign w:val="superscript"/>
        </w:rPr>
        <w:t>o</w:t>
      </w:r>
      <w:r w:rsidR="00E032DB" w:rsidRPr="0015116B">
        <w:t xml:space="preserve">W longitude. In 2017, the criteria used to determine MFB was changed from an area-specific one based on carapace width to one based on morphology (the same as that used by the NMFS EBS shelf bottom trawl survey), the definition of ‘long-term average’ for calculating average mature biomass was changed from 1975-2010 to 1982-2016, the spatial range for calculating average MFB was expanded to include the entire NMFS EBS shelf bottom trawl survey area, and a so-called 'error band system' was introduced </w:t>
      </w:r>
      <w:r w:rsidRPr="0015116B">
        <w:t xml:space="preserve">in the HCR </w:t>
      </w:r>
      <w:r w:rsidR="00E032DB" w:rsidRPr="0015116B">
        <w:t xml:space="preserve">to account for survey uncertainty such that the exploitation rate on industry-preferred males used to calculate was gradually reduced when the lower 95% confidence interval of the point estimate of MFB fell below 40% of the long-term average (replacing </w:t>
      </w:r>
      <w:r w:rsidRPr="0015116B">
        <w:t>the</w:t>
      </w:r>
      <w:r w:rsidR="00E032DB" w:rsidRPr="0015116B">
        <w:t xml:space="preserve"> requirement to close the fisheries when MFB fell below the 40% threshold; ADF&amp;G, 2017; Daly et al., 2020). </w:t>
      </w:r>
    </w:p>
    <w:p w14:paraId="4CA50216" w14:textId="1315C17B" w:rsidR="00E032DB" w:rsidRPr="0015116B" w:rsidRDefault="00763A62" w:rsidP="00FF2CBA">
      <w:r w:rsidRPr="0015116B">
        <w:lastRenderedPageBreak/>
        <w:t>Most recently, the harvest strategy was changed in March 2020</w:t>
      </w:r>
      <w:r w:rsidR="00E032DB" w:rsidRPr="0015116B">
        <w:t xml:space="preserve"> based on results from an extensive management strategy evaluation (MSE) conducted with input from industry stakeholders, NMFS and academic scientists, and ADF&amp;G managers (Daly et al., 2020). The current HCR (</w:t>
      </w:r>
      <w:r w:rsidRPr="0015116B">
        <w:t xml:space="preserve">Figure </w:t>
      </w:r>
      <w:r w:rsidR="00A45BBB" w:rsidRPr="0015116B">
        <w:fldChar w:fldCharType="begin"/>
      </w:r>
      <w:r w:rsidR="00A45BBB" w:rsidRPr="0015116B">
        <w:instrText xml:space="preserve"> SEQ FigNum\# "0" \* MERGEFORMAT </w:instrText>
      </w:r>
      <w:r w:rsidR="00A45BBB" w:rsidRPr="0015116B">
        <w:fldChar w:fldCharType="separate"/>
      </w:r>
      <w:r w:rsidR="009A24EB" w:rsidRPr="0015116B">
        <w:rPr>
          <w:noProof/>
        </w:rPr>
        <w:t>3</w:t>
      </w:r>
      <w:r w:rsidR="00A45BBB" w:rsidRPr="0015116B">
        <w:fldChar w:fldCharType="end"/>
      </w:r>
      <w:r w:rsidRPr="0015116B">
        <w:t xml:space="preserve">; </w:t>
      </w:r>
      <w:r w:rsidR="00E032DB" w:rsidRPr="0015116B">
        <w:t xml:space="preserve">HCR 4_1 in Daly et al., 2020) defines the period for calculating average mature biomass as 1982-2018 and implements sliding scales for exploitation rates on mature males which are functions of the ratios of MMB and MFB to their </w:t>
      </w:r>
      <w:proofErr w:type="spellStart"/>
      <w:r w:rsidR="00E032DB" w:rsidRPr="0015116B">
        <w:t>longterm</w:t>
      </w:r>
      <w:proofErr w:type="spellEnd"/>
      <w:r w:rsidR="00E032DB" w:rsidRPr="0015116B">
        <w:t xml:space="preserve"> averages.</w:t>
      </w:r>
      <w:r w:rsidRPr="0015116B">
        <w:t xml:space="preserve"> One particularly notable change is that there is </w:t>
      </w:r>
      <w:r w:rsidR="00511C26" w:rsidRPr="0015116B">
        <w:t>no longer a threshold for opening the fisheries based on MFB.</w:t>
      </w:r>
    </w:p>
    <w:p w14:paraId="1650B96C" w14:textId="38D60CB2" w:rsidR="00650099" w:rsidRPr="0015116B" w:rsidRDefault="00650099" w:rsidP="00650099">
      <w:r w:rsidRPr="0015116B">
        <w:t xml:space="preserve">Landings of Tanner crab in the Japanese pot and tangle net fisheries were reported </w:t>
      </w:r>
      <w:r w:rsidR="000C5E22" w:rsidRPr="0015116B">
        <w:t>in the period</w:t>
      </w:r>
      <w:r w:rsidRPr="0015116B">
        <w:t xml:space="preserve"> 1965-1978, peaking at 19.95 thousand t in</w:t>
      </w:r>
      <w:r w:rsidR="000C5E22" w:rsidRPr="0015116B">
        <w:t xml:space="preserve"> 1969. </w:t>
      </w:r>
      <w:r w:rsidRPr="0015116B">
        <w:t xml:space="preserve">The Russian tangle net fishery was prosecuted </w:t>
      </w:r>
      <w:r w:rsidR="000C5E22" w:rsidRPr="0015116B">
        <w:t>during</w:t>
      </w:r>
      <w:r w:rsidRPr="0015116B">
        <w:t xml:space="preserve"> 1965-1971 with peak landings in 1969 at 7.08 thousand t.</w:t>
      </w:r>
      <w:r w:rsidR="000E77E5" w:rsidRPr="0015116B">
        <w:t xml:space="preserve"> </w:t>
      </w:r>
      <w:r w:rsidRPr="0015116B">
        <w:t xml:space="preserve">Both the Japanese and Russian Tanner crab fisheries were displaced by the domestic fishery by the late-1970s (Table </w:t>
      </w:r>
      <w:r w:rsidR="0059564A" w:rsidRPr="0015116B">
        <w:t>1</w:t>
      </w:r>
      <w:r w:rsidR="0094527A" w:rsidRPr="0015116B">
        <w:t xml:space="preserve">; </w:t>
      </w:r>
      <w:r w:rsidR="009B2C20" w:rsidRPr="0015116B">
        <w:t>Fig</w:t>
      </w:r>
      <w:r w:rsidR="00474D50" w:rsidRPr="0015116B">
        <w:t>ure</w:t>
      </w:r>
      <w:r w:rsidR="0094527A" w:rsidRPr="0015116B">
        <w:t xml:space="preserve"> </w:t>
      </w:r>
      <w:r w:rsidR="00A45BBB" w:rsidRPr="0015116B">
        <w:fldChar w:fldCharType="begin"/>
      </w:r>
      <w:r w:rsidR="00A45BBB" w:rsidRPr="0015116B">
        <w:instrText xml:space="preserve"> SEQ FigNum\# "0" \* MERGEFORMAT </w:instrText>
      </w:r>
      <w:r w:rsidR="00A45BBB" w:rsidRPr="0015116B">
        <w:fldChar w:fldCharType="separate"/>
      </w:r>
      <w:r w:rsidR="009A24EB" w:rsidRPr="0015116B">
        <w:rPr>
          <w:noProof/>
        </w:rPr>
        <w:t>4</w:t>
      </w:r>
      <w:r w:rsidR="00A45BBB" w:rsidRPr="0015116B">
        <w:fldChar w:fldCharType="end"/>
      </w:r>
      <w:r w:rsidRPr="0015116B">
        <w:t>).</w:t>
      </w:r>
      <w:r w:rsidR="000C5E22" w:rsidRPr="0015116B">
        <w:t xml:space="preserve"> Foreign fishing for Tanner crab ended in 1980.</w:t>
      </w:r>
    </w:p>
    <w:p w14:paraId="31E62426" w14:textId="639D6E86" w:rsidR="00FF2CBA" w:rsidRPr="0015116B" w:rsidRDefault="00FF2CBA" w:rsidP="00FF2CBA">
      <w:r w:rsidRPr="0015116B">
        <w:t xml:space="preserve">The domestic Tanner crab pot fishery </w:t>
      </w:r>
      <w:r w:rsidR="000C5E22" w:rsidRPr="0015116B">
        <w:t xml:space="preserve">developed </w:t>
      </w:r>
      <w:r w:rsidRPr="0015116B">
        <w:t xml:space="preserve">rapidly in the </w:t>
      </w:r>
      <w:r w:rsidR="008B3E75" w:rsidRPr="0015116B">
        <w:t>mid-1970s (</w:t>
      </w:r>
      <w:r w:rsidR="00581083" w:rsidRPr="0015116B">
        <w:t xml:space="preserve">Tables </w:t>
      </w:r>
      <w:r w:rsidR="0059564A" w:rsidRPr="0015116B">
        <w:t>1 and 2</w:t>
      </w:r>
      <w:r w:rsidR="00541B1C" w:rsidRPr="0015116B">
        <w:t xml:space="preserve">; </w:t>
      </w:r>
      <w:r w:rsidR="009B2C20" w:rsidRPr="0015116B">
        <w:t>Fig</w:t>
      </w:r>
      <w:r w:rsidR="00474D50" w:rsidRPr="0015116B">
        <w:t xml:space="preserve">ure </w:t>
      </w:r>
      <w:r w:rsidR="009A24EB" w:rsidRPr="0015116B">
        <w:fldChar w:fldCharType="begin"/>
      </w:r>
      <w:r w:rsidR="009A24EB" w:rsidRPr="0015116B">
        <w:instrText xml:space="preserve"> SEQ FigNum\# "0" \* MERGEFORMAT </w:instrText>
      </w:r>
      <w:r w:rsidR="009A24EB" w:rsidRPr="0015116B">
        <w:fldChar w:fldCharType="separate"/>
      </w:r>
      <w:r w:rsidR="009A24EB" w:rsidRPr="0015116B">
        <w:rPr>
          <w:noProof/>
        </w:rPr>
        <w:t>5</w:t>
      </w:r>
      <w:r w:rsidR="009A24EB" w:rsidRPr="0015116B">
        <w:fldChar w:fldCharType="end"/>
      </w:r>
      <w:r w:rsidR="008B3E75" w:rsidRPr="0015116B">
        <w:t>).</w:t>
      </w:r>
      <w:r w:rsidR="00541B1C" w:rsidRPr="0015116B">
        <w:t xml:space="preserve"> </w:t>
      </w:r>
      <w:r w:rsidR="000C5E22" w:rsidRPr="0015116B">
        <w:t>Domestic</w:t>
      </w:r>
      <w:r w:rsidRPr="0015116B">
        <w:t xml:space="preserve"> U</w:t>
      </w:r>
      <w:r w:rsidR="000C5E22" w:rsidRPr="0015116B">
        <w:t>S</w:t>
      </w:r>
      <w:r w:rsidRPr="0015116B">
        <w:t xml:space="preserve"> landings were first reported for Tanner crab in 1968 at 0.46 thousand t taken incidentally to the EBS red king crab fishery</w:t>
      </w:r>
      <w:r w:rsidR="000C5E22" w:rsidRPr="0015116B">
        <w:t xml:space="preserve">. </w:t>
      </w:r>
      <w:r w:rsidRPr="0015116B">
        <w:t>Tanner crab was targeted thereafter by the domestic fleet and lan</w:t>
      </w:r>
      <w:r w:rsidR="000C5E22" w:rsidRPr="0015116B">
        <w:t xml:space="preserve">dings rose sharply in the early </w:t>
      </w:r>
      <w:r w:rsidRPr="0015116B">
        <w:t>1970s, reaching a high of 30.21 thousand t in 1977</w:t>
      </w:r>
      <w:r w:rsidR="000C5E22" w:rsidRPr="0015116B">
        <w:t xml:space="preserve">/78. </w:t>
      </w:r>
      <w:r w:rsidRPr="0015116B">
        <w:t>Landings fell sharply after the peak in 1977</w:t>
      </w:r>
      <w:r w:rsidR="000C5E22" w:rsidRPr="0015116B">
        <w:t>/78</w:t>
      </w:r>
      <w:r w:rsidRPr="0015116B">
        <w:t xml:space="preserve"> through the early 1980s, and domestic fishing was closed in 1985</w:t>
      </w:r>
      <w:r w:rsidR="000C5E22" w:rsidRPr="0015116B">
        <w:t>/86</w:t>
      </w:r>
      <w:r w:rsidRPr="0015116B">
        <w:t xml:space="preserve"> and 1986</w:t>
      </w:r>
      <w:r w:rsidR="000C5E22" w:rsidRPr="0015116B">
        <w:t>/87</w:t>
      </w:r>
      <w:r w:rsidRPr="0015116B">
        <w:t xml:space="preserve"> </w:t>
      </w:r>
      <w:r w:rsidR="000C5E22" w:rsidRPr="0015116B">
        <w:t xml:space="preserve">due to depressed stock status. </w:t>
      </w:r>
      <w:r w:rsidRPr="0015116B">
        <w:t>In 1987</w:t>
      </w:r>
      <w:r w:rsidR="000C5E22" w:rsidRPr="0015116B">
        <w:t>/88</w:t>
      </w:r>
      <w:r w:rsidRPr="0015116B">
        <w:t>, the fishery re</w:t>
      </w:r>
      <w:r w:rsidR="00511C26" w:rsidRPr="0015116B">
        <w:t>-</w:t>
      </w:r>
      <w:r w:rsidRPr="0015116B">
        <w:t>opened and landings rose again in the late-1980s to a second peak in 1990</w:t>
      </w:r>
      <w:r w:rsidR="000C5E22" w:rsidRPr="0015116B">
        <w:t>/91</w:t>
      </w:r>
      <w:r w:rsidRPr="0015116B">
        <w:t xml:space="preserve"> at </w:t>
      </w:r>
      <w:r w:rsidR="00EE2C90" w:rsidRPr="0015116B">
        <w:t>16.61</w:t>
      </w:r>
      <w:r w:rsidRPr="0015116B">
        <w:t xml:space="preserve"> thousand t, and then fell sharply through the mid-1990s.</w:t>
      </w:r>
      <w:r w:rsidR="000E77E5" w:rsidRPr="0015116B">
        <w:t xml:space="preserve"> </w:t>
      </w:r>
      <w:r w:rsidRPr="0015116B">
        <w:t xml:space="preserve">The domestic Tanner crab fishery </w:t>
      </w:r>
      <w:r w:rsidR="000C5E22" w:rsidRPr="0015116B">
        <w:t xml:space="preserve">was </w:t>
      </w:r>
      <w:r w:rsidRPr="0015116B">
        <w:t>closed between 1997</w:t>
      </w:r>
      <w:r w:rsidR="00EE2C90" w:rsidRPr="0015116B">
        <w:t>/98</w:t>
      </w:r>
      <w:r w:rsidRPr="0015116B">
        <w:t xml:space="preserve"> and 2004</w:t>
      </w:r>
      <w:r w:rsidR="000C5E22" w:rsidRPr="0015116B">
        <w:t>/05</w:t>
      </w:r>
      <w:r w:rsidRPr="0015116B">
        <w:t xml:space="preserve"> as a result of conservation concerns regarding </w:t>
      </w:r>
      <w:r w:rsidR="00EE2C90" w:rsidRPr="0015116B">
        <w:t xml:space="preserve">the </w:t>
      </w:r>
      <w:r w:rsidRPr="0015116B">
        <w:t xml:space="preserve">depressed </w:t>
      </w:r>
      <w:r w:rsidR="00EE2C90" w:rsidRPr="0015116B">
        <w:t xml:space="preserve">status of the </w:t>
      </w:r>
      <w:r w:rsidRPr="0015116B">
        <w:t>stock.</w:t>
      </w:r>
      <w:r w:rsidR="000E77E5" w:rsidRPr="0015116B">
        <w:t xml:space="preserve"> </w:t>
      </w:r>
      <w:r w:rsidR="00370CA0" w:rsidRPr="0015116B">
        <w:t>It</w:t>
      </w:r>
      <w:r w:rsidRPr="0015116B">
        <w:t xml:space="preserve"> re-opened in 2005</w:t>
      </w:r>
      <w:r w:rsidR="000C5E22" w:rsidRPr="0015116B">
        <w:t>/06</w:t>
      </w:r>
      <w:r w:rsidRPr="0015116B">
        <w:t xml:space="preserve"> and</w:t>
      </w:r>
      <w:r w:rsidR="000C5E22" w:rsidRPr="0015116B">
        <w:t xml:space="preserve"> </w:t>
      </w:r>
      <w:r w:rsidRPr="0015116B">
        <w:t>averaged 0.77 thousand t retained catch between 2005</w:t>
      </w:r>
      <w:r w:rsidR="000C5E22" w:rsidRPr="0015116B">
        <w:t>/06</w:t>
      </w:r>
      <w:r w:rsidRPr="0015116B">
        <w:t>-2009/10 (Table</w:t>
      </w:r>
      <w:r w:rsidR="00581083" w:rsidRPr="0015116B">
        <w:t>s</w:t>
      </w:r>
      <w:r w:rsidRPr="0015116B">
        <w:t xml:space="preserve"> </w:t>
      </w:r>
      <w:r w:rsidR="0059564A" w:rsidRPr="0015116B">
        <w:t>1</w:t>
      </w:r>
      <w:r w:rsidR="0094527A" w:rsidRPr="0015116B">
        <w:t xml:space="preserve"> and</w:t>
      </w:r>
      <w:r w:rsidR="00581083" w:rsidRPr="0015116B">
        <w:t xml:space="preserve"> </w:t>
      </w:r>
      <w:r w:rsidR="0059564A" w:rsidRPr="0015116B">
        <w:t>2</w:t>
      </w:r>
      <w:r w:rsidRPr="0015116B">
        <w:t xml:space="preserve">). </w:t>
      </w:r>
      <w:r w:rsidR="003767DA" w:rsidRPr="0015116B">
        <w:t>T</w:t>
      </w:r>
      <w:r w:rsidRPr="0015116B">
        <w:t>he S</w:t>
      </w:r>
      <w:r w:rsidR="003767DA" w:rsidRPr="0015116B">
        <w:t>OA</w:t>
      </w:r>
      <w:r w:rsidR="000C5E22" w:rsidRPr="0015116B">
        <w:t xml:space="preserve"> </w:t>
      </w:r>
      <w:r w:rsidRPr="0015116B">
        <w:t xml:space="preserve">closed directed commercial fishing for Tanner crab </w:t>
      </w:r>
      <w:r w:rsidR="002B2D9F" w:rsidRPr="0015116B">
        <w:t>during the 2010/11-2012/13 seasons because</w:t>
      </w:r>
      <w:r w:rsidRPr="0015116B">
        <w:t xml:space="preserve"> estimated female stock metrics </w:t>
      </w:r>
      <w:r w:rsidR="002B2D9F" w:rsidRPr="0015116B">
        <w:t>fell</w:t>
      </w:r>
      <w:r w:rsidR="00943D31" w:rsidRPr="0015116B">
        <w:t xml:space="preserve"> below </w:t>
      </w:r>
      <w:r w:rsidRPr="0015116B">
        <w:t>threshold</w:t>
      </w:r>
      <w:r w:rsidR="00943D31" w:rsidRPr="0015116B">
        <w:t>s</w:t>
      </w:r>
      <w:r w:rsidRPr="0015116B">
        <w:t xml:space="preserve"> </w:t>
      </w:r>
      <w:r w:rsidR="00943D31" w:rsidRPr="0015116B">
        <w:t xml:space="preserve">adopted </w:t>
      </w:r>
      <w:r w:rsidRPr="0015116B">
        <w:t xml:space="preserve">in the state </w:t>
      </w:r>
      <w:r w:rsidR="00943D31" w:rsidRPr="0015116B">
        <w:t xml:space="preserve">harvest </w:t>
      </w:r>
      <w:r w:rsidRPr="0015116B">
        <w:t>strategy.</w:t>
      </w:r>
      <w:r w:rsidR="00D07FAB" w:rsidRPr="0015116B">
        <w:t xml:space="preserve"> </w:t>
      </w:r>
      <w:r w:rsidR="00B83630" w:rsidRPr="0015116B">
        <w:t>However, these thresholds were met in fall 2013 and the directed fishery was opened in 2013/14. TAC</w:t>
      </w:r>
      <w:r w:rsidR="0059564A" w:rsidRPr="0015116B">
        <w:t xml:space="preserve"> was set at 1,645,000 </w:t>
      </w:r>
      <w:proofErr w:type="spellStart"/>
      <w:r w:rsidR="0059564A" w:rsidRPr="0015116B">
        <w:t>lbs</w:t>
      </w:r>
      <w:proofErr w:type="spellEnd"/>
      <w:r w:rsidR="0059564A" w:rsidRPr="0015116B">
        <w:t xml:space="preserve"> (746</w:t>
      </w:r>
      <w:r w:rsidR="00B83630" w:rsidRPr="0015116B">
        <w:t xml:space="preserve"> t) for the area west of 166</w:t>
      </w:r>
      <w:r w:rsidR="00B83630" w:rsidRPr="0015116B">
        <w:rPr>
          <w:vertAlign w:val="superscript"/>
        </w:rPr>
        <w:t>o</w:t>
      </w:r>
      <w:r w:rsidR="00B83630" w:rsidRPr="0015116B">
        <w:t xml:space="preserve"> W and at 1,463,000 </w:t>
      </w:r>
      <w:proofErr w:type="spellStart"/>
      <w:r w:rsidR="00B83630" w:rsidRPr="0015116B">
        <w:t>lbs</w:t>
      </w:r>
      <w:proofErr w:type="spellEnd"/>
      <w:r w:rsidR="00B83630" w:rsidRPr="0015116B">
        <w:t xml:space="preserve"> (66</w:t>
      </w:r>
      <w:r w:rsidR="0059564A" w:rsidRPr="0015116B">
        <w:t>4</w:t>
      </w:r>
      <w:r w:rsidR="00B83630" w:rsidRPr="0015116B">
        <w:t xml:space="preserve"> t) for the area east of 166</w:t>
      </w:r>
      <w:r w:rsidR="00B83630" w:rsidRPr="0015116B">
        <w:rPr>
          <w:vertAlign w:val="superscript"/>
        </w:rPr>
        <w:t>o</w:t>
      </w:r>
      <w:r w:rsidR="00B83630" w:rsidRPr="0015116B">
        <w:t xml:space="preserve"> W in the Eastern Subdistrict of Tanner crab Registration Area J. The fisheries opened on October 15 and closed on March 31. On closing, </w:t>
      </w:r>
      <w:r w:rsidR="00EF16A9" w:rsidRPr="0015116B">
        <w:t>79.6</w:t>
      </w:r>
      <w:r w:rsidR="00B83630" w:rsidRPr="0015116B">
        <w:t>% (</w:t>
      </w:r>
      <w:r w:rsidR="00EF16A9" w:rsidRPr="0015116B">
        <w:t>59</w:t>
      </w:r>
      <w:r w:rsidR="0059564A" w:rsidRPr="0015116B">
        <w:t>4</w:t>
      </w:r>
      <w:r w:rsidR="00B83630" w:rsidRPr="0015116B">
        <w:t xml:space="preserve"> t) of the TAC had been taken in the western area while 9</w:t>
      </w:r>
      <w:r w:rsidR="00EF16A9" w:rsidRPr="0015116B">
        <w:t>8.6</w:t>
      </w:r>
      <w:r w:rsidR="00B83630" w:rsidRPr="0015116B">
        <w:t>% (6</w:t>
      </w:r>
      <w:r w:rsidR="00EF16A9" w:rsidRPr="0015116B">
        <w:t>54</w:t>
      </w:r>
      <w:r w:rsidR="00B83630" w:rsidRPr="0015116B">
        <w:t xml:space="preserve"> t) had been taken in the eastern area. Prior to the closures, the retained catch averaged 770 t per year between 2005/06-2009/10.</w:t>
      </w:r>
      <w:r w:rsidR="00E35203" w:rsidRPr="0015116B">
        <w:t xml:space="preserve"> </w:t>
      </w:r>
      <w:r w:rsidR="0059564A" w:rsidRPr="0015116B">
        <w:t>In 2014</w:t>
      </w:r>
      <w:r w:rsidR="00E35203" w:rsidRPr="0015116B">
        <w:t xml:space="preserve">, TAC was set at 6,625,000 </w:t>
      </w:r>
      <w:proofErr w:type="spellStart"/>
      <w:r w:rsidR="00E35203" w:rsidRPr="0015116B">
        <w:t>lbs</w:t>
      </w:r>
      <w:proofErr w:type="spellEnd"/>
      <w:r w:rsidR="00E35203" w:rsidRPr="0015116B">
        <w:t xml:space="preserve"> (</w:t>
      </w:r>
      <w:r w:rsidR="0059564A" w:rsidRPr="0015116B">
        <w:t>3,005</w:t>
      </w:r>
      <w:r w:rsidR="00E35203" w:rsidRPr="0015116B">
        <w:t xml:space="preserve"> t) for the area west of 166</w:t>
      </w:r>
      <w:r w:rsidR="00E35203" w:rsidRPr="0015116B">
        <w:rPr>
          <w:vertAlign w:val="superscript"/>
        </w:rPr>
        <w:t>o</w:t>
      </w:r>
      <w:r w:rsidR="00E35203" w:rsidRPr="0015116B">
        <w:t xml:space="preserve"> W and at 8,480,000 </w:t>
      </w:r>
      <w:proofErr w:type="spellStart"/>
      <w:r w:rsidR="00E35203" w:rsidRPr="0015116B">
        <w:t>lbs</w:t>
      </w:r>
      <w:proofErr w:type="spellEnd"/>
      <w:r w:rsidR="00E35203" w:rsidRPr="0015116B">
        <w:t xml:space="preserve"> (3,8</w:t>
      </w:r>
      <w:r w:rsidR="0059564A" w:rsidRPr="0015116B">
        <w:t>46</w:t>
      </w:r>
      <w:r w:rsidR="00E35203" w:rsidRPr="0015116B">
        <w:t xml:space="preserve"> t) for the area east of 166</w:t>
      </w:r>
      <w:r w:rsidR="00E35203" w:rsidRPr="0015116B">
        <w:rPr>
          <w:vertAlign w:val="superscript"/>
        </w:rPr>
        <w:t>o</w:t>
      </w:r>
      <w:r w:rsidR="00E35203" w:rsidRPr="0015116B">
        <w:t xml:space="preserve"> W. On closing, 77.5% (2,32</w:t>
      </w:r>
      <w:r w:rsidR="0059564A" w:rsidRPr="0015116B">
        <w:t>9</w:t>
      </w:r>
      <w:r w:rsidR="00E35203" w:rsidRPr="0015116B">
        <w:t xml:space="preserve"> t) of the TAC was taken in the western area while 99.6% (3,829 t) were taken in the eastern area.</w:t>
      </w:r>
      <w:r w:rsidR="0059564A" w:rsidRPr="0015116B">
        <w:t xml:space="preserve"> In 2015, TAC was set at 8,396,000 </w:t>
      </w:r>
      <w:proofErr w:type="spellStart"/>
      <w:r w:rsidR="0059564A" w:rsidRPr="0015116B">
        <w:t>lbs</w:t>
      </w:r>
      <w:proofErr w:type="spellEnd"/>
      <w:r w:rsidR="0059564A" w:rsidRPr="0015116B">
        <w:t xml:space="preserve"> (3,808 t) in the western area and 11,272,000 </w:t>
      </w:r>
      <w:proofErr w:type="spellStart"/>
      <w:r w:rsidR="0059564A" w:rsidRPr="0015116B">
        <w:t>lbs</w:t>
      </w:r>
      <w:proofErr w:type="spellEnd"/>
      <w:r w:rsidR="0059564A" w:rsidRPr="0015116B">
        <w:t xml:space="preserve"> (5,113 t) in the eastern area. On closing, essentially 100% of the TAC was taken in each area (3,798 t in the west, 5,111 t in the east).</w:t>
      </w:r>
      <w:r w:rsidR="000A5D93" w:rsidRPr="0015116B">
        <w:t xml:space="preserve"> The total retained catch in 2015/16 (8,910 t) was the largest taken in the fishery since 1992/93 (Tables 1, 2; Fig</w:t>
      </w:r>
      <w:r w:rsidR="00474D50" w:rsidRPr="0015116B">
        <w:t>ure</w:t>
      </w:r>
      <w:r w:rsidR="00203CAD" w:rsidRPr="0015116B">
        <w:t>s</w:t>
      </w:r>
      <w:r w:rsidR="000A5D93" w:rsidRPr="0015116B">
        <w:t xml:space="preserve"> </w:t>
      </w:r>
      <w:r w:rsidR="009A24EB" w:rsidRPr="0015116B">
        <w:fldChar w:fldCharType="begin"/>
      </w:r>
      <w:r w:rsidR="009A24EB" w:rsidRPr="0015116B">
        <w:instrText xml:space="preserve"> SEQ FigNum\# "0"\r 4 \* MERGEFORMAT </w:instrText>
      </w:r>
      <w:r w:rsidR="009A24EB" w:rsidRPr="0015116B">
        <w:fldChar w:fldCharType="separate"/>
      </w:r>
      <w:r w:rsidR="009A24EB" w:rsidRPr="0015116B">
        <w:rPr>
          <w:b/>
          <w:bCs/>
          <w:noProof/>
        </w:rPr>
        <w:t>4</w:t>
      </w:r>
      <w:r w:rsidR="009A24EB" w:rsidRPr="0015116B">
        <w:fldChar w:fldCharType="end"/>
      </w:r>
      <w:r w:rsidR="00203CAD" w:rsidRPr="0015116B">
        <w:t xml:space="preserve"> and </w:t>
      </w:r>
      <w:r w:rsidR="009A24EB" w:rsidRPr="0015116B">
        <w:fldChar w:fldCharType="begin"/>
      </w:r>
      <w:r w:rsidR="009A24EB" w:rsidRPr="0015116B">
        <w:instrText xml:space="preserve"> SEQ FigNum\# "0" \* MERGEFORMAT </w:instrText>
      </w:r>
      <w:r w:rsidR="009A24EB" w:rsidRPr="0015116B">
        <w:fldChar w:fldCharType="separate"/>
      </w:r>
      <w:r w:rsidR="009A24EB" w:rsidRPr="0015116B">
        <w:rPr>
          <w:noProof/>
        </w:rPr>
        <w:t>5</w:t>
      </w:r>
      <w:r w:rsidR="009A24EB" w:rsidRPr="0015116B">
        <w:fldChar w:fldCharType="end"/>
      </w:r>
      <w:r w:rsidR="000A5D93" w:rsidRPr="0015116B">
        <w:t xml:space="preserve">). </w:t>
      </w:r>
      <w:r w:rsidR="0065769E" w:rsidRPr="0015116B">
        <w:t xml:space="preserve">The directed fisheries in both areas were closed in 2016/17 because mature female biomass in the </w:t>
      </w:r>
      <w:r w:rsidR="00474D50" w:rsidRPr="0015116B">
        <w:t>NMFS EBS Bottom Trawl S</w:t>
      </w:r>
      <w:r w:rsidR="0065769E" w:rsidRPr="0015116B">
        <w:t>urvey did not exceed the threshold set in the SOA’s harvest strategy to allow them to open. Total retained catch was thus 0 in 2016/17.</w:t>
      </w:r>
      <w:r w:rsidR="00A66D10" w:rsidRPr="0015116B">
        <w:t xml:space="preserve"> In 2017/18, the SOA allowed a limited directed fishery west of 166</w:t>
      </w:r>
      <w:r w:rsidR="00A66D10" w:rsidRPr="0015116B">
        <w:rPr>
          <w:vertAlign w:val="superscript"/>
        </w:rPr>
        <w:t>o</w:t>
      </w:r>
      <w:r w:rsidR="00A66D10" w:rsidRPr="0015116B">
        <w:t>W longitude but closed the fishery east of 166</w:t>
      </w:r>
      <w:r w:rsidR="00A66D10" w:rsidRPr="0015116B">
        <w:rPr>
          <w:vertAlign w:val="superscript"/>
        </w:rPr>
        <w:t>o</w:t>
      </w:r>
      <w:r w:rsidR="00A66D10" w:rsidRPr="0015116B">
        <w:t>W. Essentially, the entire TAC (1,130 t) was taken in 2017/18.</w:t>
      </w:r>
      <w:r w:rsidR="003767DA" w:rsidRPr="0015116B">
        <w:t xml:space="preserve"> The 2018/19 season followed a similar pattern, with the directed fishery closed in the eastern area and open in the western area (with a TAC of </w:t>
      </w:r>
      <w:r w:rsidR="00523690" w:rsidRPr="0015116B">
        <w:t>1.106 thousand t</w:t>
      </w:r>
      <w:r w:rsidR="003767DA" w:rsidRPr="0015116B">
        <w:t>). The entire TAC was again harvested in 2018/19.</w:t>
      </w:r>
      <w:r w:rsidR="00511C26" w:rsidRPr="0015116B">
        <w:t xml:space="preserve"> The directed fisheries in both subdistricts were again closed in 2018/19 because the threshold </w:t>
      </w:r>
      <w:r w:rsidR="000F5978" w:rsidRPr="0015116B">
        <w:t>mature female biomass was not met.</w:t>
      </w:r>
    </w:p>
    <w:p w14:paraId="65059D52" w14:textId="65BBB004" w:rsidR="00943D31" w:rsidRPr="0015116B" w:rsidRDefault="00B83630" w:rsidP="00FF2CBA">
      <w:r w:rsidRPr="0015116B">
        <w:t xml:space="preserve">Bycatch </w:t>
      </w:r>
      <w:r w:rsidR="00FF2CBA" w:rsidRPr="0015116B">
        <w:t xml:space="preserve">and </w:t>
      </w:r>
      <w:r w:rsidRPr="0015116B">
        <w:t>discard</w:t>
      </w:r>
      <w:r w:rsidR="00FF2CBA" w:rsidRPr="0015116B">
        <w:t xml:space="preserve"> losses of Tanner crab originate from the directed pot fishery, non-directed snow crab and Bristol Bay red king crab pot fisheries, and the groundfish fisheries (Table </w:t>
      </w:r>
      <w:r w:rsidR="00F945EC" w:rsidRPr="0015116B">
        <w:t>3</w:t>
      </w:r>
      <w:r w:rsidR="00474D50" w:rsidRPr="0015116B">
        <w:t>;</w:t>
      </w:r>
      <w:r w:rsidR="00581083" w:rsidRPr="0015116B">
        <w:t xml:space="preserve"> Fig</w:t>
      </w:r>
      <w:r w:rsidR="00474D50" w:rsidRPr="0015116B">
        <w:t>ure</w:t>
      </w:r>
      <w:r w:rsidR="00A66D10" w:rsidRPr="0015116B">
        <w:t xml:space="preserve"> </w:t>
      </w:r>
      <w:r w:rsidR="009A24EB" w:rsidRPr="0015116B">
        <w:fldChar w:fldCharType="begin"/>
      </w:r>
      <w:r w:rsidR="009A24EB" w:rsidRPr="0015116B">
        <w:instrText xml:space="preserve"> SEQ FigNum\# "0" \* MERGEFORMAT </w:instrText>
      </w:r>
      <w:r w:rsidR="009A24EB" w:rsidRPr="0015116B">
        <w:fldChar w:fldCharType="separate"/>
      </w:r>
      <w:r w:rsidR="009A24EB" w:rsidRPr="0015116B">
        <w:rPr>
          <w:noProof/>
        </w:rPr>
        <w:t>6</w:t>
      </w:r>
      <w:r w:rsidR="009A24EB" w:rsidRPr="0015116B">
        <w:fldChar w:fldCharType="end"/>
      </w:r>
      <w:r w:rsidR="00943D31" w:rsidRPr="0015116B">
        <w:t xml:space="preserve">). </w:t>
      </w:r>
      <w:r w:rsidR="00A66D10" w:rsidRPr="0015116B">
        <w:t>Within the assessment model, b</w:t>
      </w:r>
      <w:r w:rsidR="00EF16A9" w:rsidRPr="0015116B">
        <w:t xml:space="preserve">ycatch estimates are converted to discard mortality using assumed handling mortality rates of 32.1% for bycatch in the crab fisheries and 80% for bycatch in the groundfish fisheries. </w:t>
      </w:r>
      <w:r w:rsidRPr="0015116B">
        <w:t>Bycatch was</w:t>
      </w:r>
      <w:r w:rsidR="00FF2CBA" w:rsidRPr="0015116B">
        <w:t xml:space="preserve"> persistently high during the early-1970s; a subsequent peak </w:t>
      </w:r>
      <w:r w:rsidR="00943D31" w:rsidRPr="0015116B">
        <w:t xml:space="preserve">occurred in the early-1990s. </w:t>
      </w:r>
      <w:r w:rsidR="00FF2CBA" w:rsidRPr="0015116B">
        <w:t>In the early-</w:t>
      </w:r>
      <w:r w:rsidR="00FF2CBA" w:rsidRPr="0015116B">
        <w:lastRenderedPageBreak/>
        <w:t>1970s, the groundfish fisheries contributed s</w:t>
      </w:r>
      <w:r w:rsidR="000F5978" w:rsidRPr="0015116B">
        <w:t>ubstantial</w:t>
      </w:r>
      <w:r w:rsidR="00FF2CBA" w:rsidRPr="0015116B">
        <w:t>ly to total bycatch losses</w:t>
      </w:r>
      <w:r w:rsidR="000A5D93" w:rsidRPr="0015116B">
        <w:t xml:space="preserve"> (although bycatch in the crab fisheries was undocumented at the time)</w:t>
      </w:r>
      <w:r w:rsidR="00420E50" w:rsidRPr="0015116B">
        <w:t>.</w:t>
      </w:r>
      <w:r w:rsidR="00EF16A9" w:rsidRPr="0015116B">
        <w:t xml:space="preserve"> From 1992/93 (when reliable crab fishery bycatch estimates are </w:t>
      </w:r>
      <w:r w:rsidR="003767DA" w:rsidRPr="0015116B">
        <w:t xml:space="preserve">considered to be </w:t>
      </w:r>
      <w:r w:rsidR="00EF16A9" w:rsidRPr="0015116B">
        <w:t>first available) to 2004/05, the groundfish fisheries accounted for the largest proportion of discard mortality. Since 2005/06, however, the crab fisheries have accounted for the largest proportion.</w:t>
      </w:r>
    </w:p>
    <w:p w14:paraId="237132A0" w14:textId="77777777" w:rsidR="00435BF8" w:rsidRPr="0015116B" w:rsidRDefault="00332D46" w:rsidP="00366BB6">
      <w:pPr>
        <w:pStyle w:val="Heading1"/>
      </w:pPr>
      <w:r w:rsidRPr="0015116B">
        <w:t>D</w:t>
      </w:r>
      <w:r w:rsidR="00366BB6" w:rsidRPr="0015116B">
        <w:t xml:space="preserve">. </w:t>
      </w:r>
      <w:r w:rsidR="00435BF8" w:rsidRPr="0015116B">
        <w:t>Data</w:t>
      </w:r>
    </w:p>
    <w:p w14:paraId="1B7E4A49" w14:textId="4C3E49C2" w:rsidR="001D4B83" w:rsidRPr="0015116B" w:rsidRDefault="00B36A8F" w:rsidP="002D3C0C">
      <w:r w:rsidRPr="0015116B">
        <w:t xml:space="preserve">Data incorporated into the Tanner crab assessment this year include: 1) annual abundance, biomass and size composition data </w:t>
      </w:r>
      <w:r w:rsidR="00C569F7" w:rsidRPr="0015116B">
        <w:t>collected by crab fishery observers</w:t>
      </w:r>
      <w:r w:rsidRPr="0015116B">
        <w:t xml:space="preserve"> for Tanner crab retained in the directed fisheries and taken as bycatch in the directed and</w:t>
      </w:r>
      <w:r w:rsidR="00C569F7" w:rsidRPr="0015116B">
        <w:t xml:space="preserve"> other (snow crab, Bristol Bay red king crab) fisheries</w:t>
      </w:r>
      <w:r w:rsidR="00974035" w:rsidRPr="0015116B">
        <w:t xml:space="preserve"> provided by ADFG</w:t>
      </w:r>
      <w:r w:rsidR="00C569F7" w:rsidRPr="0015116B">
        <w:t xml:space="preserve">; 2) annual abundance, biomass, and size composition data collected by groundfish fishery observers for bycatch in the groundfish fisheries provided by AFSC’s Fisheries Monitoring and Analysis Division and the NMFS Alaska Regional Office (and hosted by AKFIN); </w:t>
      </w:r>
      <w:r w:rsidR="00974035" w:rsidRPr="0015116B">
        <w:t xml:space="preserve">3) </w:t>
      </w:r>
      <w:r w:rsidR="00107AD3" w:rsidRPr="0015116B">
        <w:t xml:space="preserve">limited </w:t>
      </w:r>
      <w:r w:rsidR="00974035" w:rsidRPr="0015116B">
        <w:t xml:space="preserve">historical (pre-1990) data on </w:t>
      </w:r>
      <w:r w:rsidR="00107AD3" w:rsidRPr="0015116B">
        <w:t>annual abundance, biomass, and size compositions for Tanner crab retained in the foreign (1965-1980) and domestic (1968-1989) crab fisheries or taken as bycatch in the groundfish fisheries (1973-1990); 4</w:t>
      </w:r>
      <w:r w:rsidR="00C569F7" w:rsidRPr="0015116B">
        <w:t>) annual abundance, biomass and size composition data</w:t>
      </w:r>
      <w:r w:rsidR="00974035" w:rsidRPr="0015116B">
        <w:t>, as well as limited year-specific male maturity ogives,</w:t>
      </w:r>
      <w:r w:rsidR="00C569F7" w:rsidRPr="0015116B">
        <w:t xml:space="preserve"> from the NMFS EBS shelf bottom trawl survey; </w:t>
      </w:r>
      <w:r w:rsidR="00107AD3" w:rsidRPr="0015116B">
        <w:t>5</w:t>
      </w:r>
      <w:r w:rsidR="00C569F7" w:rsidRPr="0015116B">
        <w:t>) abundance</w:t>
      </w:r>
      <w:r w:rsidR="00974035" w:rsidRPr="0015116B">
        <w:t xml:space="preserve">, biomass, and size composition data from BSFRF/NMFS cooperative side-by-side trawl studies; and </w:t>
      </w:r>
      <w:r w:rsidR="00107AD3" w:rsidRPr="0015116B">
        <w:t>6</w:t>
      </w:r>
      <w:r w:rsidR="00974035" w:rsidRPr="0015116B">
        <w:t>) molt increment data from NMFS/ADFG/ BSFRF cooperative studies.</w:t>
      </w:r>
    </w:p>
    <w:p w14:paraId="09705E1F" w14:textId="77777777" w:rsidR="0091581E" w:rsidRPr="0015116B" w:rsidRDefault="0091581E" w:rsidP="0091581E">
      <w:pPr>
        <w:pStyle w:val="Heading3"/>
      </w:pPr>
      <w:r w:rsidRPr="0015116B">
        <w:t>1. Summary of new information</w:t>
      </w:r>
    </w:p>
    <w:p w14:paraId="4A5EF3F1" w14:textId="5C45B29B" w:rsidR="006202A8" w:rsidRPr="0015116B" w:rsidRDefault="00E3564A" w:rsidP="00474D50">
      <w:r w:rsidRPr="0015116B">
        <w:t>In general, incidental retained catch of Tanner crab in the snow crab and BBRKC fisheries has been very small compared with that from the directed fishery and continues to be “lumped” with that for the directed fishery. However, i</w:t>
      </w:r>
      <w:r w:rsidR="00107AD3" w:rsidRPr="0015116B">
        <w:t>n 2019/20</w:t>
      </w:r>
      <w:r w:rsidRPr="0015116B">
        <w:t xml:space="preserve"> </w:t>
      </w:r>
      <w:r w:rsidR="00107AD3" w:rsidRPr="0015116B">
        <w:t>the directed Tanner crab fisheries</w:t>
      </w:r>
      <w:r w:rsidRPr="0015116B">
        <w:t xml:space="preserve"> </w:t>
      </w:r>
      <w:r w:rsidR="00107AD3" w:rsidRPr="0015116B">
        <w:t>were closed</w:t>
      </w:r>
      <w:r w:rsidRPr="0015116B">
        <w:t xml:space="preserve"> by ADFG and incidentally-retained catch in the snow crab and BBRKC fisheries amounted to less than 50 kg—this small amount was not included in the assessment.</w:t>
      </w:r>
      <w:r w:rsidR="00A37844" w:rsidRPr="0015116B">
        <w:t xml:space="preserve"> </w:t>
      </w:r>
      <w:r w:rsidR="00A16ACF" w:rsidRPr="0015116B">
        <w:t xml:space="preserve">ADFG </w:t>
      </w:r>
      <w:r w:rsidR="00A37844" w:rsidRPr="0015116B">
        <w:t xml:space="preserve">also </w:t>
      </w:r>
      <w:r w:rsidR="00A16ACF" w:rsidRPr="0015116B">
        <w:t xml:space="preserve">provided updated values for total catch </w:t>
      </w:r>
      <w:r w:rsidR="001B043C" w:rsidRPr="0015116B">
        <w:t xml:space="preserve">of Tanner crab </w:t>
      </w:r>
      <w:r w:rsidR="00A16ACF" w:rsidRPr="0015116B">
        <w:t>in the crab fisheries for 201</w:t>
      </w:r>
      <w:r w:rsidR="001B043C" w:rsidRPr="0015116B">
        <w:t>8/19</w:t>
      </w:r>
      <w:r w:rsidR="00A16ACF" w:rsidRPr="0015116B">
        <w:t xml:space="preserve"> and new values for 201</w:t>
      </w:r>
      <w:r w:rsidR="001B043C" w:rsidRPr="0015116B">
        <w:t>9</w:t>
      </w:r>
      <w:r w:rsidR="00A37844" w:rsidRPr="0015116B">
        <w:t>/</w:t>
      </w:r>
      <w:r w:rsidR="001B043C" w:rsidRPr="0015116B">
        <w:t>20</w:t>
      </w:r>
      <w:r w:rsidR="00A16ACF" w:rsidRPr="0015116B">
        <w:t>.</w:t>
      </w:r>
    </w:p>
    <w:p w14:paraId="2A436D7E" w14:textId="1BBD8BF5" w:rsidR="00F74E74" w:rsidRPr="0015116B" w:rsidRDefault="00474D50" w:rsidP="00F74E74">
      <w:r w:rsidRPr="0015116B">
        <w:t>Tanner crab bycatch data in the groundfish fisheries (</w:t>
      </w:r>
      <w:r w:rsidR="005424CC" w:rsidRPr="0015116B">
        <w:t xml:space="preserve">abundance, </w:t>
      </w:r>
      <w:r w:rsidRPr="0015116B">
        <w:t xml:space="preserve">biomass, size compositions) were extracted for </w:t>
      </w:r>
      <w:r w:rsidR="00E7566B" w:rsidRPr="0015116B">
        <w:t>1991/92-201</w:t>
      </w:r>
      <w:r w:rsidR="00081D98" w:rsidRPr="0015116B">
        <w:t>8</w:t>
      </w:r>
      <w:r w:rsidR="00E7566B" w:rsidRPr="0015116B">
        <w:t>/1</w:t>
      </w:r>
      <w:r w:rsidR="00081D98" w:rsidRPr="0015116B">
        <w:t>9</w:t>
      </w:r>
      <w:r w:rsidRPr="0015116B">
        <w:t xml:space="preserve"> from the groundfish observer and </w:t>
      </w:r>
      <w:r w:rsidR="005424CC" w:rsidRPr="0015116B">
        <w:t xml:space="preserve">AKRO databases on </w:t>
      </w:r>
      <w:r w:rsidRPr="0015116B">
        <w:t>AKFIN.</w:t>
      </w:r>
      <w:r w:rsidR="00F74E74" w:rsidRPr="0015116B">
        <w:t xml:space="preserve"> Although the bycatch data in the groundfish fisheries is available by gear type, all model scenarios examined here fit the data aggregated over gear types.</w:t>
      </w:r>
      <w:r w:rsidR="005424CC" w:rsidRPr="0015116B">
        <w:t xml:space="preserve"> </w:t>
      </w:r>
      <w:r w:rsidR="001B043C" w:rsidRPr="0015116B">
        <w:t xml:space="preserve">There were </w:t>
      </w:r>
      <w:r w:rsidR="00F74E74" w:rsidRPr="0015116B">
        <w:t xml:space="preserve">relatively small </w:t>
      </w:r>
      <w:r w:rsidR="001B043C" w:rsidRPr="0015116B">
        <w:t>di</w:t>
      </w:r>
      <w:r w:rsidR="00A37844" w:rsidRPr="0015116B">
        <w:t>fferences</w:t>
      </w:r>
      <w:r w:rsidR="001B043C" w:rsidRPr="0015116B">
        <w:t xml:space="preserve"> for estimates of total bycatch abundance and biomass between results provided by AKFIN last year and those provided this year for 2016/17, 2017/18, and 2018/19 due to a change in the algorithms AKFIN used to expand observed catch to total catch to align them with those used by the </w:t>
      </w:r>
      <w:r w:rsidR="00A37844" w:rsidRPr="0015116B">
        <w:t xml:space="preserve">NMFS Alaska </w:t>
      </w:r>
      <w:r w:rsidR="001B043C" w:rsidRPr="0015116B">
        <w:t>Regional Office</w:t>
      </w:r>
      <w:r w:rsidR="00A37844" w:rsidRPr="0015116B">
        <w:t xml:space="preserve"> to estimate Prohibited Species Catch</w:t>
      </w:r>
      <w:r w:rsidR="00203CAD" w:rsidRPr="0015116B">
        <w:t xml:space="preserve"> (Figure 7)</w:t>
      </w:r>
      <w:r w:rsidR="001B043C" w:rsidRPr="0015116B">
        <w:t>.</w:t>
      </w:r>
      <w:r w:rsidR="00203CAD" w:rsidRPr="0015116B">
        <w:t xml:space="preserve"> </w:t>
      </w:r>
      <w:r w:rsidR="00F74E74" w:rsidRPr="0015116B">
        <w:t>The effects of the changes were relatively minor, as shown in the following table:</w:t>
      </w:r>
    </w:p>
    <w:p w14:paraId="7E2B921C" w14:textId="19D69758" w:rsidR="00975A98" w:rsidRPr="0015116B" w:rsidRDefault="00975A98" w:rsidP="00975A98">
      <w:pPr>
        <w:pStyle w:val="CaptionForTable"/>
      </w:pPr>
      <w:r w:rsidRPr="0015116B">
        <w:t>Table. Comparison of management-related quantities to show the effects of the revised estimates for Tanner crab bycatch in the groundfish fisheries for 2016/17-2018/19.</w:t>
      </w:r>
    </w:p>
    <w:p w14:paraId="2A4069FB" w14:textId="45DF9DB5" w:rsidR="00F74E74" w:rsidRPr="0015116B" w:rsidRDefault="00975A98" w:rsidP="00F74E74">
      <w:r w:rsidRPr="0015116B">
        <w:rPr>
          <w:noProof/>
        </w:rPr>
        <w:drawing>
          <wp:inline distT="0" distB="0" distL="0" distR="0" wp14:anchorId="220B4CDD" wp14:editId="5AC154D0">
            <wp:extent cx="5943600" cy="9258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943600" cy="925830"/>
                    </a:xfrm>
                    <a:prstGeom prst="rect">
                      <a:avLst/>
                    </a:prstGeom>
                  </pic:spPr>
                </pic:pic>
              </a:graphicData>
            </a:graphic>
          </wp:inline>
        </w:drawing>
      </w:r>
    </w:p>
    <w:p w14:paraId="7A667BB7" w14:textId="602127FD" w:rsidR="00834697" w:rsidRPr="0015116B" w:rsidRDefault="001B043C" w:rsidP="00171B3D">
      <w:r w:rsidRPr="0015116B">
        <w:t>The scheduled 2020 NMFS EBS shelf bottom trawl survey was cancelled this year due to safety concerns associated with the COVID-19 pandemic. Thus, no new survey data was available.</w:t>
      </w:r>
      <w:r w:rsidR="00DE4A70" w:rsidRPr="0015116B">
        <w:t xml:space="preserve"> In addition, no new molt increment or maturity ogive data was available to incorporate into the assessment. </w:t>
      </w:r>
    </w:p>
    <w:p w14:paraId="2DE64334" w14:textId="77777777" w:rsidR="00171B3D" w:rsidRPr="0015116B" w:rsidRDefault="00171B3D" w:rsidP="00171B3D">
      <w:r w:rsidRPr="0015116B">
        <w:lastRenderedPageBreak/>
        <w:t>The following table summarizes data sources that have been updated for this assessment:</w:t>
      </w:r>
    </w:p>
    <w:p w14:paraId="0B584608" w14:textId="05482978" w:rsidR="00A37844" w:rsidRPr="0015116B" w:rsidRDefault="00975A98" w:rsidP="00A37844">
      <w:pPr>
        <w:pStyle w:val="SummaryTableCaption"/>
      </w:pPr>
      <w:r w:rsidRPr="0015116B">
        <w:t>Table. D</w:t>
      </w:r>
      <w:r w:rsidR="00A37844" w:rsidRPr="0015116B">
        <w:t>ata sources</w:t>
      </w:r>
      <w:r w:rsidRPr="0015116B">
        <w:t xml:space="preserve"> updated for 2019/20</w:t>
      </w:r>
      <w:r w:rsidR="00A37844" w:rsidRPr="0015116B">
        <w:t>.</w:t>
      </w:r>
    </w:p>
    <w:p w14:paraId="54835727" w14:textId="77777777" w:rsidR="00A37844" w:rsidRPr="0015116B" w:rsidRDefault="00A37844" w:rsidP="00A37844">
      <w:r w:rsidRPr="0015116B">
        <w:rPr>
          <w:noProof/>
        </w:rPr>
        <w:drawing>
          <wp:inline distT="0" distB="0" distL="0" distR="0" wp14:anchorId="4DB3607D" wp14:editId="758975C5">
            <wp:extent cx="5943600" cy="41591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943600" cy="4159134"/>
                    </a:xfrm>
                    <a:prstGeom prst="rect">
                      <a:avLst/>
                    </a:prstGeom>
                    <a:noFill/>
                    <a:ln>
                      <a:noFill/>
                    </a:ln>
                  </pic:spPr>
                </pic:pic>
              </a:graphicData>
            </a:graphic>
          </wp:inline>
        </w:drawing>
      </w:r>
    </w:p>
    <w:p w14:paraId="10329DE3" w14:textId="5BEE3D12" w:rsidR="00B06C73" w:rsidRPr="0015116B" w:rsidRDefault="00B06C73" w:rsidP="00A15FBE"/>
    <w:p w14:paraId="579A4688" w14:textId="77777777" w:rsidR="00186C80" w:rsidRPr="0015116B" w:rsidRDefault="00186C80" w:rsidP="00186C80">
      <w:pPr>
        <w:sectPr w:rsidR="00186C80" w:rsidRPr="0015116B" w:rsidSect="0074425D">
          <w:footerReference w:type="even" r:id="rId12"/>
          <w:footerReference w:type="default" r:id="rId13"/>
          <w:pgSz w:w="12240" w:h="15840"/>
          <w:pgMar w:top="1440" w:right="1440" w:bottom="1440" w:left="1440" w:header="720" w:footer="720" w:gutter="0"/>
          <w:cols w:space="720"/>
          <w:titlePg/>
          <w:docGrid w:linePitch="360"/>
        </w:sectPr>
      </w:pPr>
    </w:p>
    <w:p w14:paraId="7865156F" w14:textId="30662ACE" w:rsidR="00186C80" w:rsidRPr="0015116B" w:rsidRDefault="00186C80" w:rsidP="00171B3D">
      <w:r w:rsidRPr="0015116B">
        <w:lastRenderedPageBreak/>
        <w:t>The following table summarizes the</w:t>
      </w:r>
      <w:r w:rsidR="00975A98" w:rsidRPr="0015116B">
        <w:t xml:space="preserve"> data coverage in the assessment</w:t>
      </w:r>
      <w:r w:rsidRPr="0015116B">
        <w:t>:</w:t>
      </w:r>
    </w:p>
    <w:p w14:paraId="05C60C18" w14:textId="5A84DF53" w:rsidR="00975A98" w:rsidRPr="0015116B" w:rsidRDefault="00975A98" w:rsidP="00975A98">
      <w:pPr>
        <w:pStyle w:val="CaptionForTable"/>
      </w:pPr>
      <w:r w:rsidRPr="0015116B">
        <w:t>Table. Data coverage in the assessment model (color shading highlights different model time periods and data components, x’s denote new data).</w:t>
      </w:r>
    </w:p>
    <w:p w14:paraId="1FFF548E" w14:textId="7C9FC4D3" w:rsidR="006C0625" w:rsidRPr="0015116B" w:rsidRDefault="006C0625" w:rsidP="00171B3D">
      <w:pPr>
        <w:sectPr w:rsidR="006C0625" w:rsidRPr="0015116B" w:rsidSect="00186C80">
          <w:pgSz w:w="15840" w:h="12240" w:orient="landscape"/>
          <w:pgMar w:top="1440" w:right="1440" w:bottom="1440" w:left="1440" w:header="720" w:footer="720" w:gutter="0"/>
          <w:cols w:space="720"/>
          <w:titlePg/>
          <w:docGrid w:linePitch="360"/>
        </w:sectPr>
      </w:pPr>
      <w:r w:rsidRPr="0015116B">
        <w:rPr>
          <w:noProof/>
        </w:rPr>
        <w:drawing>
          <wp:inline distT="0" distB="0" distL="0" distR="0" wp14:anchorId="5D96E891" wp14:editId="484302A0">
            <wp:extent cx="8229600" cy="417822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8229600" cy="4178228"/>
                    </a:xfrm>
                    <a:prstGeom prst="rect">
                      <a:avLst/>
                    </a:prstGeom>
                    <a:noFill/>
                    <a:ln>
                      <a:noFill/>
                    </a:ln>
                  </pic:spPr>
                </pic:pic>
              </a:graphicData>
            </a:graphic>
          </wp:inline>
        </w:drawing>
      </w:r>
    </w:p>
    <w:p w14:paraId="204B6A93" w14:textId="77777777" w:rsidR="00435BF8" w:rsidRPr="0015116B" w:rsidRDefault="00366BB6" w:rsidP="00366BB6">
      <w:pPr>
        <w:pStyle w:val="Heading3"/>
      </w:pPr>
      <w:r w:rsidRPr="0015116B">
        <w:lastRenderedPageBreak/>
        <w:t xml:space="preserve">2. </w:t>
      </w:r>
      <w:r w:rsidR="00435BF8" w:rsidRPr="0015116B">
        <w:t>Data presented as time series</w:t>
      </w:r>
    </w:p>
    <w:p w14:paraId="08444054" w14:textId="75EA520E" w:rsidR="00541B1C" w:rsidRPr="0015116B" w:rsidRDefault="00541B1C" w:rsidP="00541B1C">
      <w:r w:rsidRPr="0015116B">
        <w:t xml:space="preserve">For the data presented in this document, the convention is that ‘year’ refers to the year in which the NMFS bottom trawl survey was conducted (nominally July 1, </w:t>
      </w:r>
      <w:proofErr w:type="spellStart"/>
      <w:r w:rsidRPr="0015116B">
        <w:t>yyyy</w:t>
      </w:r>
      <w:proofErr w:type="spellEnd"/>
      <w:r w:rsidRPr="0015116B">
        <w:t xml:space="preserve">), and fishery data are those subsequent to the survey (July 1, </w:t>
      </w:r>
      <w:proofErr w:type="spellStart"/>
      <w:r w:rsidRPr="0015116B">
        <w:t>yyyy</w:t>
      </w:r>
      <w:proofErr w:type="spellEnd"/>
      <w:r w:rsidRPr="0015116B">
        <w:t xml:space="preserve"> to June 30, yyyy+1)--e.g., 20</w:t>
      </w:r>
      <w:r w:rsidR="000D23AD" w:rsidRPr="0015116B">
        <w:t>15</w:t>
      </w:r>
      <w:r w:rsidRPr="0015116B">
        <w:t>/</w:t>
      </w:r>
      <w:r w:rsidR="000D23AD" w:rsidRPr="0015116B">
        <w:t>16</w:t>
      </w:r>
      <w:r w:rsidRPr="0015116B">
        <w:t xml:space="preserve"> indicates the 20</w:t>
      </w:r>
      <w:r w:rsidR="000D23AD" w:rsidRPr="0015116B">
        <w:t>15</w:t>
      </w:r>
      <w:r w:rsidRPr="0015116B">
        <w:t xml:space="preserve"> bottom trawl survey and the winter 20</w:t>
      </w:r>
      <w:r w:rsidR="000D23AD" w:rsidRPr="0015116B">
        <w:t>15</w:t>
      </w:r>
      <w:r w:rsidRPr="0015116B">
        <w:t>/</w:t>
      </w:r>
      <w:r w:rsidR="000D23AD" w:rsidRPr="0015116B">
        <w:t>16</w:t>
      </w:r>
      <w:r w:rsidRPr="0015116B">
        <w:t xml:space="preserve"> fishery. </w:t>
      </w:r>
    </w:p>
    <w:p w14:paraId="3D648F76" w14:textId="5728552F" w:rsidR="00435BF8" w:rsidRPr="0015116B" w:rsidRDefault="00332D46" w:rsidP="00332D46">
      <w:pPr>
        <w:pStyle w:val="Heading4"/>
      </w:pPr>
      <w:r w:rsidRPr="0015116B">
        <w:t xml:space="preserve">a. </w:t>
      </w:r>
      <w:r w:rsidR="00E870FF" w:rsidRPr="0015116B">
        <w:t>Retained</w:t>
      </w:r>
      <w:r w:rsidR="00E83EF6" w:rsidRPr="0015116B">
        <w:t xml:space="preserve"> catch</w:t>
      </w:r>
    </w:p>
    <w:p w14:paraId="55E07D81" w14:textId="39A8E9B3" w:rsidR="00BE3A4C" w:rsidRPr="0015116B" w:rsidRDefault="00400777" w:rsidP="00BE3A4C">
      <w:r w:rsidRPr="0015116B">
        <w:t>Retained catch in the directed fisheries for Tanner crab conducted by the foreign fisheries (Japan and Russia) and the domest</w:t>
      </w:r>
      <w:r w:rsidR="00581083" w:rsidRPr="0015116B">
        <w:t xml:space="preserve">ic fleet, starting in 1965/66, </w:t>
      </w:r>
      <w:r w:rsidRPr="0015116B">
        <w:t xml:space="preserve">is presented in Table </w:t>
      </w:r>
      <w:r w:rsidR="000D23AD" w:rsidRPr="0015116B">
        <w:t>1</w:t>
      </w:r>
      <w:r w:rsidR="00CB68DC" w:rsidRPr="0015116B">
        <w:t xml:space="preserve"> </w:t>
      </w:r>
      <w:r w:rsidR="005424CC" w:rsidRPr="0015116B">
        <w:t>and Figure</w:t>
      </w:r>
      <w:r w:rsidR="00B12693" w:rsidRPr="0015116B">
        <w:t>s</w:t>
      </w:r>
      <w:r w:rsidR="005424CC" w:rsidRPr="0015116B">
        <w:t xml:space="preserve"> </w:t>
      </w:r>
      <w:r w:rsidR="000A0760" w:rsidRPr="0015116B">
        <w:t>4</w:t>
      </w:r>
      <w:r w:rsidR="00B12693" w:rsidRPr="0015116B">
        <w:t xml:space="preserve"> and </w:t>
      </w:r>
      <w:r w:rsidR="000A0760" w:rsidRPr="0015116B">
        <w:t>5</w:t>
      </w:r>
      <w:r w:rsidRPr="0015116B">
        <w:t xml:space="preserve"> by fishery year. More detailed information on retained catch in the directed domestic pot fishery is provided in Table </w:t>
      </w:r>
      <w:r w:rsidR="000D23AD" w:rsidRPr="0015116B">
        <w:t>2</w:t>
      </w:r>
      <w:r w:rsidRPr="0015116B">
        <w:t xml:space="preserve">, which lists total annual catches in </w:t>
      </w:r>
      <w:r w:rsidR="00E83EF6" w:rsidRPr="0015116B">
        <w:t>numbers of crab and biomass (</w:t>
      </w:r>
      <w:r w:rsidR="00287B57" w:rsidRPr="0015116B">
        <w:t xml:space="preserve">in </w:t>
      </w:r>
      <w:proofErr w:type="spellStart"/>
      <w:r w:rsidR="00E83EF6" w:rsidRPr="0015116B">
        <w:t>lb</w:t>
      </w:r>
      <w:r w:rsidR="00287B57" w:rsidRPr="0015116B">
        <w:t>s</w:t>
      </w:r>
      <w:proofErr w:type="spellEnd"/>
      <w:r w:rsidRPr="0015116B">
        <w:t>), as well as the SOA’s Guideline Harvest Level (GHL) or Total Allowable Catch (TAC) , number of vessels participating in the directed fishery, and the fishery season. Information from the Community Development Quota (CDQ) is included in the totals starting in 2005/06.</w:t>
      </w:r>
    </w:p>
    <w:p w14:paraId="586F6556" w14:textId="58FF7B92" w:rsidR="00C15F38" w:rsidRPr="0015116B" w:rsidRDefault="00C15F38" w:rsidP="00BE3A4C">
      <w:r w:rsidRPr="0015116B">
        <w:t xml:space="preserve">Directed fisheries for Tanner crab in the EBS began in 1965. </w:t>
      </w:r>
      <w:r w:rsidR="007453C6" w:rsidRPr="0015116B">
        <w:t xml:space="preserve">Retained catch has followed a “boom-and-bust” cycle over the years, with the fishery experiencing periods of rapidly increasing catches followed by rapidly declining ones, after which it is closed for a time during which the stock partially recovers. </w:t>
      </w:r>
      <w:r w:rsidRPr="0015116B">
        <w:t xml:space="preserve">Retained catch increased rapidly from 1965 to 1975, reaching ~ 25,000 t in 1970. It declined to ~13,000 t in 1973/74 </w:t>
      </w:r>
      <w:r w:rsidR="007453C6" w:rsidRPr="0015116B">
        <w:t>coinciding with</w:t>
      </w:r>
      <w:r w:rsidRPr="0015116B">
        <w:t xml:space="preserve"> the termination of Russian fishing and the beginning of the domestic pot fishery</w:t>
      </w:r>
      <w:r w:rsidR="007453C6" w:rsidRPr="0015116B">
        <w:t>. I</w:t>
      </w:r>
      <w:r w:rsidRPr="0015116B">
        <w:t xml:space="preserve">t increased </w:t>
      </w:r>
      <w:r w:rsidR="007453C6" w:rsidRPr="0015116B">
        <w:t xml:space="preserve">again, this time </w:t>
      </w:r>
      <w:r w:rsidRPr="0015116B">
        <w:t xml:space="preserve">to </w:t>
      </w:r>
      <w:r w:rsidR="007453C6" w:rsidRPr="0015116B">
        <w:t xml:space="preserve">its highest level, in 1977/78 (~35,000 t) as the domestic fishery developed rapidly, but it subsequently </w:t>
      </w:r>
      <w:proofErr w:type="gramStart"/>
      <w:r w:rsidR="007453C6" w:rsidRPr="0015116B">
        <w:t>declined</w:t>
      </w:r>
      <w:proofErr w:type="gramEnd"/>
      <w:r w:rsidR="007453C6" w:rsidRPr="0015116B">
        <w:t xml:space="preserve"> and the fishery was closed in 1985/86 and 1986/87.</w:t>
      </w:r>
      <w:r w:rsidRPr="0015116B">
        <w:t xml:space="preserve"> </w:t>
      </w:r>
      <w:r w:rsidR="007453C6" w:rsidRPr="0015116B">
        <w:t>In the late 1980s and early 1990s, the fishery experienced another, somewhat smaller, “boom” followed by a “bust” and closure of the fishery from 1997/98 to 200</w:t>
      </w:r>
      <w:r w:rsidR="008018B9" w:rsidRPr="0015116B">
        <w:t>4</w:t>
      </w:r>
      <w:r w:rsidR="007453C6" w:rsidRPr="0015116B">
        <w:t>/0</w:t>
      </w:r>
      <w:r w:rsidR="008018B9" w:rsidRPr="0015116B">
        <w:t>5</w:t>
      </w:r>
      <w:r w:rsidR="007453C6" w:rsidRPr="0015116B">
        <w:t>.</w:t>
      </w:r>
      <w:r w:rsidRPr="0015116B">
        <w:t xml:space="preserve"> </w:t>
      </w:r>
      <w:r w:rsidR="007453C6" w:rsidRPr="0015116B">
        <w:t>From 200</w:t>
      </w:r>
      <w:r w:rsidR="008018B9" w:rsidRPr="0015116B">
        <w:t>5</w:t>
      </w:r>
      <w:r w:rsidR="007453C6" w:rsidRPr="0015116B">
        <w:t>/0</w:t>
      </w:r>
      <w:r w:rsidR="008018B9" w:rsidRPr="0015116B">
        <w:t>6</w:t>
      </w:r>
      <w:r w:rsidR="007453C6" w:rsidRPr="0015116B">
        <w:t xml:space="preserve"> to 2009/10, the fishery experienced its smallest boom-and-bust cycle, peaking at only ~1,000 t retained catch, and was closed again from 2010/11 to 2012/13. The fishery was re-opened in 2013/14, and r</w:t>
      </w:r>
      <w:r w:rsidRPr="0015116B">
        <w:t xml:space="preserve">etained catch increased each </w:t>
      </w:r>
      <w:r w:rsidR="005424CC" w:rsidRPr="0015116B">
        <w:t>subsequent year</w:t>
      </w:r>
      <w:r w:rsidR="007453C6" w:rsidRPr="0015116B">
        <w:t xml:space="preserve"> </w:t>
      </w:r>
      <w:r w:rsidR="005424CC" w:rsidRPr="0015116B">
        <w:t xml:space="preserve">until 2016/17 </w:t>
      </w:r>
      <w:r w:rsidR="007453C6" w:rsidRPr="0015116B">
        <w:t>as TACs increased</w:t>
      </w:r>
      <w:r w:rsidR="0029085C" w:rsidRPr="0015116B">
        <w:t xml:space="preserve"> (Fig</w:t>
      </w:r>
      <w:r w:rsidR="005424CC" w:rsidRPr="0015116B">
        <w:t>ures</w:t>
      </w:r>
      <w:r w:rsidR="0029085C" w:rsidRPr="0015116B">
        <w:t xml:space="preserve"> </w:t>
      </w:r>
      <w:r w:rsidR="005424CC" w:rsidRPr="0015116B">
        <w:t>2 and</w:t>
      </w:r>
      <w:r w:rsidR="0029085C" w:rsidRPr="0015116B">
        <w:t xml:space="preserve"> </w:t>
      </w:r>
      <w:r w:rsidR="00B12693" w:rsidRPr="0015116B">
        <w:t>3</w:t>
      </w:r>
      <w:r w:rsidR="0029085C" w:rsidRPr="0015116B">
        <w:t>)</w:t>
      </w:r>
      <w:r w:rsidRPr="0015116B">
        <w:t>. The retained catch for 2015/16 (8,910 t) was the largest since 1992/1993 (15,920 t; Table 1).</w:t>
      </w:r>
      <w:r w:rsidR="005424CC" w:rsidRPr="0015116B">
        <w:t xml:space="preserve"> However, </w:t>
      </w:r>
      <w:r w:rsidR="00031172" w:rsidRPr="0015116B">
        <w:t xml:space="preserve">ADFG closed </w:t>
      </w:r>
      <w:r w:rsidR="00E870FF" w:rsidRPr="0015116B">
        <w:t>the directed fishery in both areas</w:t>
      </w:r>
      <w:r w:rsidR="005424CC" w:rsidRPr="0015116B">
        <w:t xml:space="preserve"> </w:t>
      </w:r>
      <w:r w:rsidR="00031172" w:rsidRPr="0015116B">
        <w:t>for</w:t>
      </w:r>
      <w:r w:rsidR="005424CC" w:rsidRPr="0015116B">
        <w:t xml:space="preserve"> the </w:t>
      </w:r>
      <w:r w:rsidR="00E4770D" w:rsidRPr="0015116B">
        <w:t xml:space="preserve">2016/17 </w:t>
      </w:r>
      <w:r w:rsidR="005424CC" w:rsidRPr="0015116B">
        <w:t xml:space="preserve">fishing season because mature female biomass in the 2016 NMFS EBS bottom trawl survey did not meet the </w:t>
      </w:r>
      <w:r w:rsidR="00E4770D" w:rsidRPr="0015116B">
        <w:t>SOA’s criteria for opening the fisheries.</w:t>
      </w:r>
      <w:r w:rsidR="00031172" w:rsidRPr="0015116B">
        <w:t xml:space="preserve"> In 2017/18, ADFG allowed the fishery to commence in the western area (TAC was set at 1,130 t) but was closed in the eastern area. The directed fishery essentially caught the entire TAC.</w:t>
      </w:r>
      <w:r w:rsidR="00834697" w:rsidRPr="0015116B">
        <w:t xml:space="preserve"> The 2018/19 fishery was similar to that in 2017/18 in that the eastern area was closed and the entire TAC (</w:t>
      </w:r>
      <w:r w:rsidR="00B658C7" w:rsidRPr="0015116B">
        <w:t>1,100 t</w:t>
      </w:r>
      <w:r w:rsidR="00834697" w:rsidRPr="0015116B">
        <w:t>) was taken west of 166</w:t>
      </w:r>
      <w:r w:rsidR="00834697" w:rsidRPr="0015116B">
        <w:rPr>
          <w:vertAlign w:val="superscript"/>
        </w:rPr>
        <w:t>o</w:t>
      </w:r>
      <w:r w:rsidR="00834697" w:rsidRPr="0015116B">
        <w:t>W longitude.</w:t>
      </w:r>
      <w:r w:rsidR="000A0760" w:rsidRPr="0015116B">
        <w:t xml:space="preserve"> In 2019/20, the directed fisheries in both areas were closed because mature female biomass failed to exceed the threshold to open the fisheries.</w:t>
      </w:r>
    </w:p>
    <w:p w14:paraId="203B9D53" w14:textId="77777777" w:rsidR="00435BF8" w:rsidRPr="0015116B" w:rsidRDefault="00332D46" w:rsidP="00332D46">
      <w:pPr>
        <w:pStyle w:val="Heading4"/>
      </w:pPr>
      <w:r w:rsidRPr="0015116B">
        <w:t xml:space="preserve">b. </w:t>
      </w:r>
      <w:r w:rsidR="00435BF8" w:rsidRPr="0015116B">
        <w:t>Information on bycatch a</w:t>
      </w:r>
      <w:r w:rsidR="00E83EF6" w:rsidRPr="0015116B">
        <w:t>nd discards</w:t>
      </w:r>
      <w:r w:rsidR="00435BF8" w:rsidRPr="0015116B">
        <w:t xml:space="preserve"> </w:t>
      </w:r>
    </w:p>
    <w:p w14:paraId="2A0F3C5D" w14:textId="582359DE" w:rsidR="00D3686C" w:rsidRPr="0015116B" w:rsidRDefault="00E870FF" w:rsidP="00D3686C">
      <w:r w:rsidRPr="0015116B">
        <w:t xml:space="preserve">Total </w:t>
      </w:r>
      <w:r w:rsidR="00A47AA2" w:rsidRPr="0015116B">
        <w:t>catch</w:t>
      </w:r>
      <w:r w:rsidRPr="0015116B">
        <w:t xml:space="preserve"> estimates for</w:t>
      </w:r>
      <w:r w:rsidR="00D3686C" w:rsidRPr="0015116B">
        <w:t xml:space="preserve"> Tanner crab</w:t>
      </w:r>
      <w:r w:rsidRPr="0015116B">
        <w:t xml:space="preserve"> in the directed Tanner crab, the snow crab, and the BBRKC fisheries</w:t>
      </w:r>
      <w:r w:rsidR="000D23AD" w:rsidRPr="0015116B">
        <w:t xml:space="preserve"> are provided</w:t>
      </w:r>
      <w:r w:rsidR="00D3686C" w:rsidRPr="0015116B">
        <w:t xml:space="preserve"> in Table </w:t>
      </w:r>
      <w:r w:rsidR="000A0760" w:rsidRPr="0015116B">
        <w:t>4</w:t>
      </w:r>
      <w:r w:rsidRPr="0015116B">
        <w:t xml:space="preserve"> </w:t>
      </w:r>
      <w:r w:rsidR="00D3686C" w:rsidRPr="0015116B">
        <w:t>and Fig</w:t>
      </w:r>
      <w:r w:rsidRPr="0015116B">
        <w:t>ure</w:t>
      </w:r>
      <w:r w:rsidR="00D3686C" w:rsidRPr="0015116B">
        <w:t xml:space="preserve"> </w:t>
      </w:r>
      <w:r w:rsidR="000A0760" w:rsidRPr="0015116B">
        <w:t>6</w:t>
      </w:r>
      <w:r w:rsidR="000E2B34" w:rsidRPr="0015116B">
        <w:t xml:space="preserve"> based on</w:t>
      </w:r>
      <w:r w:rsidR="00581083" w:rsidRPr="0015116B">
        <w:t xml:space="preserve"> </w:t>
      </w:r>
      <w:r w:rsidR="000D23AD" w:rsidRPr="0015116B">
        <w:t xml:space="preserve">ADFG </w:t>
      </w:r>
      <w:r w:rsidRPr="0015116B">
        <w:t xml:space="preserve">“at-sea” </w:t>
      </w:r>
      <w:r w:rsidR="00581083" w:rsidRPr="0015116B">
        <w:t>crab observer sampling</w:t>
      </w:r>
      <w:r w:rsidRPr="0015116B">
        <w:t xml:space="preserve"> starting in 199</w:t>
      </w:r>
      <w:r w:rsidR="006202A8" w:rsidRPr="0015116B">
        <w:t>0</w:t>
      </w:r>
      <w:r w:rsidRPr="0015116B">
        <w:t>/9</w:t>
      </w:r>
      <w:r w:rsidR="006202A8" w:rsidRPr="0015116B">
        <w:t>1</w:t>
      </w:r>
      <w:r w:rsidR="00D3686C" w:rsidRPr="0015116B">
        <w:t xml:space="preserve">. Annual </w:t>
      </w:r>
      <w:r w:rsidRPr="0015116B">
        <w:t>bycatch in</w:t>
      </w:r>
      <w:r w:rsidR="00D3686C" w:rsidRPr="0015116B">
        <w:t xml:space="preserve"> the groundfish fisheries</w:t>
      </w:r>
      <w:r w:rsidR="000D23AD" w:rsidRPr="0015116B">
        <w:t>, based on NMFS groundfish observer programs,</w:t>
      </w:r>
      <w:r w:rsidR="00D3686C" w:rsidRPr="0015116B">
        <w:t xml:space="preserve"> </w:t>
      </w:r>
      <w:r w:rsidRPr="0015116B">
        <w:t>is</w:t>
      </w:r>
      <w:r w:rsidR="00D3686C" w:rsidRPr="0015116B">
        <w:t xml:space="preserve"> also </w:t>
      </w:r>
      <w:r w:rsidRPr="0015116B">
        <w:t>available</w:t>
      </w:r>
      <w:r w:rsidR="00D3686C" w:rsidRPr="0015116B">
        <w:t xml:space="preserve"> starting in 1973/74, but sex is undifferentiated.</w:t>
      </w:r>
      <w:r w:rsidRPr="0015116B">
        <w:t xml:space="preserve"> </w:t>
      </w:r>
      <w:r w:rsidR="008627DA" w:rsidRPr="0015116B">
        <w:t xml:space="preserve">A value of 0.321 is used </w:t>
      </w:r>
      <w:r w:rsidRPr="0015116B">
        <w:t xml:space="preserve">in the assessment model </w:t>
      </w:r>
      <w:r w:rsidR="008627DA" w:rsidRPr="0015116B">
        <w:t xml:space="preserve">for “handling mortality” in the crab fisheries to convert observed bycatch to (unobserved) mortality (Stockhausen, 2014). For the groundfish fisheries, </w:t>
      </w:r>
      <w:r w:rsidR="0048709C" w:rsidRPr="0015116B">
        <w:t xml:space="preserve">a </w:t>
      </w:r>
      <w:r w:rsidR="008627DA" w:rsidRPr="0015116B">
        <w:t xml:space="preserve">value of </w:t>
      </w:r>
      <w:r w:rsidR="000E2B34" w:rsidRPr="0015116B">
        <w:t>0.8</w:t>
      </w:r>
      <w:r w:rsidR="008627DA" w:rsidRPr="0015116B">
        <w:t xml:space="preserve"> </w:t>
      </w:r>
      <w:r w:rsidRPr="0015116B">
        <w:t xml:space="preserve">is used </w:t>
      </w:r>
      <w:r w:rsidR="008627DA" w:rsidRPr="0015116B">
        <w:t xml:space="preserve">for handling mortality </w:t>
      </w:r>
      <w:r w:rsidR="0048709C" w:rsidRPr="0015116B">
        <w:t xml:space="preserve">aggregated across gear types </w:t>
      </w:r>
      <w:r w:rsidR="008627DA" w:rsidRPr="0015116B">
        <w:t xml:space="preserve">to reflect differences in </w:t>
      </w:r>
      <w:r w:rsidR="0048709C" w:rsidRPr="0015116B">
        <w:t xml:space="preserve">groundfish </w:t>
      </w:r>
      <w:r w:rsidR="008627DA" w:rsidRPr="0015116B">
        <w:t>gear</w:t>
      </w:r>
      <w:r w:rsidR="000E2B34" w:rsidRPr="0015116B">
        <w:t xml:space="preserve"> effects</w:t>
      </w:r>
      <w:r w:rsidR="008627DA" w:rsidRPr="0015116B">
        <w:t xml:space="preserve"> and on-deck operations </w:t>
      </w:r>
      <w:r w:rsidR="000E2B34" w:rsidRPr="0015116B">
        <w:t>compared with</w:t>
      </w:r>
      <w:r w:rsidR="008627DA" w:rsidRPr="0015116B">
        <w:t xml:space="preserve"> the crab fleets.</w:t>
      </w:r>
      <w:r w:rsidRPr="0015116B">
        <w:t xml:space="preserve"> </w:t>
      </w:r>
      <w:r w:rsidR="000A0760" w:rsidRPr="0015116B">
        <w:t>M</w:t>
      </w:r>
      <w:r w:rsidRPr="0015116B">
        <w:t xml:space="preserve">ortality associated with the handling process </w:t>
      </w:r>
      <w:r w:rsidR="000A0760" w:rsidRPr="0015116B">
        <w:t>can</w:t>
      </w:r>
      <w:r w:rsidRPr="0015116B">
        <w:t xml:space="preserve"> be estimated outside the assessment model for bycatch in the groundfish and non-directed crab fisheries (most or all Tanner crab bycatch is discarded), </w:t>
      </w:r>
      <w:r w:rsidR="001C5871" w:rsidRPr="0015116B">
        <w:t xml:space="preserve">but estimates of </w:t>
      </w:r>
      <w:r w:rsidRPr="0015116B">
        <w:t>“discard mortality”</w:t>
      </w:r>
      <w:r w:rsidR="001C5871" w:rsidRPr="0015116B">
        <w:t xml:space="preserve"> for males in the directed fishery obtained outside the assessment model are problematic</w:t>
      </w:r>
      <w:r w:rsidRPr="0015116B">
        <w:t xml:space="preserve"> </w:t>
      </w:r>
      <w:r w:rsidR="001C5871" w:rsidRPr="0015116B">
        <w:t>if (due to sampling error) estimated total catch is less than reported retained catch.</w:t>
      </w:r>
      <w:r w:rsidRPr="0015116B">
        <w:t xml:space="preserve"> </w:t>
      </w:r>
    </w:p>
    <w:p w14:paraId="06F34597" w14:textId="59FC4758" w:rsidR="008704F4" w:rsidRPr="0015116B" w:rsidRDefault="00C15F38" w:rsidP="00D3686C">
      <w:r w:rsidRPr="0015116B">
        <w:lastRenderedPageBreak/>
        <w:t xml:space="preserve">Estimated bycatch mortality in the groundfish fisheries </w:t>
      </w:r>
      <w:r w:rsidR="000E2B34" w:rsidRPr="0015116B">
        <w:t xml:space="preserve">(without distinguishing gear type) </w:t>
      </w:r>
      <w:r w:rsidRPr="0015116B">
        <w:t>was high</w:t>
      </w:r>
      <w:r w:rsidR="008627DA" w:rsidRPr="0015116B">
        <w:t>est</w:t>
      </w:r>
      <w:r w:rsidRPr="0015116B">
        <w:t xml:space="preserve"> (~15,000 t) in the early 1970s, but </w:t>
      </w:r>
      <w:r w:rsidR="006B19AB" w:rsidRPr="0015116B">
        <w:t>it declined</w:t>
      </w:r>
      <w:r w:rsidRPr="0015116B">
        <w:t xml:space="preserve"> substantially by1977 to ~2,000 t with the curtailment of foreign fishing fleets</w:t>
      </w:r>
      <w:r w:rsidR="00E870FF" w:rsidRPr="0015116B">
        <w:t xml:space="preserve"> (Stockhausen, 2017)</w:t>
      </w:r>
      <w:r w:rsidR="008627DA" w:rsidRPr="0015116B">
        <w:t>.</w:t>
      </w:r>
      <w:r w:rsidRPr="0015116B">
        <w:t xml:space="preserve"> </w:t>
      </w:r>
      <w:r w:rsidR="008627DA" w:rsidRPr="0015116B">
        <w:t>It</w:t>
      </w:r>
      <w:r w:rsidRPr="0015116B">
        <w:t xml:space="preserve"> declined further in the 1980s (to ~</w:t>
      </w:r>
      <w:r w:rsidR="008627DA" w:rsidRPr="0015116B">
        <w:t xml:space="preserve">500 t) but increased somewhat in the late 1980s to a peak of ~2,000 t </w:t>
      </w:r>
      <w:r w:rsidR="000E2B34" w:rsidRPr="0015116B">
        <w:t xml:space="preserve">in the early 1990s </w:t>
      </w:r>
      <w:r w:rsidR="008627DA" w:rsidRPr="0015116B">
        <w:t>before undergoing a</w:t>
      </w:r>
      <w:r w:rsidR="006B19AB" w:rsidRPr="0015116B">
        <w:t>nother</w:t>
      </w:r>
      <w:r w:rsidR="008627DA" w:rsidRPr="0015116B">
        <w:t xml:space="preserve"> </w:t>
      </w:r>
      <w:r w:rsidR="006B19AB" w:rsidRPr="0015116B">
        <w:t>(</w:t>
      </w:r>
      <w:r w:rsidR="008704F4" w:rsidRPr="0015116B">
        <w:t>gradual</w:t>
      </w:r>
      <w:r w:rsidR="006B19AB" w:rsidRPr="0015116B">
        <w:t>)</w:t>
      </w:r>
      <w:r w:rsidR="008627DA" w:rsidRPr="0015116B">
        <w:t xml:space="preserve"> decline </w:t>
      </w:r>
      <w:r w:rsidR="008704F4" w:rsidRPr="0015116B">
        <w:t xml:space="preserve">until 2008, after which it has fluctuated annually below ~300 t </w:t>
      </w:r>
      <w:r w:rsidR="008627DA" w:rsidRPr="0015116B">
        <w:t>to the present (</w:t>
      </w:r>
      <w:r w:rsidR="002955A6" w:rsidRPr="0015116B">
        <w:t>~</w:t>
      </w:r>
      <w:r w:rsidR="008704F4" w:rsidRPr="0015116B">
        <w:t>150</w:t>
      </w:r>
      <w:r w:rsidR="008627DA" w:rsidRPr="0015116B">
        <w:t xml:space="preserve"> t in 201</w:t>
      </w:r>
      <w:r w:rsidR="002955A6" w:rsidRPr="0015116B">
        <w:t>9</w:t>
      </w:r>
      <w:r w:rsidR="005F38A3" w:rsidRPr="0015116B">
        <w:t>/</w:t>
      </w:r>
      <w:r w:rsidR="002955A6" w:rsidRPr="0015116B">
        <w:t>20</w:t>
      </w:r>
      <w:r w:rsidR="008627DA" w:rsidRPr="0015116B">
        <w:t>)</w:t>
      </w:r>
      <w:r w:rsidRPr="0015116B">
        <w:t xml:space="preserve">. </w:t>
      </w:r>
    </w:p>
    <w:p w14:paraId="2B6088C8" w14:textId="5A9586D6" w:rsidR="008018B9" w:rsidRPr="0015116B" w:rsidRDefault="008018B9" w:rsidP="00D3686C">
      <w:r w:rsidRPr="0015116B">
        <w:t>In the crab fisheries, the largest component of bycatch occurs on males. In the early 1990s, female bycatch ranged between 6 and 40% of the bycatch in the directed and snow crab fisheries. Since the directed fishery re-opened in 201</w:t>
      </w:r>
      <w:r w:rsidR="005103CD" w:rsidRPr="0015116B">
        <w:t>3</w:t>
      </w:r>
      <w:r w:rsidRPr="0015116B">
        <w:t>/14, the fraction of bycatch that is female has ranged between 2% and 6% in the directed fishery, between 0.3 and 3% in the BBRKC fishery, and has been below 1% in the snow crab fishery. Estimates of total groundfish bycatch are not currently available by sex.</w:t>
      </w:r>
    </w:p>
    <w:p w14:paraId="258B9301" w14:textId="77777777" w:rsidR="00435BF8" w:rsidRPr="0015116B" w:rsidRDefault="00332D46" w:rsidP="00332D46">
      <w:pPr>
        <w:pStyle w:val="Heading4"/>
      </w:pPr>
      <w:r w:rsidRPr="0015116B">
        <w:t xml:space="preserve">c. </w:t>
      </w:r>
      <w:r w:rsidR="00435BF8" w:rsidRPr="0015116B">
        <w:t>Catch-at-</w:t>
      </w:r>
      <w:r w:rsidR="005860CC" w:rsidRPr="0015116B">
        <w:t>size</w:t>
      </w:r>
      <w:r w:rsidR="00581083" w:rsidRPr="0015116B">
        <w:t xml:space="preserve"> </w:t>
      </w:r>
      <w:r w:rsidR="00435BF8" w:rsidRPr="0015116B">
        <w:t>for f</w:t>
      </w:r>
      <w:r w:rsidR="00E83EF6" w:rsidRPr="0015116B">
        <w:t>isheries, bycatch, and discards</w:t>
      </w:r>
    </w:p>
    <w:p w14:paraId="3810ACE4" w14:textId="0CA92619" w:rsidR="008018B9" w:rsidRPr="0015116B" w:rsidRDefault="005860CC" w:rsidP="005860CC">
      <w:r w:rsidRPr="0015116B">
        <w:t>Retained (male) catch</w:t>
      </w:r>
      <w:r w:rsidR="008018B9" w:rsidRPr="0015116B">
        <w:t>-</w:t>
      </w:r>
      <w:r w:rsidRPr="0015116B">
        <w:t>at</w:t>
      </w:r>
      <w:r w:rsidR="008018B9" w:rsidRPr="0015116B">
        <w:t>-</w:t>
      </w:r>
      <w:r w:rsidRPr="0015116B">
        <w:t xml:space="preserve">size in the directed Tanner crab fishery from </w:t>
      </w:r>
      <w:r w:rsidR="008018B9" w:rsidRPr="0015116B">
        <w:t xml:space="preserve">ADFG </w:t>
      </w:r>
      <w:r w:rsidR="00272272" w:rsidRPr="0015116B">
        <w:t>dockside</w:t>
      </w:r>
      <w:r w:rsidR="008018B9" w:rsidRPr="0015116B">
        <w:t xml:space="preserve"> observer sampling</w:t>
      </w:r>
      <w:r w:rsidRPr="0015116B">
        <w:t xml:space="preserve"> is </w:t>
      </w:r>
      <w:r w:rsidR="00272272" w:rsidRPr="0015116B">
        <w:t>shown</w:t>
      </w:r>
      <w:r w:rsidRPr="0015116B">
        <w:t xml:space="preserve"> in Fig</w:t>
      </w:r>
      <w:r w:rsidR="008F6BDF" w:rsidRPr="0015116B">
        <w:t>ure</w:t>
      </w:r>
      <w:r w:rsidR="00272272" w:rsidRPr="0015116B">
        <w:t xml:space="preserve"> </w:t>
      </w:r>
      <w:r w:rsidR="005B7A51" w:rsidRPr="0015116B">
        <w:t>8</w:t>
      </w:r>
      <w:r w:rsidRPr="0015116B">
        <w:t xml:space="preserve"> </w:t>
      </w:r>
      <w:r w:rsidR="0094527A" w:rsidRPr="0015116B">
        <w:t>by fishery region</w:t>
      </w:r>
      <w:r w:rsidR="00272272" w:rsidRPr="0015116B">
        <w:t xml:space="preserve"> and shell condition</w:t>
      </w:r>
      <w:r w:rsidR="008018B9" w:rsidRPr="0015116B">
        <w:t xml:space="preserve"> </w:t>
      </w:r>
      <w:r w:rsidR="00EF4656" w:rsidRPr="0015116B">
        <w:t xml:space="preserve">since </w:t>
      </w:r>
      <w:r w:rsidR="005B7A51" w:rsidRPr="0015116B">
        <w:t>rationalization of the crab fisheries</w:t>
      </w:r>
      <w:r w:rsidR="00EF4656" w:rsidRPr="0015116B">
        <w:t xml:space="preserve"> in 201</w:t>
      </w:r>
      <w:r w:rsidR="005B7A51" w:rsidRPr="0015116B">
        <w:t>05/06</w:t>
      </w:r>
      <w:r w:rsidR="00421BB3" w:rsidRPr="0015116B">
        <w:t>.</w:t>
      </w:r>
      <w:r w:rsidRPr="0015116B">
        <w:t xml:space="preserve"> </w:t>
      </w:r>
      <w:r w:rsidR="008018B9" w:rsidRPr="0015116B">
        <w:t>These indicate a shift to retaining somewhat smaller minimum sizes since 2013/14, compared with 2005/06-2009/10.</w:t>
      </w:r>
      <w:r w:rsidR="00A22A3D" w:rsidRPr="0015116B">
        <w:t xml:space="preserve"> </w:t>
      </w:r>
      <w:r w:rsidR="005B7A51" w:rsidRPr="0015116B">
        <w:t>As noted previously</w:t>
      </w:r>
      <w:r w:rsidR="00A22A3D" w:rsidRPr="0015116B">
        <w:t xml:space="preserve">, the </w:t>
      </w:r>
      <w:r w:rsidR="005B7A51" w:rsidRPr="0015116B">
        <w:t>SOA</w:t>
      </w:r>
      <w:r w:rsidR="00A22A3D" w:rsidRPr="0015116B">
        <w:t xml:space="preserve"> changed its harvest strategy </w:t>
      </w:r>
      <w:r w:rsidR="008F6BDF" w:rsidRPr="0015116B">
        <w:t xml:space="preserve">for calculating TACs </w:t>
      </w:r>
      <w:r w:rsidR="00A22A3D" w:rsidRPr="0015116B">
        <w:t xml:space="preserve">to reflect a </w:t>
      </w:r>
      <w:r w:rsidR="008F6BDF" w:rsidRPr="0015116B">
        <w:t>smaller</w:t>
      </w:r>
      <w:r w:rsidR="00A22A3D" w:rsidRPr="0015116B">
        <w:t xml:space="preserve"> minimum </w:t>
      </w:r>
      <w:r w:rsidR="008F6BDF" w:rsidRPr="0015116B">
        <w:t>industry-</w:t>
      </w:r>
      <w:r w:rsidR="00A22A3D" w:rsidRPr="0015116B">
        <w:t>preferred size of 125 mm CW east of 166</w:t>
      </w:r>
      <w:r w:rsidR="00EF4656" w:rsidRPr="0015116B">
        <w:rPr>
          <w:vertAlign w:val="superscript"/>
        </w:rPr>
        <w:t>o</w:t>
      </w:r>
      <w:r w:rsidR="00A22A3D" w:rsidRPr="0015116B">
        <w:t>W longitude</w:t>
      </w:r>
      <w:r w:rsidR="008F6BDF" w:rsidRPr="0015116B">
        <w:t>.</w:t>
      </w:r>
      <w:r w:rsidR="005E380B" w:rsidRPr="0015116B">
        <w:t xml:space="preserve"> In addition, the proportion of old shell crab retained appears to have increased over the past few years and substantially exceeded that of new shell crab across the retained size range</w:t>
      </w:r>
      <w:r w:rsidR="00CA498E" w:rsidRPr="0015116B">
        <w:t xml:space="preserve"> in 2018/19</w:t>
      </w:r>
      <w:r w:rsidR="005E380B" w:rsidRPr="0015116B">
        <w:t>.</w:t>
      </w:r>
    </w:p>
    <w:p w14:paraId="2317771E" w14:textId="4ED83912" w:rsidR="003521EA" w:rsidRPr="0015116B" w:rsidRDefault="00420998" w:rsidP="005860CC">
      <w:r w:rsidRPr="0015116B">
        <w:t>Normalized total catch (retained + discards) size</w:t>
      </w:r>
      <w:r w:rsidR="005860CC" w:rsidRPr="0015116B">
        <w:t xml:space="preserve"> compositions from </w:t>
      </w:r>
      <w:r w:rsidR="0094527A" w:rsidRPr="0015116B">
        <w:t xml:space="preserve">at-sea </w:t>
      </w:r>
      <w:r w:rsidR="005860CC" w:rsidRPr="0015116B">
        <w:t xml:space="preserve">crab </w:t>
      </w:r>
      <w:r w:rsidR="0094527A" w:rsidRPr="0015116B">
        <w:t xml:space="preserve">fishery </w:t>
      </w:r>
      <w:r w:rsidR="005860CC" w:rsidRPr="0015116B">
        <w:t>observer</w:t>
      </w:r>
      <w:r w:rsidR="000A6DD8" w:rsidRPr="0015116B">
        <w:t xml:space="preserve"> sampling </w:t>
      </w:r>
      <w:r w:rsidR="005860CC" w:rsidRPr="0015116B">
        <w:t>are presented</w:t>
      </w:r>
      <w:r w:rsidR="0094527A" w:rsidRPr="0015116B">
        <w:t xml:space="preserve"> by </w:t>
      </w:r>
      <w:r w:rsidR="00CB10CD" w:rsidRPr="0015116B">
        <w:t xml:space="preserve">fishery </w:t>
      </w:r>
      <w:r w:rsidR="00CA498E" w:rsidRPr="0015116B">
        <w:t xml:space="preserve">for males </w:t>
      </w:r>
      <w:r w:rsidR="00CB10CD" w:rsidRPr="0015116B">
        <w:t xml:space="preserve">in Figure </w:t>
      </w:r>
      <w:r w:rsidR="00CA498E" w:rsidRPr="0015116B">
        <w:t>9 and for females in Figure 10</w:t>
      </w:r>
      <w:r w:rsidR="000A6DD8" w:rsidRPr="0015116B">
        <w:t xml:space="preserve">. </w:t>
      </w:r>
      <w:r w:rsidR="0088496D" w:rsidRPr="0015116B">
        <w:t xml:space="preserve">The snow crab fishery, conducted </w:t>
      </w:r>
      <w:r w:rsidR="00342F79" w:rsidRPr="0015116B">
        <w:t>primarily in the northern and western parts of the EBS shelf,</w:t>
      </w:r>
      <w:r w:rsidR="0088496D" w:rsidRPr="0015116B">
        <w:t xml:space="preserve"> catches</w:t>
      </w:r>
      <w:r w:rsidR="00342F79" w:rsidRPr="0015116B">
        <w:t xml:space="preserve"> predominantly</w:t>
      </w:r>
      <w:r w:rsidR="0088496D" w:rsidRPr="0015116B">
        <w:t xml:space="preserve"> small males</w:t>
      </w:r>
      <w:r w:rsidR="00342F79" w:rsidRPr="0015116B">
        <w:t xml:space="preserve"> while the</w:t>
      </w:r>
      <w:r w:rsidR="00CB10CD" w:rsidRPr="0015116B">
        <w:t xml:space="preserve"> BBRKC</w:t>
      </w:r>
      <w:r w:rsidR="00342F79" w:rsidRPr="0015116B">
        <w:t xml:space="preserve"> fishery, conducted to the south and east in Bristol Bay,</w:t>
      </w:r>
      <w:r w:rsidR="00CB10CD" w:rsidRPr="0015116B">
        <w:t xml:space="preserve"> predominantly catches large males</w:t>
      </w:r>
      <w:r w:rsidR="00342F79" w:rsidRPr="0015116B">
        <w:t>.</w:t>
      </w:r>
      <w:r w:rsidR="00D14E4B" w:rsidRPr="0015116B">
        <w:t xml:space="preserve"> The size compositions in the snow crab fishery clearly reflect some sort of “dome-shaped” selectivity pattern (as assumed in the assessment model), with selectivity small for small and large males and highest for intermediate-sized males. In contrast, selectivity in the BBRKC fishery appears more consistent with asymptotic selection.</w:t>
      </w:r>
      <w:r w:rsidR="00342F79" w:rsidRPr="0015116B">
        <w:t xml:space="preserve"> T</w:t>
      </w:r>
      <w:r w:rsidR="00CB10CD" w:rsidRPr="0015116B">
        <w:t>he directed fishery</w:t>
      </w:r>
      <w:r w:rsidR="00342F79" w:rsidRPr="0015116B">
        <w:t>, which extends across the shelf from west of the Pribilof Islands into Bristol Bay in the east catches primarily</w:t>
      </w:r>
      <w:r w:rsidR="00CB10CD" w:rsidRPr="0015116B">
        <w:t xml:space="preserve"> intermediate-sized males, with about half the new shell males caught </w:t>
      </w:r>
      <w:r w:rsidR="00A745B5" w:rsidRPr="0015116B">
        <w:t>larger than the industry-preferred size of 125 mm CW.</w:t>
      </w:r>
      <w:r w:rsidR="00CB10CD" w:rsidRPr="0015116B">
        <w:t xml:space="preserve"> </w:t>
      </w:r>
      <w:r w:rsidR="00D14E4B" w:rsidRPr="0015116B">
        <w:t>Similar patterns are apparent for females, as well.</w:t>
      </w:r>
    </w:p>
    <w:p w14:paraId="1BEEE7AD" w14:textId="4FC6A315" w:rsidR="004E2416" w:rsidRPr="0015116B" w:rsidRDefault="00EF4656" w:rsidP="005860CC">
      <w:r w:rsidRPr="0015116B">
        <w:t>S</w:t>
      </w:r>
      <w:r w:rsidR="00112FE3" w:rsidRPr="0015116B">
        <w:t>ex-specific s</w:t>
      </w:r>
      <w:r w:rsidR="000A6DD8" w:rsidRPr="0015116B">
        <w:t>ize composition</w:t>
      </w:r>
      <w:r w:rsidR="004D14FB" w:rsidRPr="0015116B">
        <w:t>s</w:t>
      </w:r>
      <w:r w:rsidR="00112FE3" w:rsidRPr="0015116B">
        <w:t xml:space="preserve"> from observer sampling for bycatch in the groundfish fisheries,</w:t>
      </w:r>
      <w:r w:rsidR="004D14FB" w:rsidRPr="0015116B">
        <w:t xml:space="preserve"> expanded to total bycatch</w:t>
      </w:r>
      <w:r w:rsidR="00112FE3" w:rsidRPr="0015116B">
        <w:t xml:space="preserve">, are shown in Figure </w:t>
      </w:r>
      <w:r w:rsidR="00426125" w:rsidRPr="0015116B">
        <w:t>11</w:t>
      </w:r>
      <w:r w:rsidR="000A6DD8" w:rsidRPr="0015116B">
        <w:t xml:space="preserve"> f</w:t>
      </w:r>
      <w:r w:rsidR="004D14FB" w:rsidRPr="0015116B">
        <w:t>or</w:t>
      </w:r>
      <w:r w:rsidR="000A6DD8" w:rsidRPr="0015116B">
        <w:t xml:space="preserve"> 19</w:t>
      </w:r>
      <w:r w:rsidR="004D14FB" w:rsidRPr="0015116B">
        <w:t>91</w:t>
      </w:r>
      <w:r w:rsidR="000A6DD8" w:rsidRPr="0015116B">
        <w:t>/</w:t>
      </w:r>
      <w:r w:rsidR="004D14FB" w:rsidRPr="0015116B">
        <w:t>92</w:t>
      </w:r>
      <w:r w:rsidR="000A6DD8" w:rsidRPr="0015116B">
        <w:t xml:space="preserve"> to </w:t>
      </w:r>
      <w:r w:rsidR="00112FE3" w:rsidRPr="0015116B">
        <w:t>201</w:t>
      </w:r>
      <w:r w:rsidR="00CA498E" w:rsidRPr="0015116B">
        <w:t>9</w:t>
      </w:r>
      <w:r w:rsidR="00112FE3" w:rsidRPr="0015116B">
        <w:t>/</w:t>
      </w:r>
      <w:r w:rsidR="00CA498E" w:rsidRPr="0015116B">
        <w:t>20</w:t>
      </w:r>
      <w:r w:rsidR="000A6DD8" w:rsidRPr="0015116B">
        <w:t>.</w:t>
      </w:r>
      <w:r w:rsidR="00112FE3" w:rsidRPr="0015116B">
        <w:t xml:space="preserve"> These fisheries, targeting a variety of groundfish stocks and using a variety of gear types, </w:t>
      </w:r>
      <w:r w:rsidR="00457CD1" w:rsidRPr="0015116B">
        <w:t xml:space="preserve">take a much larger size range of Tanner crab as bycatch than does the pot gear used in the crab fisheries—perhaps even providing support for recruitment events (see, e.g., the </w:t>
      </w:r>
      <w:r w:rsidR="00426125" w:rsidRPr="0015116B">
        <w:t xml:space="preserve">peaks in relative abundance at small sizes in the </w:t>
      </w:r>
      <w:r w:rsidR="00457CD1" w:rsidRPr="0015116B">
        <w:t>size compositions for 2003/04 and 2004/05</w:t>
      </w:r>
      <w:r w:rsidR="00CA498E" w:rsidRPr="0015116B">
        <w:t>;</w:t>
      </w:r>
      <w:r w:rsidR="00457CD1" w:rsidRPr="0015116B">
        <w:t xml:space="preserve"> Figure </w:t>
      </w:r>
      <w:r w:rsidR="00426125" w:rsidRPr="0015116B">
        <w:t>1</w:t>
      </w:r>
      <w:r w:rsidR="00CA498E" w:rsidRPr="0015116B">
        <w:t>1</w:t>
      </w:r>
      <w:r w:rsidR="00457CD1" w:rsidRPr="0015116B">
        <w:t xml:space="preserve">).  </w:t>
      </w:r>
    </w:p>
    <w:p w14:paraId="76935152" w14:textId="75221F2A" w:rsidR="005860CC" w:rsidRPr="0015116B" w:rsidRDefault="000A6DD8" w:rsidP="005860CC">
      <w:r w:rsidRPr="0015116B">
        <w:t>Raw</w:t>
      </w:r>
      <w:r w:rsidR="00CA498E" w:rsidRPr="0015116B">
        <w:t xml:space="preserve"> (number of individuals measured)</w:t>
      </w:r>
      <w:r w:rsidRPr="0015116B">
        <w:t xml:space="preserve"> </w:t>
      </w:r>
      <w:r w:rsidR="00970D76" w:rsidRPr="0015116B">
        <w:t xml:space="preserve">and </w:t>
      </w:r>
      <w:r w:rsidR="00CA498E" w:rsidRPr="0015116B">
        <w:t>scaled</w:t>
      </w:r>
      <w:r w:rsidR="00970D76" w:rsidRPr="0015116B">
        <w:t xml:space="preserve"> </w:t>
      </w:r>
      <w:r w:rsidRPr="0015116B">
        <w:t xml:space="preserve">sample sizes </w:t>
      </w:r>
      <w:r w:rsidR="00CA498E" w:rsidRPr="0015116B">
        <w:t xml:space="preserve">for size composition data </w:t>
      </w:r>
      <w:r w:rsidR="002219ED" w:rsidRPr="0015116B">
        <w:t>f</w:t>
      </w:r>
      <w:r w:rsidR="00CA498E" w:rsidRPr="0015116B">
        <w:t>rom</w:t>
      </w:r>
      <w:r w:rsidR="002219ED" w:rsidRPr="0015116B">
        <w:t xml:space="preserve"> the various fisheries </w:t>
      </w:r>
      <w:r w:rsidRPr="0015116B">
        <w:t xml:space="preserve">are presented in </w:t>
      </w:r>
      <w:r w:rsidR="002219ED" w:rsidRPr="0015116B">
        <w:t>Table</w:t>
      </w:r>
      <w:r w:rsidR="009035ED" w:rsidRPr="0015116B">
        <w:t xml:space="preserve">s </w:t>
      </w:r>
      <w:r w:rsidR="00CA498E" w:rsidRPr="0015116B">
        <w:t>5-7</w:t>
      </w:r>
      <w:r w:rsidR="002219ED" w:rsidRPr="0015116B">
        <w:t>.</w:t>
      </w:r>
    </w:p>
    <w:p w14:paraId="0CA3AD54" w14:textId="77777777" w:rsidR="00435BF8" w:rsidRPr="0015116B" w:rsidRDefault="00332D46" w:rsidP="00332D46">
      <w:pPr>
        <w:pStyle w:val="Heading4"/>
      </w:pPr>
      <w:r w:rsidRPr="0015116B">
        <w:t xml:space="preserve">d. </w:t>
      </w:r>
      <w:r w:rsidR="00435BF8" w:rsidRPr="0015116B">
        <w:t>Survey biomass estimates</w:t>
      </w:r>
    </w:p>
    <w:p w14:paraId="267513D2" w14:textId="119D29F8" w:rsidR="004E2416" w:rsidRPr="0015116B" w:rsidRDefault="00302D62" w:rsidP="004E2416">
      <w:r w:rsidRPr="0015116B">
        <w:t>Time series trends from the NMFS EBS bottom trawl survey suggest the Tanner crab stock in the EBS has undergone decadal-scale fluctuations (Table</w:t>
      </w:r>
      <w:r w:rsidR="002D661D" w:rsidRPr="0015116B">
        <w:t>s</w:t>
      </w:r>
      <w:r w:rsidRPr="0015116B">
        <w:t xml:space="preserve"> </w:t>
      </w:r>
      <w:r w:rsidR="00B876B8" w:rsidRPr="0015116B">
        <w:t>8-9</w:t>
      </w:r>
      <w:r w:rsidRPr="0015116B">
        <w:t>, Fig</w:t>
      </w:r>
      <w:r w:rsidR="00C100D0" w:rsidRPr="0015116B">
        <w:t>ure</w:t>
      </w:r>
      <w:r w:rsidR="00426125" w:rsidRPr="0015116B">
        <w:t>s1</w:t>
      </w:r>
      <w:r w:rsidR="00B876B8" w:rsidRPr="0015116B">
        <w:t>2</w:t>
      </w:r>
      <w:r w:rsidR="00426125" w:rsidRPr="0015116B">
        <w:t>-1</w:t>
      </w:r>
      <w:r w:rsidR="00B876B8" w:rsidRPr="0015116B">
        <w:t>3</w:t>
      </w:r>
      <w:r w:rsidRPr="0015116B">
        <w:t xml:space="preserve">). Estimated biomass of </w:t>
      </w:r>
      <w:r w:rsidR="000D4C52" w:rsidRPr="0015116B">
        <w:t>male</w:t>
      </w:r>
      <w:r w:rsidRPr="0015116B">
        <w:t xml:space="preserve"> crab in the survey time series started at its maximum (2</w:t>
      </w:r>
      <w:r w:rsidR="000D4C52" w:rsidRPr="0015116B">
        <w:t>95</w:t>
      </w:r>
      <w:r w:rsidRPr="0015116B">
        <w:t>,000 t) in 1975, decreased rapidly to a low (</w:t>
      </w:r>
      <w:r w:rsidR="000D4C52" w:rsidRPr="0015116B">
        <w:t>15</w:t>
      </w:r>
      <w:r w:rsidRPr="0015116B">
        <w:t>,000 t) in 198</w:t>
      </w:r>
      <w:r w:rsidR="000D4C52" w:rsidRPr="0015116B">
        <w:t>5</w:t>
      </w:r>
      <w:r w:rsidRPr="0015116B">
        <w:t>, and rebounded quickly to a smaller peak (1</w:t>
      </w:r>
      <w:r w:rsidR="000D4C52" w:rsidRPr="0015116B">
        <w:t>46</w:t>
      </w:r>
      <w:r w:rsidRPr="0015116B">
        <w:t>,000 t) in 1991</w:t>
      </w:r>
      <w:r w:rsidR="002D661D" w:rsidRPr="0015116B">
        <w:t xml:space="preserve"> (</w:t>
      </w:r>
      <w:r w:rsidR="006C177E" w:rsidRPr="0015116B">
        <w:t xml:space="preserve">Table </w:t>
      </w:r>
      <w:r w:rsidR="00B876B8" w:rsidRPr="0015116B">
        <w:t>8</w:t>
      </w:r>
      <w:r w:rsidR="002D661D" w:rsidRPr="0015116B">
        <w:t>)</w:t>
      </w:r>
      <w:r w:rsidRPr="0015116B">
        <w:t>. After 1991, ma</w:t>
      </w:r>
      <w:r w:rsidR="00CC7690" w:rsidRPr="0015116B">
        <w:t>le</w:t>
      </w:r>
      <w:r w:rsidRPr="0015116B">
        <w:t xml:space="preserve"> survey biomass decreased again, reaching a minimum of </w:t>
      </w:r>
      <w:r w:rsidR="00CC7690" w:rsidRPr="0015116B">
        <w:t>14,6</w:t>
      </w:r>
      <w:r w:rsidRPr="0015116B">
        <w:t>00 t in 199</w:t>
      </w:r>
      <w:r w:rsidR="00CC7690" w:rsidRPr="0015116B">
        <w:t>7</w:t>
      </w:r>
      <w:r w:rsidRPr="0015116B">
        <w:t>. Recovery following this decline was slow and ma</w:t>
      </w:r>
      <w:r w:rsidR="00CC7690" w:rsidRPr="0015116B">
        <w:t xml:space="preserve">le </w:t>
      </w:r>
      <w:r w:rsidRPr="0015116B">
        <w:t xml:space="preserve">survey biomass did not </w:t>
      </w:r>
      <w:proofErr w:type="spellStart"/>
      <w:r w:rsidRPr="0015116B">
        <w:t>peak</w:t>
      </w:r>
      <w:proofErr w:type="spellEnd"/>
      <w:r w:rsidRPr="0015116B">
        <w:t xml:space="preserve"> again until 200</w:t>
      </w:r>
      <w:r w:rsidR="00CC7690" w:rsidRPr="0015116B">
        <w:t>7</w:t>
      </w:r>
      <w:r w:rsidRPr="0015116B">
        <w:t xml:space="preserve"> (</w:t>
      </w:r>
      <w:r w:rsidR="00CC7690" w:rsidRPr="0015116B">
        <w:t>104,0</w:t>
      </w:r>
      <w:r w:rsidRPr="0015116B">
        <w:t xml:space="preserve">00 t), after which it has fluctuated more rapidly—decreasing </w:t>
      </w:r>
      <w:r w:rsidR="003D219E" w:rsidRPr="0015116B">
        <w:t>within two years</w:t>
      </w:r>
      <w:r w:rsidRPr="0015116B">
        <w:t xml:space="preserve"> by </w:t>
      </w:r>
      <w:r w:rsidR="00CC7690" w:rsidRPr="0015116B">
        <w:t>over</w:t>
      </w:r>
      <w:r w:rsidRPr="0015116B">
        <w:t xml:space="preserve"> 50% </w:t>
      </w:r>
      <w:r w:rsidR="006C177E" w:rsidRPr="0015116B">
        <w:t>to</w:t>
      </w:r>
      <w:r w:rsidRPr="0015116B">
        <w:t xml:space="preserve"> a minimum in 20</w:t>
      </w:r>
      <w:r w:rsidR="006C177E" w:rsidRPr="0015116B">
        <w:t>09</w:t>
      </w:r>
      <w:r w:rsidRPr="0015116B">
        <w:t xml:space="preserve"> (</w:t>
      </w:r>
      <w:r w:rsidR="003D219E" w:rsidRPr="0015116B">
        <w:t>4</w:t>
      </w:r>
      <w:r w:rsidR="006C177E" w:rsidRPr="0015116B">
        <w:t>7,0</w:t>
      </w:r>
      <w:r w:rsidRPr="0015116B">
        <w:t>00 t), followed by a</w:t>
      </w:r>
      <w:r w:rsidR="006C177E" w:rsidRPr="0015116B">
        <w:t xml:space="preserve"> doubling</w:t>
      </w:r>
      <w:r w:rsidRPr="0015116B">
        <w:t xml:space="preserve"> </w:t>
      </w:r>
      <w:r w:rsidR="003D219E" w:rsidRPr="0015116B">
        <w:t xml:space="preserve">to </w:t>
      </w:r>
      <w:r w:rsidRPr="0015116B">
        <w:t>a peak in 2014 (</w:t>
      </w:r>
      <w:r w:rsidR="006C177E" w:rsidRPr="0015116B">
        <w:t>109,0</w:t>
      </w:r>
      <w:r w:rsidRPr="0015116B">
        <w:t xml:space="preserve">00 t). </w:t>
      </w:r>
      <w:r w:rsidR="006C177E" w:rsidRPr="0015116B">
        <w:t xml:space="preserve">Since 2014 the trend has been a steady decline, with male biomass </w:t>
      </w:r>
      <w:r w:rsidR="00B876B8" w:rsidRPr="0015116B">
        <w:lastRenderedPageBreak/>
        <w:t>in 2019</w:t>
      </w:r>
      <w:r w:rsidR="00426125" w:rsidRPr="0015116B">
        <w:t xml:space="preserve"> </w:t>
      </w:r>
      <w:r w:rsidR="006C177E" w:rsidRPr="0015116B">
        <w:t>at its lowest point (28,000 t) since 2000</w:t>
      </w:r>
      <w:r w:rsidRPr="0015116B">
        <w:t xml:space="preserve"> (</w:t>
      </w:r>
      <w:r w:rsidR="006C177E" w:rsidRPr="0015116B">
        <w:t xml:space="preserve">Table </w:t>
      </w:r>
      <w:r w:rsidR="00B876B8" w:rsidRPr="0015116B">
        <w:t>8</w:t>
      </w:r>
      <w:r w:rsidRPr="0015116B">
        <w:t>). Trends in the male and female components of survey biomass</w:t>
      </w:r>
      <w:r w:rsidR="006C177E" w:rsidRPr="0015116B">
        <w:t xml:space="preserve"> </w:t>
      </w:r>
      <w:r w:rsidRPr="0015116B">
        <w:t xml:space="preserve">have primarily been in synchrony with one another, as have changes in the eastern and western </w:t>
      </w:r>
      <w:r w:rsidR="006C177E" w:rsidRPr="0015116B">
        <w:t>management</w:t>
      </w:r>
      <w:r w:rsidRPr="0015116B">
        <w:t xml:space="preserve"> regions (east and west of 166</w:t>
      </w:r>
      <w:r w:rsidRPr="0015116B">
        <w:rPr>
          <w:vertAlign w:val="superscript"/>
        </w:rPr>
        <w:t>o</w:t>
      </w:r>
      <w:r w:rsidRPr="0015116B">
        <w:t>W longitude), although the magnitudes differ</w:t>
      </w:r>
      <w:r w:rsidR="002D661D" w:rsidRPr="0015116B">
        <w:t xml:space="preserve"> (</w:t>
      </w:r>
      <w:r w:rsidR="006C177E" w:rsidRPr="0015116B">
        <w:t xml:space="preserve">Figure </w:t>
      </w:r>
      <w:r w:rsidR="00B876B8" w:rsidRPr="0015116B">
        <w:t>12</w:t>
      </w:r>
      <w:r w:rsidR="002D661D" w:rsidRPr="0015116B">
        <w:t>)</w:t>
      </w:r>
      <w:r w:rsidRPr="0015116B">
        <w:t>.</w:t>
      </w:r>
      <w:r w:rsidR="002D661D" w:rsidRPr="0015116B">
        <w:t xml:space="preserve"> Preferred-size male survey biomass has been declining east of 166</w:t>
      </w:r>
      <w:r w:rsidR="002D661D" w:rsidRPr="0015116B">
        <w:rPr>
          <w:vertAlign w:val="superscript"/>
        </w:rPr>
        <w:t>o</w:t>
      </w:r>
      <w:r w:rsidR="002D661D" w:rsidRPr="0015116B">
        <w:t>W (and in the EBS as a whole) since 2014, but was increasing up to 2016</w:t>
      </w:r>
      <w:r w:rsidR="006533F9" w:rsidRPr="0015116B">
        <w:t xml:space="preserve"> in the west. In the west, it declined in 2017</w:t>
      </w:r>
      <w:r w:rsidR="007A48B2" w:rsidRPr="0015116B">
        <w:t>, remained</w:t>
      </w:r>
      <w:r w:rsidR="006533F9" w:rsidRPr="0015116B">
        <w:t xml:space="preserve"> essentially unchanged in 2018</w:t>
      </w:r>
      <w:r w:rsidR="007A48B2" w:rsidRPr="0015116B">
        <w:t>, and dropped by over 50% from 2018 to 2019</w:t>
      </w:r>
      <w:r w:rsidR="006533F9" w:rsidRPr="0015116B">
        <w:t xml:space="preserve"> (</w:t>
      </w:r>
      <w:r w:rsidR="007A48B2" w:rsidRPr="0015116B">
        <w:t xml:space="preserve">Table </w:t>
      </w:r>
      <w:r w:rsidR="00B876B8" w:rsidRPr="0015116B">
        <w:t>9</w:t>
      </w:r>
      <w:r w:rsidR="006533F9" w:rsidRPr="0015116B">
        <w:t xml:space="preserve">, Figure </w:t>
      </w:r>
      <w:r w:rsidR="00426125" w:rsidRPr="0015116B">
        <w:t>1</w:t>
      </w:r>
      <w:r w:rsidR="00B876B8" w:rsidRPr="0015116B">
        <w:t>3</w:t>
      </w:r>
      <w:r w:rsidR="006533F9" w:rsidRPr="0015116B">
        <w:t>).</w:t>
      </w:r>
      <w:r w:rsidR="007A48B2" w:rsidRPr="0015116B">
        <w:t xml:space="preserve"> The ratio of new shell to old shell </w:t>
      </w:r>
      <w:r w:rsidR="00D211A6" w:rsidRPr="0015116B">
        <w:t xml:space="preserve">preferred-size males </w:t>
      </w:r>
      <w:r w:rsidR="007A48B2" w:rsidRPr="0015116B">
        <w:t xml:space="preserve">crab across the EBS has dropped dramatically since 2015, when the ratio was almost 1:1. In 2019, the ratio </w:t>
      </w:r>
      <w:r w:rsidR="00D211A6" w:rsidRPr="0015116B">
        <w:t>was almost 1:20 new shell to old shell crab biomass.</w:t>
      </w:r>
    </w:p>
    <w:p w14:paraId="64C8B1E6" w14:textId="0F36C500" w:rsidR="00457CD1" w:rsidRPr="0015116B" w:rsidRDefault="008C5A20" w:rsidP="004E2416">
      <w:r w:rsidRPr="0015116B">
        <w:t xml:space="preserve">Data from the </w:t>
      </w:r>
      <w:r w:rsidR="00457CD1" w:rsidRPr="0015116B">
        <w:t>BSFRF</w:t>
      </w:r>
      <w:r w:rsidRPr="0015116B">
        <w:t>-NMFS cooperative side-by-side (SBS) catchability studies are incorporated into several model scenarios in this assessment for the first time. During the SBS catchability studies, NMFS</w:t>
      </w:r>
      <w:r w:rsidR="00BC7D5E" w:rsidRPr="0015116B">
        <w:t xml:space="preserve"> performed standard survey tows (e.g., 83-122 trawl gear, 30 minute tow duration) as part of its annual EBS bottom trawl survey while BSFRF performed parallel tows within 0.5 nm using a </w:t>
      </w:r>
      <w:proofErr w:type="spellStart"/>
      <w:r w:rsidR="00BC7D5E" w:rsidRPr="0015116B">
        <w:t>nephrops</w:t>
      </w:r>
      <w:proofErr w:type="spellEnd"/>
      <w:r w:rsidR="00BC7D5E" w:rsidRPr="0015116B">
        <w:t xml:space="preserve"> trawl and 5 minute tow duration. Because the </w:t>
      </w:r>
      <w:proofErr w:type="spellStart"/>
      <w:r w:rsidR="00BC7D5E" w:rsidRPr="0015116B">
        <w:t>nephrops</w:t>
      </w:r>
      <w:proofErr w:type="spellEnd"/>
      <w:r w:rsidR="00BC7D5E" w:rsidRPr="0015116B">
        <w:t xml:space="preserve"> trawl has better bottom-tending performance than the 83-112 gear, the BSFRF tows are hypothesized to catch all crab within the net path (i.e., to have selectivity equal to 1 at all crab sizes) and thus provide a measure of absolute abundance/biomass. The spatial footprints of the SBS studies for 2013-2017 are illustrated in Figure </w:t>
      </w:r>
      <w:r w:rsidR="00B876B8" w:rsidRPr="0015116B">
        <w:t>14</w:t>
      </w:r>
      <w:r w:rsidR="00BC7D5E" w:rsidRPr="0015116B">
        <w:t>, while estimates of area-swept biomass for the study areas are compared in Figure 1</w:t>
      </w:r>
      <w:r w:rsidR="00B876B8" w:rsidRPr="0015116B">
        <w:t>5</w:t>
      </w:r>
      <w:r w:rsidR="00BC7D5E" w:rsidRPr="0015116B">
        <w:t xml:space="preserve"> for the BSFRF and NMFS tows. Although the BSFRF ge</w:t>
      </w:r>
      <w:r w:rsidR="006F7865" w:rsidRPr="0015116B">
        <w:t>ar is assumed to provide estimates of absolute abundance with the area surveyed, the relationship between these estimates and Tanner crab stock biomass is confounded by changes in the availability of Tanner crab to the BSFRF gear because the studies did not sample across the entire spatial extent of the population (in contrast to the full NMFS EBS bottom trawl survey).</w:t>
      </w:r>
    </w:p>
    <w:p w14:paraId="0C852427" w14:textId="77777777" w:rsidR="00435BF8" w:rsidRPr="0015116B" w:rsidRDefault="00332D46" w:rsidP="00332D46">
      <w:pPr>
        <w:pStyle w:val="Heading4"/>
      </w:pPr>
      <w:r w:rsidRPr="0015116B">
        <w:t xml:space="preserve">e. </w:t>
      </w:r>
      <w:r w:rsidR="00E83EF6" w:rsidRPr="0015116B">
        <w:t>Survey catch-at-length</w:t>
      </w:r>
    </w:p>
    <w:p w14:paraId="7B9BFAC8" w14:textId="7F27A181" w:rsidR="007D759B" w:rsidRPr="0015116B" w:rsidRDefault="00873170" w:rsidP="0008598C">
      <w:r w:rsidRPr="0015116B">
        <w:t>Bubble p</w:t>
      </w:r>
      <w:r w:rsidR="00FC3136" w:rsidRPr="0015116B">
        <w:t xml:space="preserve">lots of </w:t>
      </w:r>
      <w:r w:rsidR="00457CD1" w:rsidRPr="0015116B">
        <w:t xml:space="preserve">NMFS EBS bottom </w:t>
      </w:r>
      <w:r w:rsidR="00FC3136" w:rsidRPr="0015116B">
        <w:t xml:space="preserve">survey </w:t>
      </w:r>
      <w:r w:rsidR="00063046" w:rsidRPr="0015116B">
        <w:t>size compositions</w:t>
      </w:r>
      <w:r w:rsidR="007D759B" w:rsidRPr="0015116B">
        <w:t xml:space="preserve"> for </w:t>
      </w:r>
      <w:r w:rsidR="003C590E" w:rsidRPr="0015116B">
        <w:t>Tanner</w:t>
      </w:r>
      <w:r w:rsidR="007D759B" w:rsidRPr="0015116B">
        <w:t xml:space="preserve"> crab</w:t>
      </w:r>
      <w:r w:rsidR="003C590E" w:rsidRPr="0015116B">
        <w:t xml:space="preserve"> by sex and fishery region</w:t>
      </w:r>
      <w:r w:rsidRPr="0015116B">
        <w:t xml:space="preserve"> are shown in</w:t>
      </w:r>
      <w:r w:rsidR="003C590E" w:rsidRPr="0015116B">
        <w:t xml:space="preserve"> </w:t>
      </w:r>
      <w:r w:rsidR="00FC3136" w:rsidRPr="0015116B">
        <w:t>Fig</w:t>
      </w:r>
      <w:r w:rsidR="00415152" w:rsidRPr="0015116B">
        <w:t>ure</w:t>
      </w:r>
      <w:r w:rsidRPr="0015116B">
        <w:t xml:space="preserve"> 1</w:t>
      </w:r>
      <w:r w:rsidR="00B876B8" w:rsidRPr="0015116B">
        <w:t>6</w:t>
      </w:r>
      <w:r w:rsidR="00FC3136" w:rsidRPr="0015116B">
        <w:t xml:space="preserve">. </w:t>
      </w:r>
      <w:r w:rsidRPr="0015116B">
        <w:t xml:space="preserve">Distinct recruitment events </w:t>
      </w:r>
      <w:r w:rsidR="0012010D" w:rsidRPr="0015116B">
        <w:t xml:space="preserve">(late 1970s, early 1990s, mid-2000s, early 2010s and possibly late 2010s) and subsequent cohort progression are evident in the plots, particularly in the western area. </w:t>
      </w:r>
      <w:r w:rsidR="007D759B" w:rsidRPr="0015116B">
        <w:t xml:space="preserve">The absence of small </w:t>
      </w:r>
      <w:r w:rsidR="003C590E" w:rsidRPr="0015116B">
        <w:t xml:space="preserve">male </w:t>
      </w:r>
      <w:r w:rsidR="007D759B" w:rsidRPr="0015116B">
        <w:t xml:space="preserve">crab in the </w:t>
      </w:r>
      <w:r w:rsidR="0012010D" w:rsidRPr="0015116B">
        <w:t>2010-2016</w:t>
      </w:r>
      <w:r w:rsidR="007D759B" w:rsidRPr="0015116B">
        <w:t xml:space="preserve"> </w:t>
      </w:r>
      <w:r w:rsidR="0012010D" w:rsidRPr="0015116B">
        <w:t xml:space="preserve">period </w:t>
      </w:r>
      <w:r w:rsidR="007D759B" w:rsidRPr="0015116B">
        <w:t>is notable,</w:t>
      </w:r>
      <w:r w:rsidRPr="0015116B">
        <w:t xml:space="preserve"> </w:t>
      </w:r>
      <w:r w:rsidR="0012010D" w:rsidRPr="0015116B">
        <w:t>although</w:t>
      </w:r>
      <w:r w:rsidR="00104808" w:rsidRPr="0015116B">
        <w:t xml:space="preserve"> </w:t>
      </w:r>
      <w:r w:rsidR="0012010D" w:rsidRPr="0015116B">
        <w:t xml:space="preserve">there is evidence for new recruitment </w:t>
      </w:r>
      <w:r w:rsidR="00B54887" w:rsidRPr="0015116B">
        <w:t>in the western area in 2016-2109, with perhaps some spillover to the eastern area lagged by a year at slightly larger sizes</w:t>
      </w:r>
      <w:r w:rsidR="00104808" w:rsidRPr="0015116B">
        <w:t>.</w:t>
      </w:r>
    </w:p>
    <w:p w14:paraId="46FCFB9C" w14:textId="77779248" w:rsidR="00457CD1" w:rsidRPr="0015116B" w:rsidRDefault="00B54887" w:rsidP="0008598C">
      <w:r w:rsidRPr="0015116B">
        <w:t>Based on the total abundance size compositions from the BSFRF-NMFS SBS studies (Figure 1</w:t>
      </w:r>
      <w:r w:rsidR="00984131" w:rsidRPr="0015116B">
        <w:t>7</w:t>
      </w:r>
      <w:r w:rsidRPr="0015116B">
        <w:t xml:space="preserve">), the BSFRF </w:t>
      </w:r>
      <w:proofErr w:type="spellStart"/>
      <w:r w:rsidRPr="0015116B">
        <w:t>nephrops</w:t>
      </w:r>
      <w:proofErr w:type="spellEnd"/>
      <w:r w:rsidRPr="0015116B">
        <w:t xml:space="preserve"> gear is in general </w:t>
      </w:r>
      <w:r w:rsidR="00E76444" w:rsidRPr="0015116B">
        <w:t xml:space="preserve">(as expected) </w:t>
      </w:r>
      <w:r w:rsidRPr="0015116B">
        <w:t>more selective for Tanner crab, particularly at smaller sizes</w:t>
      </w:r>
      <w:r w:rsidR="00E76444" w:rsidRPr="0015116B">
        <w:t xml:space="preserve"> (&lt; 60 mm CW), than is the NMFS 83-112 gear. However, the size-specific catch ratio of the BSFRF survey to the NMFS survey appears to vary substantially across years, which one would not expect if gear-specific selectivity were, in general, constant. It is worth noting that the </w:t>
      </w:r>
      <w:proofErr w:type="spellStart"/>
      <w:r w:rsidR="00E76444" w:rsidRPr="0015116B">
        <w:t>nephrops</w:t>
      </w:r>
      <w:proofErr w:type="spellEnd"/>
      <w:r w:rsidR="00E76444" w:rsidRPr="0015116B">
        <w:t xml:space="preserve"> gear appear to give a much better indication of recruitment than the 83-112 gear does (e.g., Figure 1</w:t>
      </w:r>
      <w:r w:rsidR="00984131" w:rsidRPr="0015116B">
        <w:t>7</w:t>
      </w:r>
      <w:r w:rsidR="00E76444" w:rsidRPr="0015116B">
        <w:t>, survey year 2017).</w:t>
      </w:r>
    </w:p>
    <w:p w14:paraId="6AC8A855" w14:textId="793643E5" w:rsidR="0008598C" w:rsidRPr="0015116B" w:rsidRDefault="007D759B" w:rsidP="0008598C">
      <w:r w:rsidRPr="0015116B">
        <w:t>Observed s</w:t>
      </w:r>
      <w:r w:rsidR="00FC3136" w:rsidRPr="0015116B">
        <w:t xml:space="preserve">ample sizes for the </w:t>
      </w:r>
      <w:r w:rsidR="006D42E2" w:rsidRPr="0015116B">
        <w:t xml:space="preserve">NMFS survey </w:t>
      </w:r>
      <w:r w:rsidR="00FC3136" w:rsidRPr="0015116B">
        <w:t>size compositions</w:t>
      </w:r>
      <w:r w:rsidRPr="0015116B">
        <w:t>,</w:t>
      </w:r>
      <w:r w:rsidR="00FC3136" w:rsidRPr="0015116B">
        <w:t xml:space="preserve"> </w:t>
      </w:r>
      <w:r w:rsidRPr="0015116B">
        <w:t xml:space="preserve">aggregated to the EBS regional level used in the assessment, </w:t>
      </w:r>
      <w:r w:rsidR="00FC3136" w:rsidRPr="0015116B">
        <w:t xml:space="preserve">are presented in Table </w:t>
      </w:r>
      <w:r w:rsidR="00C709F0" w:rsidRPr="0015116B">
        <w:t>1</w:t>
      </w:r>
      <w:r w:rsidR="00984131" w:rsidRPr="0015116B">
        <w:t>0</w:t>
      </w:r>
      <w:r w:rsidR="00FC3136" w:rsidRPr="0015116B">
        <w:t>.</w:t>
      </w:r>
      <w:r w:rsidR="00104808" w:rsidRPr="0015116B">
        <w:t xml:space="preserve"> Given the large number of individuals sampled, a sample size of 200 is used to fit survey size compositions in the assessment model to prevent convergence issues associated with using the actual sample sizes. </w:t>
      </w:r>
    </w:p>
    <w:p w14:paraId="2EEEBF9D" w14:textId="77777777" w:rsidR="00435BF8" w:rsidRPr="0015116B" w:rsidRDefault="00332D46" w:rsidP="00332D46">
      <w:pPr>
        <w:pStyle w:val="Heading4"/>
      </w:pPr>
      <w:r w:rsidRPr="0015116B">
        <w:t xml:space="preserve">f. </w:t>
      </w:r>
      <w:r w:rsidR="00435BF8" w:rsidRPr="0015116B">
        <w:t>Other time series data.</w:t>
      </w:r>
    </w:p>
    <w:p w14:paraId="3798BC3B" w14:textId="357F880F" w:rsidR="00EB09C2" w:rsidRPr="0015116B" w:rsidRDefault="00063046" w:rsidP="00AA3BC3">
      <w:r w:rsidRPr="0015116B">
        <w:t>S</w:t>
      </w:r>
      <w:r w:rsidR="00FC3136" w:rsidRPr="0015116B">
        <w:t xml:space="preserve">patial patterns of abundance </w:t>
      </w:r>
      <w:r w:rsidR="00827184" w:rsidRPr="0015116B">
        <w:t xml:space="preserve">in the </w:t>
      </w:r>
      <w:r w:rsidR="003C590E" w:rsidRPr="0015116B">
        <w:t>201</w:t>
      </w:r>
      <w:r w:rsidR="00735E5C" w:rsidRPr="0015116B">
        <w:t>4</w:t>
      </w:r>
      <w:r w:rsidR="00827184" w:rsidRPr="0015116B">
        <w:t>-201</w:t>
      </w:r>
      <w:r w:rsidR="00457CD1" w:rsidRPr="0015116B">
        <w:t>9</w:t>
      </w:r>
      <w:r w:rsidR="00827184" w:rsidRPr="0015116B">
        <w:t xml:space="preserve"> NMFS bottom trawl surveys are </w:t>
      </w:r>
      <w:r w:rsidR="00735E5C" w:rsidRPr="0015116B">
        <w:t>shown in Figure</w:t>
      </w:r>
      <w:r w:rsidR="00984131" w:rsidRPr="0015116B">
        <w:t xml:space="preserve"> 18</w:t>
      </w:r>
      <w:r w:rsidR="00827184" w:rsidRPr="0015116B">
        <w:t xml:space="preserve"> for </w:t>
      </w:r>
      <w:r w:rsidR="00984131" w:rsidRPr="0015116B">
        <w:t>males and females classified by maturity state</w:t>
      </w:r>
      <w:r w:rsidR="00827184" w:rsidRPr="0015116B">
        <w:t>.</w:t>
      </w:r>
      <w:r w:rsidR="00581083" w:rsidRPr="0015116B">
        <w:t xml:space="preserve"> </w:t>
      </w:r>
      <w:r w:rsidR="003C590E" w:rsidRPr="0015116B">
        <w:t>There ha</w:t>
      </w:r>
      <w:r w:rsidR="00104808" w:rsidRPr="0015116B">
        <w:t xml:space="preserve">s </w:t>
      </w:r>
      <w:r w:rsidR="003C590E" w:rsidRPr="0015116B">
        <w:t xml:space="preserve">been </w:t>
      </w:r>
      <w:r w:rsidR="00104808" w:rsidRPr="0015116B">
        <w:t>some suggestion</w:t>
      </w:r>
      <w:r w:rsidR="00735E5C" w:rsidRPr="0015116B">
        <w:t>s</w:t>
      </w:r>
      <w:r w:rsidR="00104808" w:rsidRPr="0015116B">
        <w:t xml:space="preserve"> that an extensive cold pool in the middle region of the EBS shelf </w:t>
      </w:r>
      <w:r w:rsidR="00AA3BC3" w:rsidRPr="0015116B">
        <w:t>may act to diminish relative crab densities in this regio</w:t>
      </w:r>
      <w:r w:rsidR="003C590E" w:rsidRPr="0015116B">
        <w:t>n, particularly for mature males</w:t>
      </w:r>
      <w:r w:rsidR="00AA3BC3" w:rsidRPr="0015116B">
        <w:t>.</w:t>
      </w:r>
      <w:r w:rsidR="003C590E" w:rsidRPr="0015116B">
        <w:t xml:space="preserve"> The cold pool on the EBS shelf was extensive during the 2017 survey </w:t>
      </w:r>
      <w:r w:rsidR="00735E5C" w:rsidRPr="0015116B">
        <w:t>and</w:t>
      </w:r>
      <w:r w:rsidR="003C590E" w:rsidRPr="0015116B">
        <w:t xml:space="preserve"> absent during the 2018 </w:t>
      </w:r>
      <w:r w:rsidR="00457CD1" w:rsidRPr="0015116B">
        <w:t xml:space="preserve">and 2019 </w:t>
      </w:r>
      <w:r w:rsidR="003C590E" w:rsidRPr="0015116B">
        <w:t>survey</w:t>
      </w:r>
      <w:r w:rsidR="00457CD1" w:rsidRPr="0015116B">
        <w:t>s</w:t>
      </w:r>
      <w:r w:rsidR="003C590E" w:rsidRPr="0015116B">
        <w:t>, but the distribution of mature males did not change remarkably.</w:t>
      </w:r>
    </w:p>
    <w:p w14:paraId="7D5852FB" w14:textId="255DB29E" w:rsidR="00426125" w:rsidRPr="0015116B" w:rsidRDefault="008E3278" w:rsidP="00AA3BC3">
      <w:r w:rsidRPr="0015116B">
        <w:lastRenderedPageBreak/>
        <w:t xml:space="preserve">Annual maturity ogives for new shell males, based on chela height collections from the NMFS EBS bottom trawl survey, are shown in Figure </w:t>
      </w:r>
      <w:r w:rsidR="00984131" w:rsidRPr="0015116B">
        <w:t>19</w:t>
      </w:r>
      <w:r w:rsidRPr="0015116B">
        <w:t xml:space="preserve"> for years in which chela heights were measured to 0.1 mm precision (i.e., since 2006). For each year, chela </w:t>
      </w:r>
      <w:proofErr w:type="spellStart"/>
      <w:r w:rsidRPr="0015116B">
        <w:t>height:carapace</w:t>
      </w:r>
      <w:proofErr w:type="spellEnd"/>
      <w:r w:rsidRPr="0015116B">
        <w:t xml:space="preserve"> width ratios for individual new shell crab were binned into 10 mm size bins, with the data split based on which management area (east or west of 166</w:t>
      </w:r>
      <w:r w:rsidRPr="0015116B">
        <w:rPr>
          <w:vertAlign w:val="superscript"/>
        </w:rPr>
        <w:t>o</w:t>
      </w:r>
      <w:r w:rsidRPr="0015116B">
        <w:t xml:space="preserve">W longitude) it was collected in. The resulting histograms were analyzed to determine threshold sizes to discriminate mature from immature crab, and the </w:t>
      </w:r>
      <w:r w:rsidR="000847B1" w:rsidRPr="0015116B">
        <w:t xml:space="preserve">fraction of mature crab was taken as the value of the resulting maturity ogive in the associated size bin (J. </w:t>
      </w:r>
      <w:proofErr w:type="spellStart"/>
      <w:r w:rsidR="000847B1" w:rsidRPr="0015116B">
        <w:t>Richar</w:t>
      </w:r>
      <w:proofErr w:type="spellEnd"/>
      <w:r w:rsidR="000847B1" w:rsidRPr="0015116B">
        <w:t>, NMFS, pers. comm.). The area-specific ogives were combined to obtain one for the entire EBS by weighting each by the estimated abundance of new shell males in each area by size bin.</w:t>
      </w:r>
    </w:p>
    <w:p w14:paraId="1839B1E5" w14:textId="31A54242" w:rsidR="00DC5D2D" w:rsidRPr="0015116B" w:rsidRDefault="00EB09C2" w:rsidP="00DC5D2D">
      <w:r w:rsidRPr="0015116B">
        <w:t xml:space="preserve">Annual effort in the snow crab and BBRKC fisheries is used in the model to “project” bycatch fishing mortality rates backward in time from the period when data on bycatch in these fisheries exists (1992-present). </w:t>
      </w:r>
      <w:r w:rsidR="00581083" w:rsidRPr="0015116B">
        <w:t xml:space="preserve">A table of annual effort (number of </w:t>
      </w:r>
      <w:proofErr w:type="spellStart"/>
      <w:r w:rsidR="00581083" w:rsidRPr="0015116B">
        <w:t>potlifts</w:t>
      </w:r>
      <w:proofErr w:type="spellEnd"/>
      <w:r w:rsidR="00581083" w:rsidRPr="0015116B">
        <w:t xml:space="preserve">) is provided for the snow crab and BBRKC fisheries (Table </w:t>
      </w:r>
      <w:r w:rsidR="00063046" w:rsidRPr="0015116B">
        <w:t>1</w:t>
      </w:r>
      <w:r w:rsidR="00984131" w:rsidRPr="0015116B">
        <w:t>1</w:t>
      </w:r>
      <w:r w:rsidR="00581083" w:rsidRPr="0015116B">
        <w:t>).</w:t>
      </w:r>
    </w:p>
    <w:p w14:paraId="786A5915" w14:textId="77777777" w:rsidR="00435BF8" w:rsidRPr="0015116B" w:rsidRDefault="00332D46" w:rsidP="00332D46">
      <w:pPr>
        <w:pStyle w:val="Heading3"/>
      </w:pPr>
      <w:r w:rsidRPr="0015116B">
        <w:t xml:space="preserve">3. </w:t>
      </w:r>
      <w:r w:rsidR="00435BF8" w:rsidRPr="0015116B">
        <w:t>Data which may be aggregated over time:</w:t>
      </w:r>
    </w:p>
    <w:p w14:paraId="22E871FE" w14:textId="77777777" w:rsidR="00435BF8" w:rsidRPr="0015116B" w:rsidRDefault="00332D46" w:rsidP="00332D46">
      <w:pPr>
        <w:pStyle w:val="Heading4"/>
      </w:pPr>
      <w:r w:rsidRPr="0015116B">
        <w:t xml:space="preserve">a. </w:t>
      </w:r>
      <w:r w:rsidR="00435BF8" w:rsidRPr="0015116B">
        <w:t>Growth-per-molt</w:t>
      </w:r>
    </w:p>
    <w:p w14:paraId="4A69DE63" w14:textId="51799DD5" w:rsidR="0015084F" w:rsidRPr="0015116B" w:rsidRDefault="00AA3BC3" w:rsidP="0015084F">
      <w:r w:rsidRPr="0015116B">
        <w:t xml:space="preserve">Molt increment data </w:t>
      </w:r>
      <w:r w:rsidR="00206DF6" w:rsidRPr="0015116B">
        <w:t>collected for Tanner crab</w:t>
      </w:r>
      <w:r w:rsidR="00E16C25" w:rsidRPr="0015116B">
        <w:t xml:space="preserve"> in the EBS</w:t>
      </w:r>
      <w:r w:rsidR="00206DF6" w:rsidRPr="0015116B">
        <w:t xml:space="preserve"> in 2015</w:t>
      </w:r>
      <w:r w:rsidR="00E16C25" w:rsidRPr="0015116B">
        <w:t>-2017 and 2019</w:t>
      </w:r>
      <w:r w:rsidR="00206DF6" w:rsidRPr="0015116B">
        <w:t xml:space="preserve"> </w:t>
      </w:r>
      <w:r w:rsidR="00E16C25" w:rsidRPr="0015116B">
        <w:t xml:space="preserve">(Figure </w:t>
      </w:r>
      <w:r w:rsidR="00984131" w:rsidRPr="0015116B">
        <w:t>20</w:t>
      </w:r>
      <w:r w:rsidR="00E16C25" w:rsidRPr="0015116B">
        <w:t xml:space="preserve">) </w:t>
      </w:r>
      <w:r w:rsidRPr="0015116B">
        <w:t xml:space="preserve">is </w:t>
      </w:r>
      <w:r w:rsidR="00E16C25" w:rsidRPr="0015116B">
        <w:t>included in the parameter optimization</w:t>
      </w:r>
      <w:r w:rsidRPr="0015116B">
        <w:t xml:space="preserve"> </w:t>
      </w:r>
      <w:r w:rsidR="00E16C25" w:rsidRPr="0015116B">
        <w:t>for</w:t>
      </w:r>
      <w:r w:rsidRPr="0015116B">
        <w:t xml:space="preserve"> </w:t>
      </w:r>
      <w:r w:rsidR="00E16C25" w:rsidRPr="0015116B">
        <w:t>every model scenario considered in this assessment and is</w:t>
      </w:r>
      <w:r w:rsidRPr="0015116B">
        <w:t xml:space="preserve"> assumed to reflect growth rates over the entire model period.</w:t>
      </w:r>
    </w:p>
    <w:p w14:paraId="5A854FE2" w14:textId="77777777" w:rsidR="00435BF8" w:rsidRPr="0015116B" w:rsidRDefault="00332D46" w:rsidP="00332D46">
      <w:pPr>
        <w:pStyle w:val="Heading4"/>
      </w:pPr>
      <w:r w:rsidRPr="0015116B">
        <w:t xml:space="preserve">b. </w:t>
      </w:r>
      <w:r w:rsidR="0015084F" w:rsidRPr="0015116B">
        <w:t>Weight-at size</w:t>
      </w:r>
    </w:p>
    <w:p w14:paraId="47567BB9" w14:textId="6D66E618" w:rsidR="00DC5D2D" w:rsidRPr="0015116B" w:rsidRDefault="0015084F" w:rsidP="00DC5D2D">
      <w:r w:rsidRPr="0015116B">
        <w:t xml:space="preserve">Weight-at-size </w:t>
      </w:r>
      <w:r w:rsidR="00063046" w:rsidRPr="0015116B">
        <w:t>relationships</w:t>
      </w:r>
      <w:r w:rsidRPr="0015116B">
        <w:t xml:space="preserve"> used in the assessment model for males, immature females, and mature females </w:t>
      </w:r>
      <w:r w:rsidR="00057FE3" w:rsidRPr="0015116B">
        <w:t>is</w:t>
      </w:r>
      <w:r w:rsidR="00063046" w:rsidRPr="0015116B">
        <w:t xml:space="preserve"> depicted in Fig</w:t>
      </w:r>
      <w:r w:rsidR="00AA3BC3" w:rsidRPr="0015116B">
        <w:t>ure</w:t>
      </w:r>
      <w:r w:rsidR="00057FE3" w:rsidRPr="0015116B">
        <w:t xml:space="preserve"> </w:t>
      </w:r>
      <w:r w:rsidR="00984131" w:rsidRPr="0015116B">
        <w:t>21</w:t>
      </w:r>
      <w:r w:rsidRPr="0015116B">
        <w:t>.</w:t>
      </w:r>
    </w:p>
    <w:p w14:paraId="5BD55441" w14:textId="77777777" w:rsidR="0015084F" w:rsidRPr="0015116B" w:rsidRDefault="0015084F" w:rsidP="0015084F">
      <w:pPr>
        <w:pStyle w:val="Heading4"/>
      </w:pPr>
      <w:r w:rsidRPr="0015116B">
        <w:t>c. Size distribution at recruitment</w:t>
      </w:r>
    </w:p>
    <w:p w14:paraId="220E189B" w14:textId="43645439" w:rsidR="0015084F" w:rsidRPr="0015116B" w:rsidRDefault="0015084F" w:rsidP="00DC5D2D">
      <w:r w:rsidRPr="0015116B">
        <w:t>The assumed size distribution for recruits to the population</w:t>
      </w:r>
      <w:r w:rsidR="00F36F53" w:rsidRPr="0015116B">
        <w:t xml:space="preserve"> in the assessment model is </w:t>
      </w:r>
      <w:r w:rsidRPr="0015116B">
        <w:t>presented in Fig</w:t>
      </w:r>
      <w:r w:rsidR="00F8280C" w:rsidRPr="0015116B">
        <w:t>ure</w:t>
      </w:r>
      <w:r w:rsidRPr="0015116B">
        <w:t xml:space="preserve"> </w:t>
      </w:r>
      <w:r w:rsidR="00DB246D" w:rsidRPr="0015116B">
        <w:t>2</w:t>
      </w:r>
      <w:r w:rsidR="00F16CEA" w:rsidRPr="0015116B">
        <w:t>2</w:t>
      </w:r>
      <w:r w:rsidRPr="0015116B">
        <w:t>.</w:t>
      </w:r>
    </w:p>
    <w:p w14:paraId="11D2C7BB" w14:textId="77777777" w:rsidR="00435BF8" w:rsidRPr="0015116B" w:rsidRDefault="00332D46" w:rsidP="00332D46">
      <w:pPr>
        <w:pStyle w:val="Heading3"/>
      </w:pPr>
      <w:r w:rsidRPr="0015116B">
        <w:t xml:space="preserve">4. </w:t>
      </w:r>
      <w:r w:rsidR="00435BF8" w:rsidRPr="0015116B">
        <w:t>Information on any data sources that were available, but were excluded from the assessment.</w:t>
      </w:r>
    </w:p>
    <w:p w14:paraId="5E45071B" w14:textId="416BCB46" w:rsidR="00E542F1" w:rsidRPr="0015116B" w:rsidRDefault="00063046" w:rsidP="00E542F1">
      <w:r w:rsidRPr="0015116B">
        <w:t xml:space="preserve">The 1974 NMFS trawl survey </w:t>
      </w:r>
      <w:r w:rsidR="00024DE1" w:rsidRPr="0015116B">
        <w:t>was</w:t>
      </w:r>
      <w:r w:rsidRPr="0015116B">
        <w:t xml:space="preserve"> dropped </w:t>
      </w:r>
      <w:r w:rsidR="00024DE1" w:rsidRPr="0015116B">
        <w:t xml:space="preserve">entirely </w:t>
      </w:r>
      <w:r w:rsidRPr="0015116B">
        <w:t xml:space="preserve">from the standardized survey dataset </w:t>
      </w:r>
      <w:r w:rsidR="00057FE3" w:rsidRPr="0015116B">
        <w:t xml:space="preserve">in 2015 </w:t>
      </w:r>
      <w:r w:rsidRPr="0015116B">
        <w:t>due to inconsistencies in spatial coverage with the standardized dataset.</w:t>
      </w:r>
      <w:r w:rsidR="00AA3BC3" w:rsidRPr="0015116B">
        <w:t xml:space="preserve"> </w:t>
      </w:r>
      <w:r w:rsidR="000B4D3B" w:rsidRPr="0015116B">
        <w:t>Molt increment data from the Kodiak area in the Gulf of Alaska were not included in the assessment given the current use of molt increment data from the EBS to inform growth estimates. BSFRF survey data focused on Tanner crab recruitment (size compositions) have</w:t>
      </w:r>
      <w:r w:rsidR="00AA3BC3" w:rsidRPr="0015116B">
        <w:t xml:space="preserve"> not yet </w:t>
      </w:r>
      <w:r w:rsidR="000B4D3B" w:rsidRPr="0015116B">
        <w:t xml:space="preserve">been </w:t>
      </w:r>
      <w:r w:rsidR="00AA3BC3" w:rsidRPr="0015116B">
        <w:t>incorporated in</w:t>
      </w:r>
      <w:r w:rsidR="00735E5C" w:rsidRPr="0015116B">
        <w:t>to</w:t>
      </w:r>
      <w:r w:rsidR="00AA3BC3" w:rsidRPr="0015116B">
        <w:t xml:space="preserve"> the assessment.</w:t>
      </w:r>
    </w:p>
    <w:p w14:paraId="192E7D2A" w14:textId="77777777" w:rsidR="00435BF8" w:rsidRPr="0015116B" w:rsidRDefault="00332D46" w:rsidP="00FD17DD">
      <w:pPr>
        <w:pStyle w:val="Heading1"/>
      </w:pPr>
      <w:r w:rsidRPr="0015116B">
        <w:t xml:space="preserve">E. </w:t>
      </w:r>
      <w:r w:rsidR="00435BF8" w:rsidRPr="0015116B">
        <w:t>Analytic Approach</w:t>
      </w:r>
    </w:p>
    <w:p w14:paraId="27846C62" w14:textId="77777777" w:rsidR="00822856" w:rsidRPr="0015116B" w:rsidRDefault="00332D46" w:rsidP="00FD17DD">
      <w:pPr>
        <w:pStyle w:val="Heading2"/>
      </w:pPr>
      <w:r w:rsidRPr="0015116B">
        <w:t xml:space="preserve">1. </w:t>
      </w:r>
      <w:r w:rsidR="00435BF8" w:rsidRPr="0015116B">
        <w:t>History of modeling approaches for this stock</w:t>
      </w:r>
    </w:p>
    <w:p w14:paraId="1E3EA0F4" w14:textId="2F697BDC" w:rsidR="00EA0A08" w:rsidRPr="0015116B" w:rsidRDefault="00EA0A08" w:rsidP="00EA0A08">
      <w:r w:rsidRPr="0015116B">
        <w:t xml:space="preserve">Prior to the 2012 stock assessment, </w:t>
      </w:r>
      <w:r w:rsidR="00E731D7" w:rsidRPr="0015116B">
        <w:t xml:space="preserve">Tanner crab was managed as a Tier-4 stock using a survey-based assessment approach (Rugolo and </w:t>
      </w:r>
      <w:proofErr w:type="spellStart"/>
      <w:r w:rsidR="00E731D7" w:rsidRPr="0015116B">
        <w:t>Turnock</w:t>
      </w:r>
      <w:proofErr w:type="spellEnd"/>
      <w:r w:rsidR="00E731D7" w:rsidRPr="0015116B">
        <w:t xml:space="preserve"> 2011b).</w:t>
      </w:r>
      <w:r w:rsidRPr="0015116B">
        <w:t xml:space="preserve"> The Tier 3 Tanner Crab Stock Assessment Model (TCSAM) was developed by Rugolo and </w:t>
      </w:r>
      <w:proofErr w:type="spellStart"/>
      <w:r w:rsidRPr="0015116B">
        <w:t>Turnock</w:t>
      </w:r>
      <w:proofErr w:type="spellEnd"/>
      <w:r w:rsidRPr="0015116B">
        <w:t xml:space="preserve"> and presented for review in February 2011 to the Crab Modeling Workshop (Martel and Stram 2011), to the SSC in March 2011, to the CPT in May 2011, and to the CPT and SSC in September 2011. The model was revised after May 2011 and the report to the CPT in September 2011 (Rugolo and </w:t>
      </w:r>
      <w:proofErr w:type="spellStart"/>
      <w:r w:rsidRPr="0015116B">
        <w:t>Turnock</w:t>
      </w:r>
      <w:proofErr w:type="spellEnd"/>
      <w:r w:rsidRPr="0015116B">
        <w:t xml:space="preserve"> 2011a) described the developments in the model per recommendations of the CPT, SSC and Crab Modeling Workshop through September 2011. In January 2012, the TCSAM was reviewed at a second Crab Modeling Workshop. Model revisions were made during the Workshop based on consensus recommendations. The model resulting from the Workshop was presented to the SSC in January 2012. </w:t>
      </w:r>
      <w:r w:rsidR="001925DA" w:rsidRPr="0015116B">
        <w:t>R</w:t>
      </w:r>
      <w:r w:rsidRPr="0015116B">
        <w:t xml:space="preserve">ecommendations </w:t>
      </w:r>
      <w:r w:rsidR="001925DA" w:rsidRPr="0015116B">
        <w:t>from</w:t>
      </w:r>
      <w:r w:rsidRPr="0015116B">
        <w:t xml:space="preserve"> the January 2012 Workshop and </w:t>
      </w:r>
      <w:r w:rsidR="001925DA" w:rsidRPr="0015116B">
        <w:t xml:space="preserve">the </w:t>
      </w:r>
      <w:r w:rsidRPr="0015116B">
        <w:t xml:space="preserve">SSC, as well as </w:t>
      </w:r>
      <w:r w:rsidR="00E111AD" w:rsidRPr="0015116B">
        <w:t>the authors</w:t>
      </w:r>
      <w:r w:rsidRPr="0015116B">
        <w:t>’ research plans</w:t>
      </w:r>
      <w:r w:rsidR="001925DA" w:rsidRPr="0015116B">
        <w:t>,</w:t>
      </w:r>
      <w:r w:rsidRPr="0015116B">
        <w:t xml:space="preserve"> guided changes to the model. A model incorporating all revisions </w:t>
      </w:r>
      <w:r w:rsidRPr="0015116B">
        <w:lastRenderedPageBreak/>
        <w:t xml:space="preserve">recommended by the CPT, </w:t>
      </w:r>
      <w:r w:rsidR="001925DA" w:rsidRPr="0015116B">
        <w:t xml:space="preserve">the </w:t>
      </w:r>
      <w:r w:rsidRPr="0015116B">
        <w:t>SSC and both Crab Modeling Workshops was presented to the SSC in March 2012.</w:t>
      </w:r>
    </w:p>
    <w:p w14:paraId="63B170B4" w14:textId="77777777" w:rsidR="00EA0A08" w:rsidRPr="0015116B" w:rsidRDefault="00EA0A08" w:rsidP="00EA0A08">
      <w:r w:rsidRPr="0015116B">
        <w:t xml:space="preserve"> In May 2012 and June 2012, respectively, the TCSAM was presented to the CPT and SSC to determine its suitability for stock assessment and the rebuilding analysis (Rugolo and </w:t>
      </w:r>
      <w:proofErr w:type="spellStart"/>
      <w:r w:rsidRPr="0015116B">
        <w:t>Turnock</w:t>
      </w:r>
      <w:proofErr w:type="spellEnd"/>
      <w:r w:rsidRPr="0015116B">
        <w:t xml:space="preserve"> 2012</w:t>
      </w:r>
      <w:r w:rsidR="009927D8" w:rsidRPr="0015116B">
        <w:t>b</w:t>
      </w:r>
      <w:r w:rsidRPr="0015116B">
        <w:t xml:space="preserve">). The CPT agreed that the model could be accepted for management of the stock in the 2011/12 cycle, and that the stock should be promoted to Tier-3 status. The CPT also agreed that the TCSAM could be used as the basis for rebuilding analyses to underlie a rebuilding plan developed in 2012. In June 2012, the SSC reviewed the model and accepted the recommendations of the CPT. The Council subsequently approved the SSC recommendations in June 2012. For 2011/12, the Tanner crab </w:t>
      </w:r>
      <w:r w:rsidR="00D538E0" w:rsidRPr="0015116B">
        <w:t>wa</w:t>
      </w:r>
      <w:r w:rsidRPr="0015116B">
        <w:t xml:space="preserve">s assessed as a Tier-3 stock and the model </w:t>
      </w:r>
      <w:r w:rsidR="00D538E0" w:rsidRPr="0015116B">
        <w:t>was</w:t>
      </w:r>
      <w:r w:rsidRPr="0015116B">
        <w:t xml:space="preserve"> used </w:t>
      </w:r>
      <w:r w:rsidR="00D538E0" w:rsidRPr="0015116B">
        <w:t xml:space="preserve">for the first time </w:t>
      </w:r>
      <w:r w:rsidRPr="0015116B">
        <w:t>to estimate status determination criteria and overfishing levels.</w:t>
      </w:r>
    </w:p>
    <w:p w14:paraId="293D8ED8" w14:textId="6FB378C4" w:rsidR="00DC5D2D" w:rsidRPr="0015116B" w:rsidRDefault="00420E50" w:rsidP="00E731D7">
      <w:r w:rsidRPr="0015116B">
        <w:t xml:space="preserve">Modifications </w:t>
      </w:r>
      <w:r w:rsidR="005E55F6" w:rsidRPr="0015116B">
        <w:t>wer</w:t>
      </w:r>
      <w:r w:rsidRPr="0015116B">
        <w:t>e to</w:t>
      </w:r>
      <w:r w:rsidR="00D538E0" w:rsidRPr="0015116B">
        <w:t xml:space="preserve"> the TCSAM computer code to improve code readability, computational speed, model output, and user friendliness without altering its underlying dynamics and overall framework. </w:t>
      </w:r>
      <w:r w:rsidRPr="0015116B">
        <w:t xml:space="preserve">A </w:t>
      </w:r>
      <w:r w:rsidR="00063046" w:rsidRPr="0015116B">
        <w:t>detailed</w:t>
      </w:r>
      <w:r w:rsidRPr="0015116B">
        <w:t xml:space="preserve"> description of the 2013 model (TCSAM2013) is presented in Appendix 3</w:t>
      </w:r>
      <w:r w:rsidR="00063046" w:rsidRPr="0015116B">
        <w:t xml:space="preserve"> of the 2014 SAFE chapter (Stockhausen, 2014)</w:t>
      </w:r>
      <w:r w:rsidRPr="0015116B">
        <w:t>.</w:t>
      </w:r>
      <w:r w:rsidR="00C63191" w:rsidRPr="0015116B">
        <w:t xml:space="preserve"> Following the 2014 assessment, the model code was put under version control using “git” software and is publicly available for download from the GitHub website</w:t>
      </w:r>
      <w:r w:rsidR="00C63191" w:rsidRPr="0015116B">
        <w:rPr>
          <w:rStyle w:val="FootnoteReference"/>
        </w:rPr>
        <w:footnoteReference w:id="1"/>
      </w:r>
      <w:r w:rsidR="00C63191" w:rsidRPr="0015116B">
        <w:t xml:space="preserve">. </w:t>
      </w:r>
    </w:p>
    <w:p w14:paraId="234337A5" w14:textId="15A6BEFA" w:rsidR="00D671B6" w:rsidRPr="0015116B" w:rsidRDefault="005E55F6" w:rsidP="00E731D7">
      <w:r w:rsidRPr="0015116B">
        <w:t>The current</w:t>
      </w:r>
      <w:r w:rsidR="000057CD" w:rsidRPr="0015116B">
        <w:t xml:space="preserve"> model “framework”, TCSAM02, </w:t>
      </w:r>
      <w:r w:rsidR="00BC7A33" w:rsidRPr="0015116B">
        <w:t xml:space="preserve">was </w:t>
      </w:r>
      <w:r w:rsidR="000057CD" w:rsidRPr="0015116B">
        <w:t xml:space="preserve">reviewed </w:t>
      </w:r>
      <w:r w:rsidR="00BC7A33" w:rsidRPr="0015116B">
        <w:t>by the CPT and SSC in May/June 2017</w:t>
      </w:r>
      <w:r w:rsidR="00206DF6" w:rsidRPr="0015116B">
        <w:t xml:space="preserve"> and adopted for use in</w:t>
      </w:r>
      <w:r w:rsidR="000057CD" w:rsidRPr="0015116B">
        <w:t xml:space="preserve"> </w:t>
      </w:r>
      <w:r w:rsidR="00206DF6" w:rsidRPr="0015116B">
        <w:t>subsequent</w:t>
      </w:r>
      <w:r w:rsidR="000057CD" w:rsidRPr="0015116B">
        <w:t xml:space="preserve"> assessment</w:t>
      </w:r>
      <w:r w:rsidR="00206DF6" w:rsidRPr="0015116B">
        <w:t>s as a transition to Gmacs</w:t>
      </w:r>
      <w:r w:rsidR="000057CD" w:rsidRPr="0015116B">
        <w:t>. Th</w:t>
      </w:r>
      <w:r w:rsidRPr="0015116B">
        <w:t>is</w:t>
      </w:r>
      <w:r w:rsidR="000057CD" w:rsidRPr="0015116B">
        <w:t xml:space="preserve"> framework is a completely-rewritten basis for the Tanner crab model: substantially different model scenarios can be created and run by editing model configuration files rather than modifying the underlying code itself. Most importantly, no time blocks are “hard-wired” into the code—any time blocks are defined in the configuration files. In addition, the framework </w:t>
      </w:r>
      <w:r w:rsidRPr="0015116B">
        <w:t xml:space="preserve">has been used to </w:t>
      </w:r>
      <w:r w:rsidR="003D3184" w:rsidRPr="0015116B">
        <w:t>incorporate</w:t>
      </w:r>
      <w:r w:rsidR="000057CD" w:rsidRPr="0015116B">
        <w:t xml:space="preserve"> new data types (molt increment data</w:t>
      </w:r>
      <w:r w:rsidR="00BC7A33" w:rsidRPr="0015116B">
        <w:t>, male maturity ogives</w:t>
      </w:r>
      <w:r w:rsidR="000057CD" w:rsidRPr="0015116B">
        <w:t>)</w:t>
      </w:r>
      <w:r w:rsidR="003D3184" w:rsidRPr="0015116B">
        <w:t xml:space="preserve">, new survey data (the BSFRF surveys), and new fishery data (bycatch in the groundfish fisheries by gear type). </w:t>
      </w:r>
      <w:r w:rsidR="00D94249" w:rsidRPr="0015116B">
        <w:t>The framework also incorporates status determination and OFL calculation</w:t>
      </w:r>
      <w:r w:rsidR="00D671B6" w:rsidRPr="0015116B">
        <w:t>s</w:t>
      </w:r>
      <w:r w:rsidR="00D94249" w:rsidRPr="0015116B">
        <w:t xml:space="preserve"> directly within a model run, so a follow-on, stand-alone projection model does not need to be run</w:t>
      </w:r>
      <w:r w:rsidR="00D671B6" w:rsidRPr="0015116B">
        <w:t xml:space="preserve"> (</w:t>
      </w:r>
      <w:r w:rsidR="00D94249" w:rsidRPr="0015116B">
        <w:t xml:space="preserve">as </w:t>
      </w:r>
      <w:r w:rsidR="00D671B6" w:rsidRPr="0015116B">
        <w:t xml:space="preserve">was the case </w:t>
      </w:r>
      <w:r w:rsidR="00D94249" w:rsidRPr="0015116B">
        <w:t>with TCSAM2013</w:t>
      </w:r>
      <w:r w:rsidR="00D671B6" w:rsidRPr="0015116B">
        <w:t>)</w:t>
      </w:r>
      <w:r w:rsidR="00D94249" w:rsidRPr="0015116B">
        <w:t xml:space="preserve">. This approach has the added benefit of allowing a more complete characterization of model uncertainty in the OFL calculation, because the OFL calculations </w:t>
      </w:r>
      <w:r w:rsidR="00BC7A33" w:rsidRPr="0015116B">
        <w:t>are now</w:t>
      </w:r>
      <w:r w:rsidR="00D94249" w:rsidRPr="0015116B">
        <w:t xml:space="preserve"> included in </w:t>
      </w:r>
      <w:r w:rsidRPr="0015116B">
        <w:t xml:space="preserve">the </w:t>
      </w:r>
      <w:r w:rsidR="00D94249" w:rsidRPr="0015116B">
        <w:t>Markov Chain Monte Carlo (MCMC) evaluation of a model’s posterior probability distribution.</w:t>
      </w:r>
      <w:r w:rsidR="00206DF6" w:rsidRPr="0015116B">
        <w:t xml:space="preserve"> </w:t>
      </w:r>
    </w:p>
    <w:p w14:paraId="2987AFFB" w14:textId="2647AF0D" w:rsidR="003D3184" w:rsidRPr="0015116B" w:rsidRDefault="00D671B6" w:rsidP="00E731D7">
      <w:r w:rsidRPr="0015116B">
        <w:t>Most recently, the model code has been restructured to function in a management strategy evaluation (MSE) mode</w:t>
      </w:r>
      <w:r w:rsidR="005E55F6" w:rsidRPr="0015116B">
        <w:t xml:space="preserve"> and allow retrospective analyses</w:t>
      </w:r>
      <w:r w:rsidRPr="0015116B">
        <w:t xml:space="preserve">. </w:t>
      </w:r>
      <w:r w:rsidR="003D3184" w:rsidRPr="0015116B">
        <w:t>The code for the TCSAM02 model framework is publicly available on GitHub</w:t>
      </w:r>
      <w:r w:rsidR="003D3184" w:rsidRPr="0015116B">
        <w:rPr>
          <w:rStyle w:val="FootnoteReference"/>
        </w:rPr>
        <w:footnoteReference w:id="2"/>
      </w:r>
      <w:r w:rsidR="003D3184" w:rsidRPr="0015116B">
        <w:t>.</w:t>
      </w:r>
    </w:p>
    <w:p w14:paraId="399DCC10" w14:textId="77777777" w:rsidR="00435BF8" w:rsidRPr="0015116B" w:rsidRDefault="00332D46" w:rsidP="002578BA">
      <w:pPr>
        <w:pStyle w:val="Heading2"/>
        <w:rPr>
          <w:rFonts w:ascii="Arial" w:hAnsi="Arial" w:cs="Arial"/>
          <w:sz w:val="24"/>
          <w:szCs w:val="24"/>
        </w:rPr>
      </w:pPr>
      <w:r w:rsidRPr="0015116B">
        <w:t xml:space="preserve">2. </w:t>
      </w:r>
      <w:r w:rsidR="00435BF8" w:rsidRPr="0015116B">
        <w:t>Model Description</w:t>
      </w:r>
    </w:p>
    <w:p w14:paraId="75AA423F" w14:textId="77777777" w:rsidR="003038F0" w:rsidRPr="0015116B" w:rsidRDefault="00332D46" w:rsidP="00332D46">
      <w:pPr>
        <w:pStyle w:val="Heading4"/>
      </w:pPr>
      <w:r w:rsidRPr="0015116B">
        <w:t xml:space="preserve">a. </w:t>
      </w:r>
      <w:r w:rsidR="00585D54" w:rsidRPr="0015116B">
        <w:t>O</w:t>
      </w:r>
      <w:r w:rsidR="00435BF8" w:rsidRPr="0015116B">
        <w:t>verall modeling approach</w:t>
      </w:r>
    </w:p>
    <w:p w14:paraId="1FBC732F" w14:textId="0811CC31" w:rsidR="00585D54" w:rsidRPr="0015116B" w:rsidRDefault="00E731D7" w:rsidP="00DC5D2D">
      <w:r w:rsidRPr="0015116B">
        <w:t>T</w:t>
      </w:r>
      <w:r w:rsidR="00CA4388" w:rsidRPr="0015116B">
        <w:t>CSAM</w:t>
      </w:r>
      <w:r w:rsidR="003D3184" w:rsidRPr="0015116B">
        <w:t>02</w:t>
      </w:r>
      <w:r w:rsidRPr="0015116B">
        <w:t xml:space="preserve"> is a </w:t>
      </w:r>
      <w:r w:rsidR="00C95F99" w:rsidRPr="0015116B">
        <w:t>stage/size-based population dynamics model that incorporates sex (male, female), shell condition (new shell, old shell), and maturity (immature, mature)</w:t>
      </w:r>
      <w:r w:rsidR="00CA4388" w:rsidRPr="0015116B">
        <w:t xml:space="preserve"> as different categories into which the overall stock is divided on a size-specific basis. </w:t>
      </w:r>
      <w:r w:rsidR="00585D54" w:rsidRPr="0015116B">
        <w:t>For details of the mode</w:t>
      </w:r>
      <w:r w:rsidR="009927D8" w:rsidRPr="0015116B">
        <w:t xml:space="preserve">l, the reader is referred to </w:t>
      </w:r>
      <w:r w:rsidR="00C062D4" w:rsidRPr="0015116B">
        <w:t xml:space="preserve">Appendix </w:t>
      </w:r>
      <w:r w:rsidR="00A53B61" w:rsidRPr="0015116B">
        <w:t>1</w:t>
      </w:r>
      <w:r w:rsidR="00585D54" w:rsidRPr="0015116B">
        <w:t xml:space="preserve">. </w:t>
      </w:r>
    </w:p>
    <w:p w14:paraId="1B9B9523" w14:textId="299CD325" w:rsidR="00DC5D2D" w:rsidRPr="0015116B" w:rsidRDefault="00585D54" w:rsidP="00DC5D2D">
      <w:r w:rsidRPr="0015116B">
        <w:t>In brief, c</w:t>
      </w:r>
      <w:r w:rsidR="00CA4388" w:rsidRPr="0015116B">
        <w:t>rab enter the modeled population as recruits following the size distribution in Fig</w:t>
      </w:r>
      <w:r w:rsidR="003D3184" w:rsidRPr="0015116B">
        <w:t>ure</w:t>
      </w:r>
      <w:r w:rsidR="00CA4388" w:rsidRPr="0015116B">
        <w:t xml:space="preserve"> </w:t>
      </w:r>
      <w:r w:rsidR="003D3184" w:rsidRPr="0015116B">
        <w:t>2</w:t>
      </w:r>
      <w:r w:rsidR="005E55F6" w:rsidRPr="0015116B">
        <w:t>2</w:t>
      </w:r>
      <w:r w:rsidR="00CA4388" w:rsidRPr="0015116B">
        <w:t xml:space="preserve">. An equal (50:50) sex ratio is </w:t>
      </w:r>
      <w:r w:rsidR="00D671B6" w:rsidRPr="0015116B">
        <w:t xml:space="preserve">generally </w:t>
      </w:r>
      <w:r w:rsidR="00CA4388" w:rsidRPr="0015116B">
        <w:t>assumed at recruitment</w:t>
      </w:r>
      <w:r w:rsidR="00D671B6" w:rsidRPr="0015116B">
        <w:t xml:space="preserve"> (although can be set otherwise or estimated)</w:t>
      </w:r>
      <w:r w:rsidR="00CA4388" w:rsidRPr="0015116B">
        <w:t xml:space="preserve">, and all recruits begin as immature, new shell crab. </w:t>
      </w:r>
      <w:r w:rsidR="004945E8" w:rsidRPr="0015116B">
        <w:t xml:space="preserve">Within a </w:t>
      </w:r>
      <w:r w:rsidR="006F1469" w:rsidRPr="0015116B">
        <w:t xml:space="preserve">model </w:t>
      </w:r>
      <w:r w:rsidR="004945E8" w:rsidRPr="0015116B">
        <w:t xml:space="preserve">year, </w:t>
      </w:r>
      <w:r w:rsidR="006F1469" w:rsidRPr="0015116B">
        <w:t xml:space="preserve">new shell, immature recruits are added to the </w:t>
      </w:r>
      <w:r w:rsidR="004945E8" w:rsidRPr="0015116B">
        <w:t>p</w:t>
      </w:r>
      <w:r w:rsidR="00CA4388" w:rsidRPr="0015116B">
        <w:t xml:space="preserve">opulation numbers-at-sex/shell condition/maturity state/size </w:t>
      </w:r>
      <w:r w:rsidR="006F1469" w:rsidRPr="0015116B">
        <w:t xml:space="preserve">remaining </w:t>
      </w:r>
      <w:r w:rsidR="004945E8" w:rsidRPr="0015116B">
        <w:t>on July 1</w:t>
      </w:r>
      <w:r w:rsidRPr="0015116B">
        <w:t xml:space="preserve"> from the previous year. These</w:t>
      </w:r>
      <w:r w:rsidR="004945E8" w:rsidRPr="0015116B">
        <w:t xml:space="preserve"> </w:t>
      </w:r>
      <w:r w:rsidR="00CA4388" w:rsidRPr="0015116B">
        <w:t xml:space="preserve">are </w:t>
      </w:r>
      <w:r w:rsidRPr="0015116B">
        <w:t>then</w:t>
      </w:r>
      <w:r w:rsidR="004945E8" w:rsidRPr="0015116B">
        <w:t xml:space="preserve"> </w:t>
      </w:r>
      <w:r w:rsidRPr="0015116B">
        <w:t xml:space="preserve">projected forward to Feb. 15 </w:t>
      </w:r>
      <w:r w:rsidR="00505B36" w:rsidRPr="0015116B">
        <w:t>(</w:t>
      </w:r>
      <m:oMath>
        <m:r>
          <w:rPr>
            <w:rFonts w:ascii="Cambria Math" w:hAnsi="Cambria Math"/>
          </w:rPr>
          <m:t>δt=0.625</m:t>
        </m:r>
      </m:oMath>
      <w:r w:rsidR="00505B36" w:rsidRPr="0015116B">
        <w:rPr>
          <w:rFonts w:eastAsiaTheme="minorEastAsia"/>
        </w:rPr>
        <w:t xml:space="preserve"> yr) </w:t>
      </w:r>
      <w:r w:rsidRPr="0015116B">
        <w:t>and reduced</w:t>
      </w:r>
      <w:r w:rsidR="004945E8" w:rsidRPr="0015116B">
        <w:t xml:space="preserve"> for the </w:t>
      </w:r>
      <w:r w:rsidRPr="0015116B">
        <w:t xml:space="preserve">interim </w:t>
      </w:r>
      <w:r w:rsidR="004945E8" w:rsidRPr="0015116B">
        <w:t>effect</w:t>
      </w:r>
      <w:r w:rsidRPr="0015116B">
        <w:t>s</w:t>
      </w:r>
      <w:r w:rsidR="004945E8" w:rsidRPr="0015116B">
        <w:t xml:space="preserve"> of natural mortality</w:t>
      </w:r>
      <w:r w:rsidRPr="0015116B">
        <w:t>. Subsequently,</w:t>
      </w:r>
      <w:r w:rsidR="004945E8" w:rsidRPr="0015116B">
        <w:t xml:space="preserve"> the various fisheries that either target Tanner crab or catch </w:t>
      </w:r>
      <w:r w:rsidR="004945E8" w:rsidRPr="0015116B">
        <w:lastRenderedPageBreak/>
        <w:t>them as bycatch are prosecuted as pulse fisheries</w:t>
      </w:r>
      <w:r w:rsidRPr="0015116B">
        <w:t xml:space="preserve"> (i.e., instantaneously)</w:t>
      </w:r>
      <w:r w:rsidR="004945E8" w:rsidRPr="0015116B">
        <w:t>. C</w:t>
      </w:r>
      <w:r w:rsidR="00CA4388" w:rsidRPr="0015116B">
        <w:t>atch</w:t>
      </w:r>
      <w:r w:rsidR="00505B36" w:rsidRPr="0015116B">
        <w:t xml:space="preserve"> by </w:t>
      </w:r>
      <w:r w:rsidR="00CA4388" w:rsidRPr="0015116B">
        <w:t>sex/shell condition/maturity state/size</w:t>
      </w:r>
      <w:r w:rsidR="004945E8" w:rsidRPr="0015116B">
        <w:t xml:space="preserve"> in the directed Tanner crab, snow crab, BBRKC, and groundfish fisheries is calculated based on fishery-specific stage/size-based selectivity curves and fully-selected fishing mortalities and removed from the population. The numbers of </w:t>
      </w:r>
      <w:r w:rsidR="006F1469" w:rsidRPr="0015116B">
        <w:t>surviving</w:t>
      </w:r>
      <w:r w:rsidR="004945E8" w:rsidRPr="0015116B">
        <w:t xml:space="preserve"> immature, new shell crab</w:t>
      </w:r>
      <w:r w:rsidR="006F1469" w:rsidRPr="0015116B">
        <w:t xml:space="preserve"> that will molt to maturity are then calculated based on sex/size-specific probabilities of maturing, </w:t>
      </w:r>
      <w:r w:rsidRPr="0015116B">
        <w:t xml:space="preserve">and </w:t>
      </w:r>
      <w:r w:rsidR="006F1469" w:rsidRPr="0015116B">
        <w:t xml:space="preserve">growth </w:t>
      </w:r>
      <w:r w:rsidRPr="0015116B">
        <w:t xml:space="preserve">(via molt) </w:t>
      </w:r>
      <w:r w:rsidR="006F1469" w:rsidRPr="0015116B">
        <w:t xml:space="preserve">is calculated for all surviving new shell crab. Crab that were new shell, mature crab become old shell, mature crab (i.e., they don’t molt) and old shell crab remain old shell. Population numbers are then adjusted for </w:t>
      </w:r>
      <w:r w:rsidRPr="0015116B">
        <w:t xml:space="preserve">the effects of </w:t>
      </w:r>
      <w:r w:rsidR="006F1469" w:rsidRPr="0015116B">
        <w:t>maturation, growth, and change in shell condition.</w:t>
      </w:r>
      <w:r w:rsidRPr="0015116B">
        <w:t xml:space="preserve"> Finally, population numbers are reduced for the effects of natural mortality operating from Feb. 15 to July 1 </w:t>
      </w:r>
      <w:r w:rsidR="00505B36" w:rsidRPr="0015116B">
        <w:t>(</w:t>
      </w:r>
      <m:oMath>
        <m:r>
          <w:rPr>
            <w:rFonts w:ascii="Cambria Math" w:hAnsi="Cambria Math"/>
          </w:rPr>
          <m:t>δt=0.375</m:t>
        </m:r>
      </m:oMath>
      <w:r w:rsidR="00505B36" w:rsidRPr="0015116B">
        <w:rPr>
          <w:rFonts w:eastAsiaTheme="minorEastAsia"/>
        </w:rPr>
        <w:t xml:space="preserve"> yr) </w:t>
      </w:r>
      <w:r w:rsidRPr="0015116B">
        <w:t>to calculate the population numbers (prior to recruitment) on July 1.</w:t>
      </w:r>
    </w:p>
    <w:p w14:paraId="3AB528FF" w14:textId="3A1F6DFD" w:rsidR="00DC5D2D" w:rsidRPr="0015116B" w:rsidRDefault="00585D54" w:rsidP="00DC5D2D">
      <w:r w:rsidRPr="0015116B">
        <w:t>Model parameters are estimated usin</w:t>
      </w:r>
      <w:r w:rsidR="00147E88" w:rsidRPr="0015116B">
        <w:t xml:space="preserve">g a maximum likelihood approach, </w:t>
      </w:r>
      <w:r w:rsidRPr="0015116B">
        <w:t xml:space="preserve">with Bayesian-like </w:t>
      </w:r>
      <w:r w:rsidR="00147E88" w:rsidRPr="0015116B">
        <w:t>priors</w:t>
      </w:r>
      <w:r w:rsidRPr="0015116B">
        <w:t xml:space="preserve"> on some</w:t>
      </w:r>
      <w:r w:rsidR="00F90386" w:rsidRPr="0015116B">
        <w:t xml:space="preserve"> parameters</w:t>
      </w:r>
      <w:r w:rsidR="00147E88" w:rsidRPr="0015116B">
        <w:t xml:space="preserve"> and penalties for smoothness and regularity on others</w:t>
      </w:r>
      <w:r w:rsidR="00F90386" w:rsidRPr="0015116B">
        <w:t xml:space="preserve">. </w:t>
      </w:r>
      <w:r w:rsidR="00147E88" w:rsidRPr="0015116B">
        <w:t>Data c</w:t>
      </w:r>
      <w:r w:rsidR="00F90386" w:rsidRPr="0015116B">
        <w:t xml:space="preserve">omponents </w:t>
      </w:r>
      <w:r w:rsidR="003D3184" w:rsidRPr="0015116B">
        <w:t xml:space="preserve">in the base model </w:t>
      </w:r>
      <w:r w:rsidR="00F90386" w:rsidRPr="0015116B">
        <w:t xml:space="preserve">entering the likelihood include </w:t>
      </w:r>
      <w:r w:rsidR="00DC06CC" w:rsidRPr="0015116B">
        <w:t xml:space="preserve">fits to </w:t>
      </w:r>
      <w:r w:rsidR="00BC169E" w:rsidRPr="0015116B">
        <w:t xml:space="preserve">mature </w:t>
      </w:r>
      <w:r w:rsidR="00DC06CC" w:rsidRPr="0015116B">
        <w:t xml:space="preserve">survey biomass, survey size compositions, </w:t>
      </w:r>
      <w:r w:rsidR="005A2374" w:rsidRPr="0015116B">
        <w:t xml:space="preserve">retained catch, retained catch size compositions, </w:t>
      </w:r>
      <w:r w:rsidR="00BC169E" w:rsidRPr="0015116B">
        <w:t>bycatch</w:t>
      </w:r>
      <w:r w:rsidR="005A2374" w:rsidRPr="0015116B">
        <w:t xml:space="preserve"> mortality in the bycatch fisheries, </w:t>
      </w:r>
      <w:r w:rsidR="00147E88" w:rsidRPr="0015116B">
        <w:t xml:space="preserve">and </w:t>
      </w:r>
      <w:r w:rsidR="00BC169E" w:rsidRPr="0015116B">
        <w:t>bycatch</w:t>
      </w:r>
      <w:r w:rsidR="005A2374" w:rsidRPr="0015116B">
        <w:t xml:space="preserve"> size compos</w:t>
      </w:r>
      <w:r w:rsidR="00147E88" w:rsidRPr="0015116B">
        <w:t>i</w:t>
      </w:r>
      <w:r w:rsidR="005A2374" w:rsidRPr="0015116B">
        <w:t>tions</w:t>
      </w:r>
      <w:r w:rsidR="00147E88" w:rsidRPr="0015116B">
        <w:t xml:space="preserve"> in the bycatch fisheries.</w:t>
      </w:r>
    </w:p>
    <w:p w14:paraId="52F28AD7" w14:textId="77777777" w:rsidR="00435BF8" w:rsidRPr="0015116B" w:rsidRDefault="00953624" w:rsidP="00B60085">
      <w:pPr>
        <w:pStyle w:val="Heading4"/>
      </w:pPr>
      <w:r w:rsidRPr="0015116B">
        <w:t>b</w:t>
      </w:r>
      <w:r w:rsidR="00B60085" w:rsidRPr="0015116B">
        <w:t xml:space="preserve">. </w:t>
      </w:r>
      <w:r w:rsidR="00435BF8" w:rsidRPr="0015116B">
        <w:t>Change</w:t>
      </w:r>
      <w:r w:rsidR="00147E88" w:rsidRPr="0015116B">
        <w:t xml:space="preserve">s </w:t>
      </w:r>
      <w:r w:rsidR="00435BF8" w:rsidRPr="0015116B">
        <w:t>since the previous assessment.</w:t>
      </w:r>
    </w:p>
    <w:p w14:paraId="72E3B66B" w14:textId="2B679C0A" w:rsidR="005B2DEA" w:rsidRPr="0015116B" w:rsidRDefault="005E55F6" w:rsidP="00C062D4">
      <w:r w:rsidRPr="0015116B">
        <w:t>The model code has been revised to facilitate retrospective analyses</w:t>
      </w:r>
      <w:r w:rsidR="00496C03" w:rsidRPr="0015116B">
        <w:t xml:space="preserve"> and</w:t>
      </w:r>
      <w:r w:rsidRPr="0015116B">
        <w:t xml:space="preserve"> to allow the user to specify the time period for </w:t>
      </w:r>
      <w:r w:rsidR="00496C03" w:rsidRPr="0015116B">
        <w:t>calculating average recruitment. In addition, selectivity curves based on the normal or “double normal” have been implemented, as has the option to use fit selectivity curves using splines.</w:t>
      </w:r>
    </w:p>
    <w:p w14:paraId="661D5688" w14:textId="77777777" w:rsidR="00822856" w:rsidRPr="0015116B" w:rsidRDefault="00B60085" w:rsidP="00B60085">
      <w:pPr>
        <w:pStyle w:val="Heading4"/>
      </w:pPr>
      <w:proofErr w:type="spellStart"/>
      <w:r w:rsidRPr="0015116B">
        <w:t>i</w:t>
      </w:r>
      <w:proofErr w:type="spellEnd"/>
      <w:r w:rsidRPr="0015116B">
        <w:t xml:space="preserve">. </w:t>
      </w:r>
      <w:r w:rsidR="00147E88" w:rsidRPr="0015116B">
        <w:t>M</w:t>
      </w:r>
      <w:r w:rsidR="00435BF8" w:rsidRPr="0015116B">
        <w:t xml:space="preserve">ethods used to validate the code </w:t>
      </w:r>
      <w:r w:rsidR="00935A8A" w:rsidRPr="0015116B">
        <w:t>used to implement the model</w:t>
      </w:r>
    </w:p>
    <w:p w14:paraId="0E8D8876" w14:textId="47AB71F1" w:rsidR="00FD17DD" w:rsidRPr="0015116B" w:rsidRDefault="00330ECC" w:rsidP="00FD17DD">
      <w:r w:rsidRPr="0015116B">
        <w:t xml:space="preserve">The TCSAM02 </w:t>
      </w:r>
      <w:r w:rsidR="005539F8" w:rsidRPr="0015116B">
        <w:t xml:space="preserve">model </w:t>
      </w:r>
      <w:r w:rsidRPr="0015116B">
        <w:t>framework</w:t>
      </w:r>
      <w:r w:rsidR="005539F8" w:rsidRPr="0015116B">
        <w:t xml:space="preserve"> </w:t>
      </w:r>
      <w:r w:rsidRPr="0015116B">
        <w:t>was demonstrated to produce results that were exactly equivalent to those from the 2016 assessment model incorporating the changes listed in the previous table. TCSAM02 also underwent a review in July 2017 conducted by the</w:t>
      </w:r>
      <w:r w:rsidR="00483733" w:rsidRPr="0015116B">
        <w:t xml:space="preserve"> Center for Independent Experts and has been further reviewed by the CPT in May 2017 and September 2017.</w:t>
      </w:r>
      <w:r w:rsidR="00D671B6" w:rsidRPr="0015116B">
        <w:t xml:space="preserve"> Changes to model code are validated</w:t>
      </w:r>
      <w:r w:rsidR="005B2DEA" w:rsidRPr="0015116B">
        <w:t xml:space="preserve"> against results from the previous assessment model to ensure that modifications do not change the results of the previous assessment.</w:t>
      </w:r>
    </w:p>
    <w:p w14:paraId="66B8BD4E" w14:textId="77777777" w:rsidR="00BA39B9" w:rsidRPr="0015116B" w:rsidRDefault="00B60085" w:rsidP="00FD17DD">
      <w:pPr>
        <w:pStyle w:val="Heading2"/>
      </w:pPr>
      <w:r w:rsidRPr="0015116B">
        <w:t xml:space="preserve">3. </w:t>
      </w:r>
      <w:r w:rsidR="00435BF8" w:rsidRPr="0015116B">
        <w:t>Model Selection and Evaluation</w:t>
      </w:r>
    </w:p>
    <w:p w14:paraId="58433A24" w14:textId="77777777" w:rsidR="00DC5D2D" w:rsidRPr="0015116B" w:rsidRDefault="00FD17DD" w:rsidP="00DC5D2D">
      <w:pPr>
        <w:pStyle w:val="Heading4"/>
        <w:rPr>
          <w:rFonts w:ascii="TimesNewRomanPSMT" w:hAnsi="TimesNewRomanPSMT" w:cs="TimesNewRomanPSMT"/>
        </w:rPr>
      </w:pPr>
      <w:r w:rsidRPr="0015116B">
        <w:t xml:space="preserve">a. </w:t>
      </w:r>
      <w:r w:rsidR="00435BF8" w:rsidRPr="0015116B">
        <w:t>Description of alternative model configurations</w:t>
      </w:r>
    </w:p>
    <w:p w14:paraId="30AFD629" w14:textId="4F78ACA3" w:rsidR="00651AE6" w:rsidRPr="0015116B" w:rsidRDefault="00330ECC" w:rsidP="00651AE6">
      <w:pPr>
        <w:rPr>
          <w:rFonts w:eastAsiaTheme="minorEastAsia"/>
        </w:rPr>
      </w:pPr>
      <w:r w:rsidRPr="0015116B">
        <w:rPr>
          <w:rFonts w:eastAsiaTheme="minorEastAsia"/>
        </w:rPr>
        <w:t xml:space="preserve">The </w:t>
      </w:r>
      <w:r w:rsidR="00483733" w:rsidRPr="0015116B">
        <w:rPr>
          <w:rFonts w:eastAsiaTheme="minorEastAsia"/>
        </w:rPr>
        <w:t>model selected for the 201</w:t>
      </w:r>
      <w:r w:rsidR="00580AB5" w:rsidRPr="0015116B">
        <w:rPr>
          <w:rFonts w:eastAsiaTheme="minorEastAsia"/>
        </w:rPr>
        <w:t>9</w:t>
      </w:r>
      <w:r w:rsidR="00483733" w:rsidRPr="0015116B">
        <w:rPr>
          <w:rFonts w:eastAsiaTheme="minorEastAsia"/>
        </w:rPr>
        <w:t xml:space="preserve"> assessment (Model </w:t>
      </w:r>
      <w:r w:rsidR="00580AB5" w:rsidRPr="0015116B">
        <w:rPr>
          <w:rFonts w:eastAsiaTheme="minorEastAsia"/>
        </w:rPr>
        <w:t>19F03</w:t>
      </w:r>
      <w:r w:rsidR="00483733" w:rsidRPr="0015116B">
        <w:rPr>
          <w:rFonts w:eastAsiaTheme="minorEastAsia"/>
        </w:rPr>
        <w:t xml:space="preserve"> from Stockhausen</w:t>
      </w:r>
      <w:r w:rsidR="00580AB5" w:rsidRPr="0015116B">
        <w:rPr>
          <w:rFonts w:eastAsiaTheme="minorEastAsia"/>
        </w:rPr>
        <w:t xml:space="preserve"> 2019</w:t>
      </w:r>
      <w:r w:rsidR="00483733" w:rsidRPr="0015116B">
        <w:rPr>
          <w:rFonts w:eastAsiaTheme="minorEastAsia"/>
        </w:rPr>
        <w:t>) provides the baseline model configuration for subsequent alternative model scenarios evaluated in this assessment. Here, the 201</w:t>
      </w:r>
      <w:r w:rsidR="00580AB5" w:rsidRPr="0015116B">
        <w:rPr>
          <w:rFonts w:eastAsiaTheme="minorEastAsia"/>
        </w:rPr>
        <w:t>9</w:t>
      </w:r>
      <w:r w:rsidR="00483733" w:rsidRPr="0015116B">
        <w:rPr>
          <w:rFonts w:eastAsiaTheme="minorEastAsia"/>
        </w:rPr>
        <w:t xml:space="preserve"> assessment model is </w:t>
      </w:r>
      <w:r w:rsidR="00580AB5" w:rsidRPr="0015116B">
        <w:rPr>
          <w:rFonts w:eastAsiaTheme="minorEastAsia"/>
        </w:rPr>
        <w:t>referred to as</w:t>
      </w:r>
      <w:r w:rsidR="00483733" w:rsidRPr="0015116B">
        <w:rPr>
          <w:rFonts w:eastAsiaTheme="minorEastAsia"/>
        </w:rPr>
        <w:t xml:space="preserve"> “</w:t>
      </w:r>
      <w:r w:rsidR="00580AB5" w:rsidRPr="0015116B">
        <w:rPr>
          <w:rFonts w:eastAsiaTheme="minorEastAsia"/>
        </w:rPr>
        <w:t>19.03</w:t>
      </w:r>
      <w:r w:rsidR="00483733" w:rsidRPr="0015116B">
        <w:rPr>
          <w:rFonts w:eastAsiaTheme="minorEastAsia"/>
        </w:rPr>
        <w:t>”</w:t>
      </w:r>
      <w:r w:rsidR="00580AB5" w:rsidRPr="0015116B">
        <w:rPr>
          <w:rFonts w:eastAsiaTheme="minorEastAsia"/>
        </w:rPr>
        <w:t xml:space="preserve"> in accordance with SSC guidelines on model numbering</w:t>
      </w:r>
      <w:r w:rsidR="00483733" w:rsidRPr="0015116B">
        <w:rPr>
          <w:rFonts w:eastAsiaTheme="minorEastAsia"/>
        </w:rPr>
        <w:t xml:space="preserve">. The </w:t>
      </w:r>
      <w:r w:rsidRPr="0015116B">
        <w:rPr>
          <w:rFonts w:eastAsiaTheme="minorEastAsia"/>
        </w:rPr>
        <w:t>following table</w:t>
      </w:r>
      <w:r w:rsidR="003B175F" w:rsidRPr="0015116B">
        <w:rPr>
          <w:rFonts w:eastAsiaTheme="minorEastAsia"/>
        </w:rPr>
        <w:t>s provide</w:t>
      </w:r>
      <w:r w:rsidRPr="0015116B">
        <w:rPr>
          <w:rFonts w:eastAsiaTheme="minorEastAsia"/>
        </w:rPr>
        <w:t xml:space="preserve"> a summary of the baseline model configuration, </w:t>
      </w:r>
      <w:r w:rsidR="00580AB5" w:rsidRPr="0015116B">
        <w:rPr>
          <w:rFonts w:eastAsiaTheme="minorEastAsia"/>
        </w:rPr>
        <w:t>19.03</w:t>
      </w:r>
      <w:r w:rsidRPr="0015116B">
        <w:rPr>
          <w:rFonts w:eastAsiaTheme="minorEastAsia"/>
        </w:rPr>
        <w:t>, for this assessment.</w:t>
      </w:r>
    </w:p>
    <w:p w14:paraId="360A575F" w14:textId="0C33C0B1" w:rsidR="003B175F" w:rsidRPr="0015116B" w:rsidRDefault="007810BF" w:rsidP="007810BF">
      <w:pPr>
        <w:pStyle w:val="CaptionForTable"/>
        <w:keepNext/>
      </w:pPr>
      <w:r w:rsidRPr="0015116B">
        <w:lastRenderedPageBreak/>
        <w:t xml:space="preserve">Model </w:t>
      </w:r>
      <w:r w:rsidR="009252CE" w:rsidRPr="0015116B">
        <w:t>19.03</w:t>
      </w:r>
      <w:r w:rsidRPr="0015116B">
        <w:t xml:space="preserve">: </w:t>
      </w:r>
      <w:r w:rsidR="002262DC" w:rsidRPr="0015116B">
        <w:t>D</w:t>
      </w:r>
      <w:r w:rsidRPr="0015116B">
        <w:t xml:space="preserve">escription of </w:t>
      </w:r>
      <w:r w:rsidR="002262DC" w:rsidRPr="0015116B">
        <w:t xml:space="preserve">model </w:t>
      </w:r>
      <w:r w:rsidRPr="0015116B">
        <w:t>p</w:t>
      </w:r>
      <w:r w:rsidR="003B175F" w:rsidRPr="0015116B">
        <w:t>opulation processes and survey</w:t>
      </w:r>
      <w:r w:rsidRPr="0015116B">
        <w:t xml:space="preserve"> characteristics.</w:t>
      </w:r>
    </w:p>
    <w:p w14:paraId="4A9AFCE2" w14:textId="65A452A3" w:rsidR="007810BF" w:rsidRPr="0015116B" w:rsidRDefault="00157945" w:rsidP="007810BF">
      <w:r w:rsidRPr="0015116B">
        <w:rPr>
          <w:noProof/>
        </w:rPr>
        <w:drawing>
          <wp:inline distT="0" distB="0" distL="0" distR="0" wp14:anchorId="6C03249C" wp14:editId="33B3DA54">
            <wp:extent cx="5943600" cy="38633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943600" cy="3863340"/>
                    </a:xfrm>
                    <a:prstGeom prst="rect">
                      <a:avLst/>
                    </a:prstGeom>
                  </pic:spPr>
                </pic:pic>
              </a:graphicData>
            </a:graphic>
          </wp:inline>
        </w:drawing>
      </w:r>
    </w:p>
    <w:p w14:paraId="45C6ADC1" w14:textId="4BFE171E" w:rsidR="003B175F" w:rsidRPr="0015116B" w:rsidRDefault="007810BF" w:rsidP="007810BF">
      <w:pPr>
        <w:pStyle w:val="CaptionForTable"/>
        <w:keepNext/>
      </w:pPr>
      <w:r w:rsidRPr="0015116B">
        <w:lastRenderedPageBreak/>
        <w:t xml:space="preserve">Model </w:t>
      </w:r>
      <w:r w:rsidR="009252CE" w:rsidRPr="0015116B">
        <w:t>19.03</w:t>
      </w:r>
      <w:r w:rsidRPr="0015116B">
        <w:t xml:space="preserve">: </w:t>
      </w:r>
      <w:r w:rsidR="002262DC" w:rsidRPr="0015116B">
        <w:t>D</w:t>
      </w:r>
      <w:r w:rsidRPr="0015116B">
        <w:t xml:space="preserve">escription of </w:t>
      </w:r>
      <w:r w:rsidR="002262DC" w:rsidRPr="0015116B">
        <w:t xml:space="preserve">model </w:t>
      </w:r>
      <w:r w:rsidRPr="0015116B">
        <w:t>fishery characteristics.</w:t>
      </w:r>
    </w:p>
    <w:p w14:paraId="02A6FCFC" w14:textId="4E622D10" w:rsidR="007810BF" w:rsidRPr="0015116B" w:rsidRDefault="00157945" w:rsidP="00E95180">
      <w:pPr>
        <w:jc w:val="center"/>
      </w:pPr>
      <w:r w:rsidRPr="0015116B">
        <w:rPr>
          <w:noProof/>
        </w:rPr>
        <w:drawing>
          <wp:inline distT="0" distB="0" distL="0" distR="0" wp14:anchorId="2767AEC2" wp14:editId="2E0B4DF8">
            <wp:extent cx="5943600" cy="70789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5943600" cy="7078980"/>
                    </a:xfrm>
                    <a:prstGeom prst="rect">
                      <a:avLst/>
                    </a:prstGeom>
                  </pic:spPr>
                </pic:pic>
              </a:graphicData>
            </a:graphic>
          </wp:inline>
        </w:drawing>
      </w:r>
    </w:p>
    <w:p w14:paraId="3B488F60" w14:textId="526B2DA5" w:rsidR="002262DC" w:rsidRPr="0015116B" w:rsidRDefault="002262DC" w:rsidP="002262DC">
      <w:pPr>
        <w:pStyle w:val="CaptionForTable"/>
        <w:keepNext/>
      </w:pPr>
      <w:r w:rsidRPr="0015116B">
        <w:lastRenderedPageBreak/>
        <w:t xml:space="preserve">Model </w:t>
      </w:r>
      <w:r w:rsidR="009252CE" w:rsidRPr="0015116B">
        <w:t>19.03</w:t>
      </w:r>
      <w:r w:rsidRPr="0015116B">
        <w:t>: Description of model likelihood components.</w:t>
      </w:r>
    </w:p>
    <w:p w14:paraId="07872975" w14:textId="0DBBB0EC" w:rsidR="002262DC" w:rsidRPr="0015116B" w:rsidRDefault="00580AB5" w:rsidP="00E95180">
      <w:pPr>
        <w:jc w:val="center"/>
      </w:pPr>
      <w:r w:rsidRPr="0015116B">
        <w:rPr>
          <w:noProof/>
        </w:rPr>
        <w:drawing>
          <wp:inline distT="0" distB="0" distL="0" distR="0" wp14:anchorId="310BF60F" wp14:editId="0B235B93">
            <wp:extent cx="5943600" cy="412686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943600" cy="4126860"/>
                    </a:xfrm>
                    <a:prstGeom prst="rect">
                      <a:avLst/>
                    </a:prstGeom>
                    <a:noFill/>
                    <a:ln>
                      <a:noFill/>
                    </a:ln>
                  </pic:spPr>
                </pic:pic>
              </a:graphicData>
            </a:graphic>
          </wp:inline>
        </w:drawing>
      </w:r>
    </w:p>
    <w:p w14:paraId="4E36A660" w14:textId="4CDAB7F7" w:rsidR="00DE6FDE" w:rsidRPr="0015116B" w:rsidRDefault="00DE6FDE" w:rsidP="00DE6FDE">
      <w:r w:rsidRPr="0015116B">
        <w:t>The NMFS “M” survey refers to a male-only “flavor” of the NMFS survey data in which maturity is not determined outside the model</w:t>
      </w:r>
      <w:r w:rsidR="001C1DA2" w:rsidRPr="0015116B">
        <w:t xml:space="preserve"> (males in the M survey have “undetermined” maturity). The NMFS “F” survey is simply the female portion of the NMFS survey data configured as a separate data file to accompany the NMFS “M” survey data file.</w:t>
      </w:r>
      <w:r w:rsidRPr="0015116B">
        <w:t xml:space="preserve"> </w:t>
      </w:r>
    </w:p>
    <w:p w14:paraId="4ACFDA4B" w14:textId="4F3CEA40" w:rsidR="00D72452" w:rsidRPr="0015116B" w:rsidRDefault="00EF344E" w:rsidP="00E111AD">
      <w:pPr>
        <w:pStyle w:val="CaptionForTable"/>
        <w:keepNext/>
        <w:keepLines/>
      </w:pPr>
      <w:r w:rsidRPr="0015116B">
        <w:t>T</w:t>
      </w:r>
      <w:r w:rsidR="006D1E9B" w:rsidRPr="0015116B">
        <w:t xml:space="preserve">he following model scenarios </w:t>
      </w:r>
      <w:r w:rsidRPr="0015116B">
        <w:t>are described</w:t>
      </w:r>
      <w:r w:rsidR="006D1E9B" w:rsidRPr="0015116B">
        <w:t xml:space="preserve"> as part of this assessment:</w:t>
      </w:r>
    </w:p>
    <w:p w14:paraId="2E46E264" w14:textId="0DE72AE6" w:rsidR="00F64CED" w:rsidRPr="0015116B" w:rsidRDefault="00524F02" w:rsidP="00651AE6">
      <w:r w:rsidRPr="0015116B">
        <w:rPr>
          <w:noProof/>
        </w:rPr>
        <w:drawing>
          <wp:inline distT="0" distB="0" distL="0" distR="0" wp14:anchorId="78657F16" wp14:editId="4AB1B40C">
            <wp:extent cx="5943600" cy="17519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5943600" cy="1751965"/>
                    </a:xfrm>
                    <a:prstGeom prst="rect">
                      <a:avLst/>
                    </a:prstGeom>
                  </pic:spPr>
                </pic:pic>
              </a:graphicData>
            </a:graphic>
          </wp:inline>
        </w:drawing>
      </w:r>
    </w:p>
    <w:p w14:paraId="22CB73E6" w14:textId="4A3BA716" w:rsidR="001801BC" w:rsidRPr="0015116B" w:rsidRDefault="00524F02" w:rsidP="003436A9">
      <w:r w:rsidRPr="0015116B">
        <w:t>Scenario 19.03R represents a check on the revised estimates for Tanner crab bycatch in the groundfish fisheries</w:t>
      </w:r>
      <w:r w:rsidR="00434DB8" w:rsidRPr="0015116B">
        <w:t xml:space="preserve"> from 2016/17 to 2018/19</w:t>
      </w:r>
      <w:r w:rsidRPr="0015116B">
        <w:t xml:space="preserve">. It does not include 2019/20 data and simply </w:t>
      </w:r>
      <w:r w:rsidR="00434DB8" w:rsidRPr="0015116B">
        <w:t>allows</w:t>
      </w:r>
      <w:r w:rsidRPr="0015116B">
        <w:t xml:space="preserve"> the incremental step associated with this change</w:t>
      </w:r>
      <w:r w:rsidR="00434DB8" w:rsidRPr="0015116B">
        <w:t xml:space="preserve"> to be accounted for</w:t>
      </w:r>
      <w:r w:rsidRPr="0015116B">
        <w:t xml:space="preserve">. Scenario 19.03(2020) </w:t>
      </w:r>
      <w:r w:rsidR="00434DB8" w:rsidRPr="0015116B">
        <w:t xml:space="preserve">updates the available data (bycatch in the snow crab, BBRKC, and groundfish fisheries) for the 2019/20 crab fishery year. Scenario 20.07 was recommended by the CPT as a scenario to consider basing the assessment upon after </w:t>
      </w:r>
      <w:r w:rsidR="00EF344E" w:rsidRPr="0015116B">
        <w:t xml:space="preserve">they </w:t>
      </w:r>
      <w:r w:rsidR="00434DB8" w:rsidRPr="0015116B">
        <w:lastRenderedPageBreak/>
        <w:t>review</w:t>
      </w:r>
      <w:r w:rsidR="00EF344E" w:rsidRPr="0015116B">
        <w:t>ed</w:t>
      </w:r>
      <w:r w:rsidR="00434DB8" w:rsidRPr="0015116B">
        <w:t xml:space="preserve"> results with 2019/20 </w:t>
      </w:r>
      <w:r w:rsidR="00EF344E" w:rsidRPr="0015116B">
        <w:t xml:space="preserve">data </w:t>
      </w:r>
      <w:r w:rsidR="00434DB8" w:rsidRPr="0015116B">
        <w:t xml:space="preserve">during the May </w:t>
      </w:r>
      <w:r w:rsidR="00EF344E" w:rsidRPr="0015116B">
        <w:t xml:space="preserve">2020 </w:t>
      </w:r>
      <w:r w:rsidR="00434DB8" w:rsidRPr="0015116B">
        <w:t xml:space="preserve">CPT meeting. </w:t>
      </w:r>
      <w:r w:rsidR="00EF344E" w:rsidRPr="0015116B">
        <w:t>This scenario</w:t>
      </w:r>
      <w:r w:rsidR="00434DB8" w:rsidRPr="0015116B">
        <w:t xml:space="preserve"> </w:t>
      </w:r>
      <w:r w:rsidR="00EF344E" w:rsidRPr="0015116B">
        <w:t>fits</w:t>
      </w:r>
      <w:r w:rsidR="00434DB8" w:rsidRPr="0015116B">
        <w:t xml:space="preserve"> biomass and size composition estimates from the 2013-2017 BSFRF SBS catch </w:t>
      </w:r>
      <w:r w:rsidR="000D7B43" w:rsidRPr="0015116B">
        <w:t>ratio</w:t>
      </w:r>
      <w:r w:rsidR="001801BC" w:rsidRPr="0015116B">
        <w:t xml:space="preserve"> </w:t>
      </w:r>
      <w:r w:rsidR="00434DB8" w:rsidRPr="0015116B">
        <w:t xml:space="preserve">comparison studies </w:t>
      </w:r>
      <w:r w:rsidR="00EF344E" w:rsidRPr="0015116B">
        <w:t xml:space="preserve">along </w:t>
      </w:r>
      <w:r w:rsidR="00434DB8" w:rsidRPr="0015116B">
        <w:t>with the standard NMFS EBS shelf bottom trawl survey data</w:t>
      </w:r>
      <w:r w:rsidR="00EF344E" w:rsidRPr="0015116B">
        <w:t xml:space="preserve"> to try to better estimate NMFS survey catchability</w:t>
      </w:r>
      <w:r w:rsidR="00434DB8" w:rsidRPr="0015116B">
        <w:t xml:space="preserve">. Year-specific availability curves for the BSFRF data were determined outside the model using the ratio of </w:t>
      </w:r>
      <w:r w:rsidR="001801BC" w:rsidRPr="0015116B">
        <w:t>expanded (area-swept) estimates of</w:t>
      </w:r>
      <w:r w:rsidR="00434DB8" w:rsidRPr="0015116B">
        <w:t xml:space="preserve"> abundance-by-</w:t>
      </w:r>
      <w:r w:rsidR="001801BC" w:rsidRPr="0015116B">
        <w:t xml:space="preserve">5 mm CW </w:t>
      </w:r>
      <w:r w:rsidR="00434DB8" w:rsidRPr="0015116B">
        <w:t>size</w:t>
      </w:r>
      <w:r w:rsidR="001801BC" w:rsidRPr="0015116B">
        <w:t xml:space="preserve"> classes</w:t>
      </w:r>
      <w:r w:rsidR="00434DB8" w:rsidRPr="0015116B">
        <w:t xml:space="preserve"> derived from NMFS </w:t>
      </w:r>
      <w:r w:rsidR="001801BC" w:rsidRPr="0015116B">
        <w:t xml:space="preserve">survey data at </w:t>
      </w:r>
      <w:r w:rsidR="00434DB8" w:rsidRPr="0015116B">
        <w:t>stations at which SBS tows were conducted to th</w:t>
      </w:r>
      <w:r w:rsidR="00EF344E" w:rsidRPr="0015116B">
        <w:t>ose</w:t>
      </w:r>
      <w:r w:rsidR="00434DB8" w:rsidRPr="0015116B">
        <w:t xml:space="preserve"> derived </w:t>
      </w:r>
      <w:r w:rsidR="001801BC" w:rsidRPr="0015116B">
        <w:t>from NMFS survey data for the entire survey grid</w:t>
      </w:r>
      <w:r w:rsidR="00EF344E" w:rsidRPr="0015116B">
        <w:t xml:space="preserve"> (Figures 23 and 24</w:t>
      </w:r>
      <w:r w:rsidR="009B65E3" w:rsidRPr="0015116B">
        <w:t xml:space="preserve">; Appendix </w:t>
      </w:r>
      <w:r w:rsidR="00A53B61" w:rsidRPr="0015116B">
        <w:t>3</w:t>
      </w:r>
      <w:r w:rsidR="00EF344E" w:rsidRPr="0015116B">
        <w:t>)</w:t>
      </w:r>
      <w:r w:rsidR="001801BC" w:rsidRPr="0015116B">
        <w:t xml:space="preserve">. Estimating the availability curves outside the model </w:t>
      </w:r>
      <w:r w:rsidR="00DE0440" w:rsidRPr="0015116B">
        <w:t>wa</w:t>
      </w:r>
      <w:r w:rsidR="001801BC" w:rsidRPr="0015116B">
        <w:t xml:space="preserve">s </w:t>
      </w:r>
      <w:r w:rsidR="00DE0440" w:rsidRPr="0015116B">
        <w:t xml:space="preserve">reasonably </w:t>
      </w:r>
      <w:r w:rsidR="001801BC" w:rsidRPr="0015116B">
        <w:t>straightforward and vastly reduce</w:t>
      </w:r>
      <w:r w:rsidR="00DE0440" w:rsidRPr="0015116B">
        <w:t>d</w:t>
      </w:r>
      <w:r w:rsidR="001801BC" w:rsidRPr="0015116B">
        <w:t xml:space="preserve"> the number of model parameters that would otherwise be necessary. </w:t>
      </w:r>
    </w:p>
    <w:p w14:paraId="1546C46D" w14:textId="5667AA7A" w:rsidR="005C1BE0" w:rsidRPr="0015116B" w:rsidRDefault="001801BC" w:rsidP="003436A9">
      <w:r w:rsidRPr="0015116B">
        <w:t xml:space="preserve">Scenario 20.10 represents another approach </w:t>
      </w:r>
      <w:r w:rsidR="009B65E3" w:rsidRPr="0015116B">
        <w:t xml:space="preserve">suggested by the CPT </w:t>
      </w:r>
      <w:r w:rsidRPr="0015116B">
        <w:t>to using the BSFRF SBS data</w:t>
      </w:r>
      <w:r w:rsidR="008B34B4" w:rsidRPr="0015116B">
        <w:t xml:space="preserve"> (Appendix </w:t>
      </w:r>
      <w:r w:rsidR="00A53B61" w:rsidRPr="0015116B">
        <w:t>4</w:t>
      </w:r>
      <w:r w:rsidR="008B34B4" w:rsidRPr="0015116B">
        <w:t>)</w:t>
      </w:r>
      <w:r w:rsidRPr="0015116B">
        <w:t xml:space="preserve">. In this case, </w:t>
      </w:r>
      <w:r w:rsidR="000D7B43" w:rsidRPr="0015116B">
        <w:t xml:space="preserve">size-specific </w:t>
      </w:r>
      <w:r w:rsidRPr="0015116B">
        <w:t xml:space="preserve">catch </w:t>
      </w:r>
      <w:r w:rsidR="000D7B43" w:rsidRPr="0015116B">
        <w:t>ratio</w:t>
      </w:r>
      <w:r w:rsidRPr="0015116B">
        <w:t xml:space="preserve"> analysis is </w:t>
      </w:r>
      <w:r w:rsidR="000D7B43" w:rsidRPr="0015116B">
        <w:t>performed</w:t>
      </w:r>
      <w:r w:rsidRPr="0015116B">
        <w:t xml:space="preserve"> outside the model </w:t>
      </w:r>
      <w:r w:rsidR="000D7B43" w:rsidRPr="0015116B">
        <w:t xml:space="preserve">using the BSFRF and NMFS data from SBS tows </w:t>
      </w:r>
      <w:r w:rsidRPr="0015116B">
        <w:t xml:space="preserve">to </w:t>
      </w:r>
      <w:r w:rsidR="000D7B43" w:rsidRPr="0015116B">
        <w:t xml:space="preserve">directly estimate the size-specific selectivity of the NMFS survey. The estimated curve(s) are then used directly in the assessment, rather than having to estimate survey selectivity (and fully-selected catchability) inside the model. For this scenario, sex-specific selectivity curves were estimated by </w:t>
      </w:r>
      <w:r w:rsidR="00F71017" w:rsidRPr="0015116B">
        <w:t>evaluating the fits of a logistic curve and cubic splines of different degrees of freedom</w:t>
      </w:r>
      <w:r w:rsidR="000D7B43" w:rsidRPr="0015116B">
        <w:t xml:space="preserve"> to the size-specific catch ratios from all SBS hauls and the </w:t>
      </w:r>
      <w:r w:rsidR="00455322" w:rsidRPr="0015116B">
        <w:t>selecting the “best” overall model, similar to that done by Somerton et al (</w:t>
      </w:r>
      <w:r w:rsidR="008B34B4" w:rsidRPr="0015116B">
        <w:t>2013, 2017</w:t>
      </w:r>
      <w:r w:rsidR="00455322" w:rsidRPr="0015116B">
        <w:t xml:space="preserve">) for snow crab. </w:t>
      </w:r>
      <w:r w:rsidR="00F71017" w:rsidRPr="0015116B">
        <w:t>For females, the “best” model selected on the basis of BIC was a spline with 5 degrees of freedom (Figure 2</w:t>
      </w:r>
      <w:r w:rsidR="00EF344E" w:rsidRPr="0015116B">
        <w:t>5</w:t>
      </w:r>
      <w:r w:rsidR="00F71017" w:rsidRPr="0015116B">
        <w:t>). For males, the “best” model selected on the basis of BIC was a spline with 8 degrees of freedom (Figure 2</w:t>
      </w:r>
      <w:r w:rsidR="00EF344E" w:rsidRPr="0015116B">
        <w:t>6</w:t>
      </w:r>
      <w:r w:rsidR="00F71017" w:rsidRPr="0015116B">
        <w:t xml:space="preserve">). </w:t>
      </w:r>
      <w:r w:rsidR="00455322" w:rsidRPr="0015116B">
        <w:t xml:space="preserve">However, this analysis is incomplete (environmental factors such as depth and sediment type need to be incorporated into the analysis) and the selectivity curves used for this scenario are provisional, at best. As such, Scenario 20.10 should not </w:t>
      </w:r>
      <w:r w:rsidR="00F71017" w:rsidRPr="0015116B">
        <w:t xml:space="preserve">be </w:t>
      </w:r>
      <w:r w:rsidR="00455322" w:rsidRPr="0015116B">
        <w:t>regarded as a viable candidate for status determination and OFL calculation.</w:t>
      </w:r>
    </w:p>
    <w:p w14:paraId="543C3AB9" w14:textId="6E57734A" w:rsidR="00242A08" w:rsidRPr="0015116B" w:rsidRDefault="006D1E9B" w:rsidP="003436A9">
      <w:r w:rsidRPr="0015116B">
        <w:t>The number of estimated parameters</w:t>
      </w:r>
      <w:r w:rsidR="005C1BE0" w:rsidRPr="0015116B">
        <w:t>,</w:t>
      </w:r>
      <w:r w:rsidRPr="0015116B">
        <w:t xml:space="preserve"> the final value of the objective function for each converged scenario </w:t>
      </w:r>
      <w:r w:rsidR="005C1BE0" w:rsidRPr="0015116B">
        <w:t>and the maximum gradient of the objective function</w:t>
      </w:r>
      <w:r w:rsidRPr="0015116B">
        <w:t xml:space="preserve"> </w:t>
      </w:r>
      <w:r w:rsidR="005C1BE0" w:rsidRPr="0015116B">
        <w:t xml:space="preserve">at the converged solution </w:t>
      </w:r>
      <w:r w:rsidRPr="0015116B">
        <w:t>are listed table above.</w:t>
      </w:r>
      <w:r w:rsidR="00242A08" w:rsidRPr="0015116B">
        <w:t xml:space="preserve"> </w:t>
      </w:r>
      <w:r w:rsidR="00717789" w:rsidRPr="0015116B">
        <w:t>However, t</w:t>
      </w:r>
      <w:r w:rsidR="00242A08" w:rsidRPr="0015116B">
        <w:t>he total objective function values</w:t>
      </w:r>
      <w:r w:rsidR="00F71017" w:rsidRPr="0015116B">
        <w:t xml:space="preserve"> can only be directly compared between </w:t>
      </w:r>
      <w:r w:rsidR="00717789" w:rsidRPr="0015116B">
        <w:t xml:space="preserve">scenarios </w:t>
      </w:r>
      <w:r w:rsidR="00F71017" w:rsidRPr="0015116B">
        <w:t xml:space="preserve">19.03(2020) and </w:t>
      </w:r>
      <w:r w:rsidR="00717789" w:rsidRPr="0015116B">
        <w:t>10.07</w:t>
      </w:r>
      <w:r w:rsidR="00242A08" w:rsidRPr="0015116B">
        <w:t xml:space="preserve">, because </w:t>
      </w:r>
      <w:r w:rsidR="00717789" w:rsidRPr="0015116B">
        <w:t>the other</w:t>
      </w:r>
      <w:r w:rsidR="00242A08" w:rsidRPr="0015116B">
        <w:t xml:space="preserve"> scenario</w:t>
      </w:r>
      <w:r w:rsidR="00717789" w:rsidRPr="0015116B">
        <w:t>s</w:t>
      </w:r>
      <w:r w:rsidR="00242A08" w:rsidRPr="0015116B">
        <w:t xml:space="preserve"> </w:t>
      </w:r>
      <w:r w:rsidR="00717789" w:rsidRPr="0015116B">
        <w:t>do not fit identical</w:t>
      </w:r>
      <w:r w:rsidR="00242A08" w:rsidRPr="0015116B">
        <w:t xml:space="preserve"> datasets.</w:t>
      </w:r>
      <w:r w:rsidRPr="0015116B">
        <w:t xml:space="preserve"> </w:t>
      </w:r>
      <w:r w:rsidR="00AF060D" w:rsidRPr="0015116B">
        <w:t xml:space="preserve">Convergence for the </w:t>
      </w:r>
      <w:r w:rsidR="00717789" w:rsidRPr="0015116B">
        <w:t>two</w:t>
      </w:r>
      <w:r w:rsidR="00AF060D" w:rsidRPr="0015116B">
        <w:t xml:space="preserve"> scenarios under consideration for status determination and OFL-setting (</w:t>
      </w:r>
      <w:r w:rsidR="00717789" w:rsidRPr="0015116B">
        <w:t>19.03 and 20.07</w:t>
      </w:r>
      <w:r w:rsidR="00AF060D" w:rsidRPr="0015116B">
        <w:t xml:space="preserve">) was evaluated using parameter jittering, with a total of </w:t>
      </w:r>
      <w:r w:rsidR="00717789" w:rsidRPr="0015116B">
        <w:t>400</w:t>
      </w:r>
      <w:r w:rsidR="00AF060D" w:rsidRPr="0015116B">
        <w:t xml:space="preserve"> runs initiated for each scenario. Of these runs, generally a large number failed to converge</w:t>
      </w:r>
      <w:r w:rsidR="00242A08" w:rsidRPr="0015116B">
        <w:t xml:space="preserve"> </w:t>
      </w:r>
      <w:r w:rsidR="00717789" w:rsidRPr="0015116B">
        <w:t>because initial starting values led to negative growth increments at some point in the search for the MLE solution,</w:t>
      </w:r>
      <w:r w:rsidR="00242A08" w:rsidRPr="0015116B">
        <w:t xml:space="preserve"> </w:t>
      </w:r>
      <w:r w:rsidR="00717789" w:rsidRPr="0015116B">
        <w:t>while</w:t>
      </w:r>
      <w:r w:rsidR="00AF060D" w:rsidRPr="0015116B">
        <w:t xml:space="preserve"> a smaller number </w:t>
      </w:r>
      <w:r w:rsidR="00242A08" w:rsidRPr="0015116B">
        <w:t>converged to local m</w:t>
      </w:r>
      <w:r w:rsidR="00717789" w:rsidRPr="0015116B">
        <w:t>ax</w:t>
      </w:r>
      <w:r w:rsidR="00242A08" w:rsidRPr="0015116B">
        <w:t xml:space="preserve">ima smaller than the maximum likelihood (ML) solution. About </w:t>
      </w:r>
      <w:r w:rsidR="00717789" w:rsidRPr="0015116B">
        <w:t>5</w:t>
      </w:r>
      <w:r w:rsidR="00242A08" w:rsidRPr="0015116B">
        <w:t xml:space="preserve">% of the runs found the (presumed) ML solution in </w:t>
      </w:r>
      <w:r w:rsidR="00717789" w:rsidRPr="0015116B">
        <w:t>19.03(2020) and about 10% did so for 20.07</w:t>
      </w:r>
      <w:r w:rsidR="00242A08" w:rsidRPr="0015116B">
        <w:t xml:space="preserve">. In the interest of time and computing resources, the </w:t>
      </w:r>
      <w:r w:rsidR="00717789" w:rsidRPr="0015116B">
        <w:t>other scenarios were not subjected to jittering</w:t>
      </w:r>
      <w:r w:rsidR="00014D44" w:rsidRPr="0015116B">
        <w:t>.</w:t>
      </w:r>
    </w:p>
    <w:p w14:paraId="434ABB6A" w14:textId="4AAC9941" w:rsidR="00192926" w:rsidRPr="0015116B" w:rsidRDefault="00FF19D8" w:rsidP="003436A9">
      <w:r w:rsidRPr="0015116B">
        <w:t>Scenario 20.07 is the author’s preferred scenario, as justified below.</w:t>
      </w:r>
    </w:p>
    <w:p w14:paraId="5E876C09" w14:textId="77777777" w:rsidR="00435BF8" w:rsidRPr="0015116B" w:rsidRDefault="00FD17DD" w:rsidP="00E542F1">
      <w:pPr>
        <w:pStyle w:val="Heading4"/>
      </w:pPr>
      <w:r w:rsidRPr="0015116B">
        <w:t xml:space="preserve">b. </w:t>
      </w:r>
      <w:r w:rsidR="00D369D3" w:rsidRPr="0015116B">
        <w:t>P</w:t>
      </w:r>
      <w:r w:rsidR="00435BF8" w:rsidRPr="0015116B">
        <w:t>rogression of results from the previous a</w:t>
      </w:r>
      <w:r w:rsidR="00822D90" w:rsidRPr="0015116B">
        <w:t xml:space="preserve">ssessment to the preferred base </w:t>
      </w:r>
      <w:r w:rsidR="00435BF8" w:rsidRPr="0015116B">
        <w:t>model</w:t>
      </w:r>
    </w:p>
    <w:p w14:paraId="6942531D" w14:textId="620651CE" w:rsidR="00974C70" w:rsidRPr="0015116B" w:rsidRDefault="00974C70" w:rsidP="00974C70">
      <w:r w:rsidRPr="0015116B">
        <w:t xml:space="preserve">The following table summarizes basic model results </w:t>
      </w:r>
      <w:r w:rsidR="0015116B">
        <w:t xml:space="preserve">based on the MLE </w:t>
      </w:r>
      <w:r w:rsidRPr="0015116B">
        <w:t>f</w:t>
      </w:r>
      <w:r w:rsidR="002079D0" w:rsidRPr="0015116B">
        <w:t>rom</w:t>
      </w:r>
      <w:r w:rsidRPr="0015116B">
        <w:t xml:space="preserve"> the </w:t>
      </w:r>
      <w:r w:rsidR="005910A3" w:rsidRPr="0015116B">
        <w:t>201</w:t>
      </w:r>
      <w:r w:rsidR="005939D8" w:rsidRPr="0015116B">
        <w:t>9</w:t>
      </w:r>
      <w:r w:rsidR="002079D0" w:rsidRPr="0015116B">
        <w:t xml:space="preserve"> assessment model (</w:t>
      </w:r>
      <w:r w:rsidR="005939D8" w:rsidRPr="0015116B">
        <w:t>19.03</w:t>
      </w:r>
      <w:r w:rsidR="002079D0" w:rsidRPr="0015116B">
        <w:t xml:space="preserve">) and the </w:t>
      </w:r>
      <w:r w:rsidR="00DE0440" w:rsidRPr="0015116B">
        <w:t>3</w:t>
      </w:r>
      <w:r w:rsidR="002079D0" w:rsidRPr="0015116B">
        <w:t xml:space="preserve"> scenarios considered here</w:t>
      </w:r>
      <w:r w:rsidR="00DE0440" w:rsidRPr="0015116B">
        <w:t xml:space="preserve"> in detail</w:t>
      </w:r>
      <w:r w:rsidR="0015116B">
        <w:t>. The author’s preferred scenario is 20.07.</w:t>
      </w:r>
    </w:p>
    <w:p w14:paraId="549D6149" w14:textId="6E1DEF8C" w:rsidR="006A4E53" w:rsidRPr="0015116B" w:rsidRDefault="005939D8" w:rsidP="00974C70">
      <w:r w:rsidRPr="0015116B">
        <w:rPr>
          <w:noProof/>
        </w:rPr>
        <w:drawing>
          <wp:inline distT="0" distB="0" distL="0" distR="0" wp14:anchorId="0D7BCD17" wp14:editId="6CBDAA5E">
            <wp:extent cx="5943600" cy="11220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5943600" cy="1122045"/>
                    </a:xfrm>
                    <a:prstGeom prst="rect">
                      <a:avLst/>
                    </a:prstGeom>
                  </pic:spPr>
                </pic:pic>
              </a:graphicData>
            </a:graphic>
          </wp:inline>
        </w:drawing>
      </w:r>
    </w:p>
    <w:p w14:paraId="2A6625A5" w14:textId="204A1ED8" w:rsidR="00435BF8" w:rsidRPr="0015116B" w:rsidRDefault="00FD17DD" w:rsidP="00FD17DD">
      <w:pPr>
        <w:pStyle w:val="Heading4"/>
        <w:rPr>
          <w:rFonts w:ascii="TimesNewRomanPSMT" w:hAnsi="TimesNewRomanPSMT" w:cs="TimesNewRomanPSMT"/>
        </w:rPr>
      </w:pPr>
      <w:r w:rsidRPr="0015116B">
        <w:rPr>
          <w:rFonts w:ascii="TimesNewRomanPSMT" w:hAnsi="TimesNewRomanPSMT" w:cs="TimesNewRomanPSMT"/>
        </w:rPr>
        <w:lastRenderedPageBreak/>
        <w:t xml:space="preserve">c. </w:t>
      </w:r>
      <w:r w:rsidR="00435BF8" w:rsidRPr="0015116B">
        <w:rPr>
          <w:rFonts w:ascii="TimesNewRomanPSMT" w:hAnsi="TimesNewRomanPSMT" w:cs="TimesNewRomanPSMT"/>
        </w:rPr>
        <w:t>Evidence of search for balance between realistic (</w:t>
      </w:r>
      <w:r w:rsidR="00822D90" w:rsidRPr="0015116B">
        <w:rPr>
          <w:rFonts w:ascii="TimesNewRomanPSMT" w:hAnsi="TimesNewRomanPSMT" w:cs="TimesNewRomanPSMT"/>
        </w:rPr>
        <w:t>but possibly over</w:t>
      </w:r>
      <w:r w:rsidR="001D52DA" w:rsidRPr="0015116B">
        <w:rPr>
          <w:rFonts w:ascii="TimesNewRomanPSMT" w:hAnsi="TimesNewRomanPSMT" w:cs="TimesNewRomanPSMT"/>
        </w:rPr>
        <w:t>-</w:t>
      </w:r>
      <w:r w:rsidR="00822D90" w:rsidRPr="0015116B">
        <w:rPr>
          <w:rFonts w:ascii="TimesNewRomanPSMT" w:hAnsi="TimesNewRomanPSMT" w:cs="TimesNewRomanPSMT"/>
        </w:rPr>
        <w:t xml:space="preserve">parameterized) </w:t>
      </w:r>
      <w:r w:rsidR="00435BF8" w:rsidRPr="0015116B">
        <w:rPr>
          <w:rFonts w:ascii="TimesNewRomanPSMT" w:hAnsi="TimesNewRomanPSMT" w:cs="TimesNewRomanPSMT"/>
        </w:rPr>
        <w:t>and simpler (but not realistic) models.</w:t>
      </w:r>
    </w:p>
    <w:p w14:paraId="6A4AA94E" w14:textId="51ADB70B" w:rsidR="00D37EC4" w:rsidRPr="0015116B" w:rsidRDefault="00DD0330" w:rsidP="00213528">
      <w:r w:rsidRPr="0015116B">
        <w:t xml:space="preserve">Scenarios 20.07 and 20.10 represent simplifications to a “full” model </w:t>
      </w:r>
      <w:r w:rsidR="009B6B94" w:rsidRPr="0015116B">
        <w:t xml:space="preserve">(e.g., M19F05 from the 2019 assessment) that </w:t>
      </w:r>
      <w:r w:rsidRPr="0015116B">
        <w:t>incorporate</w:t>
      </w:r>
      <w:r w:rsidR="009B6B94" w:rsidRPr="0015116B">
        <w:t>d</w:t>
      </w:r>
      <w:r w:rsidRPr="0015116B">
        <w:t xml:space="preserve"> the BSFRF </w:t>
      </w:r>
      <w:r w:rsidR="009B6B94" w:rsidRPr="0015116B">
        <w:t xml:space="preserve">and NMFS SBS </w:t>
      </w:r>
      <w:r w:rsidRPr="0015116B">
        <w:t xml:space="preserve">data </w:t>
      </w:r>
      <w:r w:rsidR="009B6B94" w:rsidRPr="0015116B">
        <w:t xml:space="preserve">simultaneously </w:t>
      </w:r>
      <w:r w:rsidRPr="0015116B">
        <w:t>into the assessment to estimate NMFS survey selectivity</w:t>
      </w:r>
      <w:r w:rsidR="009B6B94" w:rsidRPr="0015116B">
        <w:t xml:space="preserve"> but also required estimating size-specific annual availability in the SBS study areas at the cost of hundreds of additional parameters</w:t>
      </w:r>
      <w:r w:rsidR="004A59C1" w:rsidRPr="0015116B">
        <w:t xml:space="preserve"> (~50 parameters for each year the SBS studies were conducted)</w:t>
      </w:r>
      <w:r w:rsidR="009B6B94" w:rsidRPr="0015116B">
        <w:t>.</w:t>
      </w:r>
      <w:r w:rsidR="004A59C1" w:rsidRPr="0015116B">
        <w:t xml:space="preserve"> In particular, 20.10 eliminated 6 parameters (4 selectivity parameters and 2 catchability parameters) used in 19.03(2020), but at a cost of ~600 likelihood units of worse overall fit.</w:t>
      </w:r>
    </w:p>
    <w:p w14:paraId="1053F7C4" w14:textId="33BFA689" w:rsidR="004A59C1" w:rsidRPr="0015116B" w:rsidRDefault="004A59C1" w:rsidP="00213528">
      <w:r w:rsidRPr="0015116B">
        <w:t xml:space="preserve">In addition to these scenarios, a number of other models were evaluated </w:t>
      </w:r>
      <w:r w:rsidR="00572830" w:rsidRPr="0015116B">
        <w:t xml:space="preserve">in the interim between the May and September 2020 CPT meetings </w:t>
      </w:r>
      <w:r w:rsidRPr="0015116B">
        <w:t xml:space="preserve">in an effort to </w:t>
      </w:r>
      <w:r w:rsidR="00572830" w:rsidRPr="0015116B">
        <w:t>identify a working</w:t>
      </w:r>
      <w:r w:rsidRPr="0015116B">
        <w:t xml:space="preserve"> model </w:t>
      </w:r>
      <w:r w:rsidR="00572830" w:rsidRPr="0015116B">
        <w:t xml:space="preserve">with reduced </w:t>
      </w:r>
      <w:r w:rsidRPr="0015116B">
        <w:t>complexity</w:t>
      </w:r>
      <w:r w:rsidR="00572830" w:rsidRPr="0015116B">
        <w:t xml:space="preserve"> but realistic dynamics</w:t>
      </w:r>
      <w:r w:rsidRPr="0015116B">
        <w:t xml:space="preserve">. </w:t>
      </w:r>
      <w:r w:rsidR="00572830" w:rsidRPr="0015116B">
        <w:t>The simplest of these was a single-sex model which incorporated fits to catch data from only the directed and snow crab fisheries and re-parameterized logistic and double-logistic selectivity functions to normal and double-normal ones. Results from this (and several other) models indicate</w:t>
      </w:r>
      <w:r w:rsidR="00DE0440" w:rsidRPr="0015116B">
        <w:t>d</w:t>
      </w:r>
      <w:r w:rsidR="00572830" w:rsidRPr="0015116B">
        <w:t xml:space="preserve"> a strong confounding between estimated natural mortality rates and survey catchability, both of which</w:t>
      </w:r>
      <w:r w:rsidR="00EF344E" w:rsidRPr="0015116B">
        <w:t xml:space="preserve"> affect (or are affected by) estimates of mean recruitment. The extent of this confounding needs to be characterized more fully in the future in order to better understand tradeoffs in the actual assessment model.</w:t>
      </w:r>
    </w:p>
    <w:p w14:paraId="57D43919" w14:textId="7C669B47" w:rsidR="00435BF8" w:rsidRPr="0015116B" w:rsidRDefault="00FD17DD" w:rsidP="00FD17DD">
      <w:pPr>
        <w:pStyle w:val="Heading4"/>
        <w:rPr>
          <w:rFonts w:ascii="TimesNewRomanPSMT" w:hAnsi="TimesNewRomanPSMT" w:cs="TimesNewRomanPSMT"/>
        </w:rPr>
      </w:pPr>
      <w:r w:rsidRPr="0015116B">
        <w:rPr>
          <w:rFonts w:ascii="TimesNewRomanPSMT" w:hAnsi="TimesNewRomanPSMT" w:cs="TimesNewRomanPSMT"/>
        </w:rPr>
        <w:t xml:space="preserve">d. </w:t>
      </w:r>
      <w:r w:rsidR="00435BF8" w:rsidRPr="0015116B">
        <w:rPr>
          <w:rFonts w:ascii="TimesNewRomanPSMT" w:hAnsi="TimesNewRomanPSMT" w:cs="TimesNewRomanPSMT"/>
        </w:rPr>
        <w:t>Convergence status and convergence criteria</w:t>
      </w:r>
    </w:p>
    <w:p w14:paraId="039F568B" w14:textId="23015DEE" w:rsidR="00F05E29" w:rsidRPr="0015116B" w:rsidRDefault="00D37EC4" w:rsidP="00F05E29">
      <w:r w:rsidRPr="0015116B">
        <w:t>As noted above, c</w:t>
      </w:r>
      <w:r w:rsidR="00F05E29" w:rsidRPr="0015116B">
        <w:t xml:space="preserve">onvergence in </w:t>
      </w:r>
      <w:r w:rsidR="00EF344E" w:rsidRPr="0015116B">
        <w:t xml:space="preserve">the two </w:t>
      </w:r>
      <w:r w:rsidR="00C90A71" w:rsidRPr="0015116B">
        <w:t>candidate scenarios (19.03[2020] and 20.07) for possible</w:t>
      </w:r>
      <w:r w:rsidR="00F05E29" w:rsidRPr="0015116B">
        <w:t xml:space="preserve"> </w:t>
      </w:r>
      <w:r w:rsidR="00C90A71" w:rsidRPr="0015116B">
        <w:t xml:space="preserve">use to determine status and OFL </w:t>
      </w:r>
      <w:r w:rsidR="00F05E29" w:rsidRPr="0015116B">
        <w:t xml:space="preserve">was assessed by running </w:t>
      </w:r>
      <w:r w:rsidR="00EE5668" w:rsidRPr="0015116B">
        <w:t>each model</w:t>
      </w:r>
      <w:r w:rsidR="00E33915" w:rsidRPr="0015116B">
        <w:t xml:space="preserve"> </w:t>
      </w:r>
      <w:r w:rsidR="00C90A71" w:rsidRPr="0015116B">
        <w:t>400</w:t>
      </w:r>
      <w:r w:rsidR="006C1655" w:rsidRPr="0015116B">
        <w:t xml:space="preserve"> times with randomly-selected (“jittered”) initial parameter values for each run.</w:t>
      </w:r>
      <w:r w:rsidR="00F05E29" w:rsidRPr="0015116B">
        <w:t xml:space="preserve"> </w:t>
      </w:r>
      <w:r w:rsidR="00E33915" w:rsidRPr="0015116B">
        <w:t xml:space="preserve">For </w:t>
      </w:r>
      <w:r w:rsidR="00C90A71" w:rsidRPr="0015116B">
        <w:t>both</w:t>
      </w:r>
      <w:r w:rsidR="00E33915" w:rsidRPr="0015116B">
        <w:t xml:space="preserve"> model</w:t>
      </w:r>
      <w:r w:rsidR="00C90A71" w:rsidRPr="0015116B">
        <w:t>s</w:t>
      </w:r>
      <w:r w:rsidR="00E33915" w:rsidRPr="0015116B">
        <w:t xml:space="preserve">, </w:t>
      </w:r>
      <w:r w:rsidR="00C90A71" w:rsidRPr="0015116B">
        <w:t>most</w:t>
      </w:r>
      <w:r w:rsidR="00E33915" w:rsidRPr="0015116B">
        <w:t xml:space="preserve"> of these jitter runs failed</w:t>
      </w:r>
      <w:r w:rsidR="00C90A71" w:rsidRPr="0015116B">
        <w:t>—</w:t>
      </w:r>
      <w:r w:rsidR="00E33915" w:rsidRPr="0015116B">
        <w:t xml:space="preserve">primarily because the initial values </w:t>
      </w:r>
      <w:r w:rsidR="00C90A71" w:rsidRPr="0015116B">
        <w:t>eventually led to estimated</w:t>
      </w:r>
      <w:r w:rsidR="00E33915" w:rsidRPr="0015116B">
        <w:t xml:space="preserve"> growth parameters </w:t>
      </w:r>
      <w:r w:rsidR="00C90A71" w:rsidRPr="0015116B">
        <w:t>that resulted in negative mean molt increments</w:t>
      </w:r>
      <w:r w:rsidR="00E33915" w:rsidRPr="0015116B">
        <w:t>. Of those that converged, t</w:t>
      </w:r>
      <w:r w:rsidR="00BA0A0A" w:rsidRPr="0015116B">
        <w:t xml:space="preserve">he </w:t>
      </w:r>
      <w:r w:rsidR="006C1655" w:rsidRPr="0015116B">
        <w:t>run</w:t>
      </w:r>
      <w:r w:rsidR="00BA0A0A" w:rsidRPr="0015116B">
        <w:t xml:space="preserve"> with the smallest objective function value </w:t>
      </w:r>
      <w:r w:rsidR="006C1655" w:rsidRPr="0015116B">
        <w:t xml:space="preserve">and smallest maximum gradient </w:t>
      </w:r>
      <w:r w:rsidR="00BA0A0A" w:rsidRPr="0015116B">
        <w:t>was selected as the “converged” model</w:t>
      </w:r>
      <w:r w:rsidR="00CB41F0" w:rsidRPr="0015116B">
        <w:t>,</w:t>
      </w:r>
      <w:r w:rsidR="00EE5668" w:rsidRPr="0015116B">
        <w:t xml:space="preserve"> if it was </w:t>
      </w:r>
      <w:r w:rsidR="00D7213A" w:rsidRPr="0015116B">
        <w:t xml:space="preserve">also </w:t>
      </w:r>
      <w:r w:rsidR="00EE5668" w:rsidRPr="0015116B">
        <w:t>possible to invert the associated hessian and obtain standard deviation estimates for parameter values</w:t>
      </w:r>
      <w:r w:rsidR="00BA0A0A" w:rsidRPr="0015116B">
        <w:t>.</w:t>
      </w:r>
      <w:r w:rsidR="00EE5668" w:rsidRPr="0015116B">
        <w:t xml:space="preserve"> </w:t>
      </w:r>
      <w:r w:rsidR="00D7213A" w:rsidRPr="0015116B">
        <w:t xml:space="preserve">Theoretically, all gradients at </w:t>
      </w:r>
      <w:r w:rsidR="00C90A71" w:rsidRPr="0015116B">
        <w:t>a</w:t>
      </w:r>
      <w:r w:rsidR="00D7213A" w:rsidRPr="0015116B">
        <w:t xml:space="preserve"> minimum of the objective function </w:t>
      </w:r>
      <w:r w:rsidR="00C90A71" w:rsidRPr="0015116B">
        <w:t>should be</w:t>
      </w:r>
      <w:r w:rsidR="00D7213A" w:rsidRPr="0015116B">
        <w:t xml:space="preserve"> zero. However, because numerical methods have finite precision, the numerical search for the minimum is terminated after </w:t>
      </w:r>
      <w:r w:rsidRPr="0015116B">
        <w:t xml:space="preserve">either </w:t>
      </w:r>
      <w:r w:rsidR="00D7213A" w:rsidRPr="0015116B">
        <w:t>achieving a minimum threshold for the max</w:t>
      </w:r>
      <w:r w:rsidRPr="0015116B">
        <w:t>imum</w:t>
      </w:r>
      <w:r w:rsidR="00D7213A" w:rsidRPr="0015116B">
        <w:t xml:space="preserve"> gradient or exceeding the maximum number of iterations.</w:t>
      </w:r>
      <w:r w:rsidR="000A6826" w:rsidRPr="0015116B">
        <w:t xml:space="preserve"> </w:t>
      </w:r>
      <w:r w:rsidRPr="0015116B">
        <w:t xml:space="preserve">As noted previously, </w:t>
      </w:r>
      <w:r w:rsidR="00C90A71" w:rsidRPr="0015116B">
        <w:t xml:space="preserve">about 5% of jittered runs converged to the presumed MLE for scenario 19.03(2020) while 10% did so </w:t>
      </w:r>
      <w:r w:rsidR="00A23F97" w:rsidRPr="0015116B">
        <w:t>for 20.07</w:t>
      </w:r>
      <w:r w:rsidRPr="0015116B">
        <w:t>.</w:t>
      </w:r>
    </w:p>
    <w:p w14:paraId="12C7B989" w14:textId="77777777" w:rsidR="00BA0A0A" w:rsidRPr="0015116B" w:rsidRDefault="00FD17DD" w:rsidP="00FD17DD">
      <w:pPr>
        <w:pStyle w:val="Heading4"/>
        <w:rPr>
          <w:rFonts w:ascii="TimesNewRomanPSMT" w:hAnsi="TimesNewRomanPSMT" w:cs="TimesNewRomanPSMT"/>
        </w:rPr>
      </w:pPr>
      <w:r w:rsidRPr="0015116B">
        <w:rPr>
          <w:rFonts w:ascii="TimesNewRomanPSMT" w:hAnsi="TimesNewRomanPSMT" w:cs="TimesNewRomanPSMT"/>
        </w:rPr>
        <w:t xml:space="preserve">e. </w:t>
      </w:r>
      <w:r w:rsidR="00B86BC9" w:rsidRPr="0015116B">
        <w:rPr>
          <w:rFonts w:ascii="TimesNewRomanPSMT" w:hAnsi="TimesNewRomanPSMT" w:cs="TimesNewRomanPSMT"/>
        </w:rPr>
        <w:t>S</w:t>
      </w:r>
      <w:r w:rsidR="00435BF8" w:rsidRPr="0015116B">
        <w:rPr>
          <w:rFonts w:ascii="TimesNewRomanPSMT" w:hAnsi="TimesNewRomanPSMT" w:cs="TimesNewRomanPSMT"/>
        </w:rPr>
        <w:t>ample sizes assumed for the compositional data</w:t>
      </w:r>
    </w:p>
    <w:p w14:paraId="097A3D66" w14:textId="223A7567" w:rsidR="00760343" w:rsidRPr="0015116B" w:rsidRDefault="00A23F97" w:rsidP="00BA0A0A">
      <w:r w:rsidRPr="0015116B">
        <w:t>Actual and i</w:t>
      </w:r>
      <w:r w:rsidR="006C1655" w:rsidRPr="0015116B">
        <w:t>nput s</w:t>
      </w:r>
      <w:r w:rsidR="00BA0A0A" w:rsidRPr="0015116B">
        <w:t xml:space="preserve">ample sizes </w:t>
      </w:r>
      <w:r w:rsidR="006C1655" w:rsidRPr="0015116B">
        <w:t>used</w:t>
      </w:r>
      <w:r w:rsidR="00BA0A0A" w:rsidRPr="0015116B">
        <w:t xml:space="preserve"> for compositional data are listed in Tables </w:t>
      </w:r>
      <w:r w:rsidRPr="0015116B">
        <w:t>5-7</w:t>
      </w:r>
      <w:r w:rsidR="00BA0A0A" w:rsidRPr="0015116B">
        <w:t xml:space="preserve"> for fishery-related size compositions. </w:t>
      </w:r>
      <w:r w:rsidRPr="0015116B">
        <w:t xml:space="preserve">Actual samples sizes for survey size compositions are listed in Table 10. </w:t>
      </w:r>
      <w:r w:rsidR="006C1655" w:rsidRPr="0015116B">
        <w:t>Input s</w:t>
      </w:r>
      <w:r w:rsidR="00BA0A0A" w:rsidRPr="0015116B">
        <w:t xml:space="preserve">ample sizes for all survey size compositions were set to 200, which was also the maximum allowed for fishery-related </w:t>
      </w:r>
      <w:r w:rsidRPr="0015116B">
        <w:t xml:space="preserve">input </w:t>
      </w:r>
      <w:r w:rsidR="00BA0A0A" w:rsidRPr="0015116B">
        <w:t xml:space="preserve">sample sizes. </w:t>
      </w:r>
      <w:r w:rsidR="00760343" w:rsidRPr="0015116B">
        <w:t>Otherwise, input sample sizes were scale</w:t>
      </w:r>
      <w:r w:rsidR="001C7F77" w:rsidRPr="0015116B">
        <w:t>d</w:t>
      </w:r>
      <w:r w:rsidR="00760343" w:rsidRPr="0015116B">
        <w:t xml:space="preserve"> </w:t>
      </w:r>
      <w:r w:rsidR="00CB41F0" w:rsidRPr="0015116B">
        <w:t xml:space="preserve">as </w:t>
      </w:r>
      <w:r w:rsidR="006C1655" w:rsidRPr="0015116B">
        <w:t xml:space="preserve">described </w:t>
      </w:r>
      <w:r w:rsidR="00CB41F0" w:rsidRPr="0015116B">
        <w:t>in Stockhausen</w:t>
      </w:r>
      <w:r w:rsidR="006C1655" w:rsidRPr="0015116B">
        <w:t xml:space="preserve"> (</w:t>
      </w:r>
      <w:r w:rsidR="00CB41F0" w:rsidRPr="0015116B">
        <w:t>2014</w:t>
      </w:r>
      <w:r w:rsidR="006C1655" w:rsidRPr="0015116B">
        <w:t>,</w:t>
      </w:r>
      <w:r w:rsidR="00CB41F0" w:rsidRPr="0015116B">
        <w:t xml:space="preserve"> </w:t>
      </w:r>
      <w:r w:rsidR="000E106C" w:rsidRPr="0015116B">
        <w:t>Appendix 5)</w:t>
      </w:r>
      <w:r w:rsidRPr="0015116B">
        <w:t xml:space="preserve"> using the formula</w:t>
      </w:r>
      <w:r w:rsidR="006C1655" w:rsidRPr="0015116B">
        <w:t>:</w:t>
      </w:r>
    </w:p>
    <w:p w14:paraId="4D917145" w14:textId="61260CD1" w:rsidR="00760343" w:rsidRPr="0015116B" w:rsidRDefault="000F0FEE" w:rsidP="00BA0A0A">
      <m:oMathPara>
        <m:oMath>
          <m:sSubSup>
            <m:sSubSupPr>
              <m:ctrlPr>
                <w:rPr>
                  <w:rFonts w:ascii="Cambria Math" w:hAnsi="Cambria Math"/>
                  <w:i/>
                </w:rPr>
              </m:ctrlPr>
            </m:sSubSupPr>
            <m:e>
              <m:r>
                <w:rPr>
                  <w:rFonts w:ascii="Cambria Math" w:hAnsi="Cambria Math"/>
                </w:rPr>
                <m:t>SS</m:t>
              </m:r>
            </m:e>
            <m:sub>
              <m:r>
                <w:rPr>
                  <w:rFonts w:ascii="Cambria Math" w:hAnsi="Cambria Math"/>
                </w:rPr>
                <m:t>y</m:t>
              </m:r>
            </m:sub>
            <m:sup>
              <m:r>
                <w:rPr>
                  <w:rFonts w:ascii="Cambria Math" w:hAnsi="Cambria Math"/>
                </w:rPr>
                <m:t>inp</m:t>
              </m:r>
            </m:sup>
          </m:sSubSup>
          <m:r>
            <w:rPr>
              <w:rFonts w:ascii="Cambria Math" w:hAnsi="Cambria Math"/>
            </w:rPr>
            <m:t>=</m:t>
          </m:r>
          <m:r>
            <m:rPr>
              <m:sty m:val="p"/>
            </m:rPr>
            <w:rPr>
              <w:rFonts w:ascii="Cambria Math" w:hAnsi="Cambria Math"/>
            </w:rPr>
            <m:t>min⁡</m:t>
          </m:r>
          <m:d>
            <m:dPr>
              <m:ctrlPr>
                <w:rPr>
                  <w:rFonts w:ascii="Cambria Math" w:hAnsi="Cambria Math"/>
                  <w:i/>
                </w:rPr>
              </m:ctrlPr>
            </m:dPr>
            <m:e>
              <m:r>
                <w:rPr>
                  <w:rFonts w:ascii="Cambria Math" w:hAnsi="Cambria Math"/>
                </w:rPr>
                <m:t>200,</m:t>
              </m:r>
              <m:f>
                <m:fPr>
                  <m:ctrlPr>
                    <w:rPr>
                      <w:rFonts w:ascii="Cambria Math" w:hAnsi="Cambria Math"/>
                      <w:i/>
                    </w:rPr>
                  </m:ctrlPr>
                </m:fPr>
                <m:num>
                  <m:sSub>
                    <m:sSubPr>
                      <m:ctrlPr>
                        <w:rPr>
                          <w:rFonts w:ascii="Cambria Math" w:hAnsi="Cambria Math"/>
                          <w:i/>
                        </w:rPr>
                      </m:ctrlPr>
                    </m:sSubPr>
                    <m:e>
                      <m:r>
                        <w:rPr>
                          <w:rFonts w:ascii="Cambria Math" w:hAnsi="Cambria Math"/>
                        </w:rPr>
                        <m:t>SS</m:t>
                      </m:r>
                    </m:e>
                    <m:sub>
                      <m:r>
                        <w:rPr>
                          <w:rFonts w:ascii="Cambria Math" w:hAnsi="Cambria Math"/>
                        </w:rPr>
                        <m:t>y</m:t>
                      </m:r>
                    </m:sub>
                  </m:sSub>
                </m:num>
                <m:den>
                  <m:d>
                    <m:dPr>
                      <m:ctrlPr>
                        <w:rPr>
                          <w:rFonts w:ascii="Cambria Math" w:hAnsi="Cambria Math"/>
                          <w:i/>
                        </w:rPr>
                      </m:ctrlPr>
                    </m:dPr>
                    <m:e>
                      <m:acc>
                        <m:accPr>
                          <m:chr m:val="̅"/>
                          <m:ctrlPr>
                            <w:rPr>
                              <w:rFonts w:ascii="Cambria Math" w:hAnsi="Cambria Math"/>
                              <w:i/>
                            </w:rPr>
                          </m:ctrlPr>
                        </m:accPr>
                        <m:e>
                          <m:r>
                            <w:rPr>
                              <w:rFonts w:ascii="Cambria Math" w:hAnsi="Cambria Math"/>
                            </w:rPr>
                            <m:t>SS</m:t>
                          </m:r>
                        </m:e>
                      </m:acc>
                      <m:r>
                        <w:rPr>
                          <w:rFonts w:ascii="Cambria Math" w:hAnsi="Cambria Math"/>
                        </w:rPr>
                        <m:t>/200</m:t>
                      </m:r>
                    </m:e>
                  </m:d>
                </m:den>
              </m:f>
            </m:e>
          </m:d>
        </m:oMath>
      </m:oMathPara>
    </w:p>
    <w:p w14:paraId="1325889A" w14:textId="53975B53" w:rsidR="00BA0A0A" w:rsidRPr="0015116B" w:rsidRDefault="0023011E" w:rsidP="00BA0A0A">
      <w:r w:rsidRPr="0015116B">
        <w:t xml:space="preserve">where </w:t>
      </w:r>
      <m:oMath>
        <m:acc>
          <m:accPr>
            <m:chr m:val="̅"/>
            <m:ctrlPr>
              <w:rPr>
                <w:rFonts w:ascii="Cambria Math" w:hAnsi="Cambria Math"/>
                <w:i/>
              </w:rPr>
            </m:ctrlPr>
          </m:accPr>
          <m:e>
            <m:r>
              <w:rPr>
                <w:rFonts w:ascii="Cambria Math" w:hAnsi="Cambria Math"/>
              </w:rPr>
              <m:t>SS</m:t>
            </m:r>
          </m:e>
        </m:acc>
      </m:oMath>
      <w:r w:rsidRPr="0015116B">
        <w:rPr>
          <w:rFonts w:eastAsiaTheme="minorEastAsia"/>
        </w:rPr>
        <w:t xml:space="preserve"> </w:t>
      </w:r>
      <w:r w:rsidR="00A53B61" w:rsidRPr="0015116B">
        <w:rPr>
          <w:rFonts w:eastAsiaTheme="minorEastAsia"/>
        </w:rPr>
        <w:t>i</w:t>
      </w:r>
      <w:r w:rsidRPr="0015116B">
        <w:rPr>
          <w:rFonts w:eastAsiaTheme="minorEastAsia"/>
        </w:rPr>
        <w:t>s the mean sample size for all males from dockside sampling in the directed fishery.</w:t>
      </w:r>
    </w:p>
    <w:p w14:paraId="21F62888" w14:textId="77777777" w:rsidR="00935A8A" w:rsidRPr="0015116B" w:rsidRDefault="00FD17DD" w:rsidP="00FD17DD">
      <w:pPr>
        <w:pStyle w:val="Heading4"/>
      </w:pPr>
      <w:r w:rsidRPr="0015116B">
        <w:t xml:space="preserve">f. </w:t>
      </w:r>
      <w:r w:rsidR="00BA0A0A" w:rsidRPr="0015116B">
        <w:t>Parameter sensibility</w:t>
      </w:r>
    </w:p>
    <w:p w14:paraId="6391E329" w14:textId="6D008552" w:rsidR="00156CF1" w:rsidRPr="0015116B" w:rsidRDefault="006A3140" w:rsidP="00D0601C">
      <w:r w:rsidRPr="0015116B">
        <w:t>Limits were placed on all estimated parameters in all model scenarios primarily to provide ranges for jittering initial parameter values. Although these limits, for the most part, did not constrain parameter estimates in the converged models, some parameters were found to be at, or very close, to one of the bounds placed on them. These parameters are listed for the scenarios in Table</w:t>
      </w:r>
      <w:r w:rsidR="00033049" w:rsidRPr="0015116B">
        <w:t xml:space="preserve"> 12</w:t>
      </w:r>
      <w:r w:rsidRPr="0015116B">
        <w:t xml:space="preserve">. The CPT and SSC have both expressed concerns regarding parameters estimated at their bounds, as such results frequently violate </w:t>
      </w:r>
      <w:r w:rsidRPr="0015116B">
        <w:lastRenderedPageBreak/>
        <w:t xml:space="preserve">assumptions regarding model convergence, parameter uncertainty estimates, and suggest that model suitability may be improved by widening the </w:t>
      </w:r>
      <w:r w:rsidR="00CD2425" w:rsidRPr="0015116B">
        <w:t>bounds or re-parameterizing the model</w:t>
      </w:r>
      <w:r w:rsidRPr="0015116B">
        <w:t xml:space="preserve">. </w:t>
      </w:r>
      <w:r w:rsidR="00156CF1" w:rsidRPr="0015116B">
        <w:t>Estimates of parameter uncertainty based on inverting the model hessian and using the “delta” method were also obtained from each converged model’s ADMB “std” file (Tables 13-23).</w:t>
      </w:r>
    </w:p>
    <w:p w14:paraId="34E5C62F" w14:textId="20227251" w:rsidR="00A72B77" w:rsidRPr="0015116B" w:rsidRDefault="00033049" w:rsidP="00D0601C">
      <w:r w:rsidRPr="0015116B">
        <w:t xml:space="preserve">Of the scenarios considered in detail here, 19.03 and 19.03(2020) had the same 12 parameters estimated at a bound, 20.07 had 8 of these parameters estimated at a bound, as well as 3 others for 11 total, </w:t>
      </w:r>
      <w:r w:rsidR="00156CF1" w:rsidRPr="0015116B">
        <w:t>but</w:t>
      </w:r>
      <w:r w:rsidRPr="0015116B">
        <w:t xml:space="preserve"> 20.10 had only 5 parameters at bounds—and these were all at a bound in the other scenarios. The 5 parameters at a bound common among all these scenarios were: 1) a logit-scale parameter</w:t>
      </w:r>
      <w:r w:rsidR="00A9521C" w:rsidRPr="0015116B">
        <w:t xml:space="preserve"> (</w:t>
      </w:r>
      <w:proofErr w:type="spellStart"/>
      <w:r w:rsidR="00A9521C" w:rsidRPr="0015116B">
        <w:t>pLgtRet</w:t>
      </w:r>
      <w:proofErr w:type="spellEnd"/>
      <w:r w:rsidR="00A9521C" w:rsidRPr="0015116B">
        <w:t>[1]) at its upper bound</w:t>
      </w:r>
      <w:r w:rsidRPr="0015116B">
        <w:t xml:space="preserve"> </w:t>
      </w:r>
      <w:r w:rsidR="00B56C26" w:rsidRPr="0015116B">
        <w:t xml:space="preserve">(15) </w:t>
      </w:r>
      <w:r w:rsidR="00A9521C" w:rsidRPr="0015116B">
        <w:t>used to estimate</w:t>
      </w:r>
      <w:r w:rsidRPr="0015116B">
        <w:t xml:space="preserve"> maximum retention in the directed fishery</w:t>
      </w:r>
      <w:r w:rsidR="00A9521C" w:rsidRPr="0015116B">
        <w:t xml:space="preserve"> prior to 1997; 2) two parameters (pS1[23], pS1[24]) </w:t>
      </w:r>
      <w:r w:rsidR="00B56C26" w:rsidRPr="0015116B">
        <w:t xml:space="preserve">at their upper bounds (180) </w:t>
      </w:r>
      <w:r w:rsidR="00A9521C" w:rsidRPr="0015116B">
        <w:t xml:space="preserve">describing the size at 95% selection for male bycatch in the BBRKC fishery </w:t>
      </w:r>
      <w:r w:rsidR="00B56C26" w:rsidRPr="0015116B">
        <w:t>during the periods</w:t>
      </w:r>
      <w:r w:rsidR="00A9521C" w:rsidRPr="0015116B">
        <w:t xml:space="preserve"> 1997-2004 and 2005</w:t>
      </w:r>
      <w:r w:rsidR="00B56C26" w:rsidRPr="0015116B">
        <w:t>-2019</w:t>
      </w:r>
      <w:r w:rsidR="00A9521C" w:rsidRPr="0015116B">
        <w:t xml:space="preserve">, respectively; and 3) parameters (pS2[10] and pS4[1]) </w:t>
      </w:r>
      <w:r w:rsidR="00B56C26" w:rsidRPr="0015116B">
        <w:t>at their lower bounds (0.1) describing</w:t>
      </w:r>
      <w:r w:rsidR="00A9521C" w:rsidRPr="0015116B">
        <w:t xml:space="preserve"> the ascending and descending slopes</w:t>
      </w:r>
      <w:r w:rsidR="00B56C26" w:rsidRPr="0015116B">
        <w:t>, respectively,</w:t>
      </w:r>
      <w:r w:rsidR="00A9521C" w:rsidRPr="0015116B">
        <w:t xml:space="preserve"> of the double-logistic functions used to describe male bycatch selectivity in the snow crab fishery before 1997.</w:t>
      </w:r>
      <w:r w:rsidR="0090533A" w:rsidRPr="0015116B">
        <w:t xml:space="preserve"> Given the nature of these parameters, the first </w:t>
      </w:r>
      <w:r w:rsidR="00D5054A" w:rsidRPr="0015116B">
        <w:t>two</w:t>
      </w:r>
      <w:r w:rsidR="0090533A" w:rsidRPr="0015116B">
        <w:t xml:space="preserve"> of these may reflect reasonable structural limits in the fisheries: 1) large males in the directed fishery are highly prized and essentially always retained and 2) the larger mesh used </w:t>
      </w:r>
      <w:r w:rsidR="000C5E44" w:rsidRPr="0015116B">
        <w:t>in pots targeting BBRKC is such that selectivity for large male Tanner crab never reache</w:t>
      </w:r>
      <w:r w:rsidR="008A04B2" w:rsidRPr="0015116B">
        <w:t>d</w:t>
      </w:r>
      <w:r w:rsidR="000C5E44" w:rsidRPr="0015116B">
        <w:t xml:space="preserve"> an asymptote within the size range used in the model (25-185 mm CW)</w:t>
      </w:r>
      <w:r w:rsidR="008A04B2" w:rsidRPr="0015116B">
        <w:t xml:space="preserve"> during the periods in question.</w:t>
      </w:r>
      <w:r w:rsidR="000C5E44" w:rsidRPr="0015116B">
        <w:t xml:space="preserve"> </w:t>
      </w:r>
      <w:r w:rsidR="00D5054A" w:rsidRPr="0015116B">
        <w:t xml:space="preserve">The </w:t>
      </w:r>
      <w:r w:rsidR="00D0601C" w:rsidRPr="0015116B">
        <w:t xml:space="preserve">lower bound (0.1) for the </w:t>
      </w:r>
      <w:r w:rsidR="00D5054A" w:rsidRPr="0015116B">
        <w:t xml:space="preserve">two parameters characterizing the ascending and descending slopes of the double logistic selectivity function for males in the </w:t>
      </w:r>
      <w:r w:rsidR="00D0601C" w:rsidRPr="0015116B">
        <w:t>pre-1997 snow crab fishery should be decreased to allow greater “spread” in this function.</w:t>
      </w:r>
    </w:p>
    <w:p w14:paraId="6B61D1D5" w14:textId="59693A3A" w:rsidR="005C67A0" w:rsidRPr="0015116B" w:rsidRDefault="00F14250" w:rsidP="00BA0A0A">
      <w:r w:rsidRPr="0015116B">
        <w:t>In scenarios 19.03(2020) and 20.07</w:t>
      </w:r>
      <w:r w:rsidR="005C67A0" w:rsidRPr="0015116B">
        <w:t>,</w:t>
      </w:r>
      <w:r w:rsidRPr="0015116B">
        <w:t xml:space="preserve"> t</w:t>
      </w:r>
      <w:r w:rsidR="00063915" w:rsidRPr="0015116B">
        <w:t xml:space="preserve">he </w:t>
      </w:r>
      <w:r w:rsidR="005C67A0" w:rsidRPr="0015116B">
        <w:t>sex-specific</w:t>
      </w:r>
      <w:r w:rsidR="00AB1AC0" w:rsidRPr="0015116B">
        <w:t xml:space="preserve"> parameters</w:t>
      </w:r>
      <w:r w:rsidRPr="0015116B">
        <w:t xml:space="preserve"> </w:t>
      </w:r>
      <w:r w:rsidR="005C67A0" w:rsidRPr="0015116B">
        <w:t>(</w:t>
      </w:r>
      <w:proofErr w:type="spellStart"/>
      <w:r w:rsidRPr="0015116B">
        <w:t>pQ</w:t>
      </w:r>
      <w:proofErr w:type="spellEnd"/>
      <w:r w:rsidRPr="0015116B">
        <w:t xml:space="preserve">[1] and </w:t>
      </w:r>
      <w:proofErr w:type="spellStart"/>
      <w:r w:rsidRPr="0015116B">
        <w:t>pQ</w:t>
      </w:r>
      <w:proofErr w:type="spellEnd"/>
      <w:r w:rsidRPr="0015116B">
        <w:t>[3]</w:t>
      </w:r>
      <w:r w:rsidR="005C67A0" w:rsidRPr="0015116B">
        <w:t>) were estimated at their lower bounds (ln(0.5)), as has been the case in almost all Tanner crab assessments to date. These parameters reflect ln-scale survey catchability during</w:t>
      </w:r>
      <w:r w:rsidR="00AB1AC0" w:rsidRPr="0015116B">
        <w:t xml:space="preserve"> the 1975-1981 time period </w:t>
      </w:r>
      <w:r w:rsidRPr="0015116B">
        <w:t>prior to the survey gear change to the 83-112 bottom trawl net</w:t>
      </w:r>
      <w:r w:rsidR="005C67A0" w:rsidRPr="0015116B">
        <w:t>.</w:t>
      </w:r>
      <w:r w:rsidRPr="0015116B">
        <w:t xml:space="preserve"> Previously, t</w:t>
      </w:r>
      <w:r w:rsidR="00A71BB4" w:rsidRPr="0015116B">
        <w:t>he</w:t>
      </w:r>
      <w:r w:rsidRPr="0015116B">
        <w:t xml:space="preserve"> chosen</w:t>
      </w:r>
      <w:r w:rsidR="00A71BB4" w:rsidRPr="0015116B">
        <w:t xml:space="preserve"> bounds seemed reasonable given the spatial limits of the Tanner crab stock and the reduced areal coverage of these </w:t>
      </w:r>
      <w:r w:rsidRPr="0015116B">
        <w:t xml:space="preserve">pre-1982 </w:t>
      </w:r>
      <w:r w:rsidR="00A71BB4" w:rsidRPr="0015116B">
        <w:t>surveys relative to those conducted after 1981</w:t>
      </w:r>
      <w:r w:rsidRPr="0015116B">
        <w:t xml:space="preserve"> because</w:t>
      </w:r>
      <w:r w:rsidR="00A71BB4" w:rsidRPr="0015116B">
        <w:t xml:space="preserve"> an early estimate of fully-selected catchability </w:t>
      </w:r>
      <w:r w:rsidRPr="0015116B">
        <w:t>using the 8</w:t>
      </w:r>
      <w:r w:rsidR="005C67A0" w:rsidRPr="0015116B">
        <w:t>3</w:t>
      </w:r>
      <w:r w:rsidRPr="0015116B">
        <w:t xml:space="preserve">-112 </w:t>
      </w:r>
      <w:r w:rsidR="005C67A0" w:rsidRPr="0015116B">
        <w:t>net</w:t>
      </w:r>
      <w:r w:rsidRPr="0015116B">
        <w:t xml:space="preserve"> </w:t>
      </w:r>
      <w:r w:rsidR="00A71BB4" w:rsidRPr="0015116B">
        <w:t>was ~0.9 (Somerton et</w:t>
      </w:r>
      <w:r w:rsidR="009B65E3" w:rsidRPr="0015116B">
        <w:t xml:space="preserve"> </w:t>
      </w:r>
      <w:r w:rsidR="00A71BB4" w:rsidRPr="0015116B">
        <w:t xml:space="preserve">al. </w:t>
      </w:r>
      <w:r w:rsidR="009B65E3" w:rsidRPr="0015116B">
        <w:t>1999</w:t>
      </w:r>
      <w:r w:rsidR="00A71BB4" w:rsidRPr="0015116B">
        <w:t>)</w:t>
      </w:r>
      <w:r w:rsidR="00AB1AC0" w:rsidRPr="0015116B">
        <w:t xml:space="preserve">. </w:t>
      </w:r>
      <w:r w:rsidR="00A71BB4" w:rsidRPr="0015116B">
        <w:t xml:space="preserve">However, preliminary results from the BSFRF-NMFS SBS catch ratio studies suggest that fully-selected Q for Tanner crab in the current NMFS survey may be &lt; 0.5 so the </w:t>
      </w:r>
      <w:r w:rsidR="005C67A0" w:rsidRPr="0015116B">
        <w:t xml:space="preserve">lower </w:t>
      </w:r>
      <w:r w:rsidR="00A71BB4" w:rsidRPr="0015116B">
        <w:t xml:space="preserve">bounds on catchability </w:t>
      </w:r>
      <w:r w:rsidR="005C67A0" w:rsidRPr="0015116B">
        <w:t>during the pre-gear change</w:t>
      </w:r>
      <w:r w:rsidR="00A71BB4" w:rsidRPr="0015116B">
        <w:t xml:space="preserve"> time period should definitely be reduced.</w:t>
      </w:r>
      <w:r w:rsidR="005C67A0" w:rsidRPr="0015116B">
        <w:t xml:space="preserve"> This is supported by results from Scenario 20.10, in which the lower bounds on these parameters were decreased and estimates were obtained that did not hit them (Table 13).</w:t>
      </w:r>
      <w:r w:rsidR="00AB1AC0" w:rsidRPr="0015116B">
        <w:t xml:space="preserve"> </w:t>
      </w:r>
    </w:p>
    <w:p w14:paraId="448233D5" w14:textId="1A3405C0" w:rsidR="00E3506C" w:rsidRPr="0015116B" w:rsidRDefault="00F362D2" w:rsidP="00BA0A0A">
      <w:r w:rsidRPr="0015116B">
        <w:t>Another</w:t>
      </w:r>
      <w:r w:rsidR="00AB1AC0" w:rsidRPr="0015116B">
        <w:t xml:space="preserve"> survey-related parameter</w:t>
      </w:r>
      <w:r w:rsidR="005C67A0" w:rsidRPr="0015116B">
        <w:t>,</w:t>
      </w:r>
      <w:r w:rsidRPr="0015116B">
        <w:t xml:space="preserve"> pS2[4] </w:t>
      </w:r>
      <w:r w:rsidR="00AB1AC0" w:rsidRPr="0015116B">
        <w:t xml:space="preserve">describing the size difference between </w:t>
      </w:r>
      <w:r w:rsidRPr="0015116B">
        <w:t xml:space="preserve">female </w:t>
      </w:r>
      <w:r w:rsidR="00AB1AC0" w:rsidRPr="0015116B">
        <w:t>crab at 50% and 95% selected</w:t>
      </w:r>
      <w:r w:rsidRPr="0015116B">
        <w:t>,</w:t>
      </w:r>
      <w:r w:rsidR="00AB1AC0" w:rsidRPr="0015116B">
        <w:t xml:space="preserve"> w</w:t>
      </w:r>
      <w:r w:rsidRPr="0015116B">
        <w:t>as</w:t>
      </w:r>
      <w:r w:rsidR="00AB1AC0" w:rsidRPr="0015116B">
        <w:t xml:space="preserve"> estimated at </w:t>
      </w:r>
      <w:r w:rsidRPr="0015116B">
        <w:t>its</w:t>
      </w:r>
      <w:r w:rsidR="00AB1AC0" w:rsidRPr="0015116B">
        <w:t xml:space="preserve"> upper bound in the </w:t>
      </w:r>
      <w:r w:rsidR="005C67A0" w:rsidRPr="0015116B">
        <w:t>post-gear change time period (</w:t>
      </w:r>
      <w:r w:rsidR="00AB1AC0" w:rsidRPr="0015116B">
        <w:t>1982-present</w:t>
      </w:r>
      <w:r w:rsidR="005C67A0" w:rsidRPr="0015116B">
        <w:t>)</w:t>
      </w:r>
      <w:r w:rsidR="003A2021" w:rsidRPr="0015116B">
        <w:t xml:space="preserve"> in both 19.03(2020) and 20.07</w:t>
      </w:r>
      <w:r w:rsidR="00AB1AC0" w:rsidRPr="0015116B">
        <w:t xml:space="preserve">. </w:t>
      </w:r>
      <w:r w:rsidR="003A2021" w:rsidRPr="0015116B">
        <w:t xml:space="preserve">The resulting selectivity curve (see Figure 48) </w:t>
      </w:r>
      <w:r w:rsidR="00156CF1" w:rsidRPr="0015116B">
        <w:t xml:space="preserve">from 20.07 </w:t>
      </w:r>
      <w:r w:rsidR="003A2021" w:rsidRPr="0015116B">
        <w:t>seems reasonable in that small crab are much less well-selected than larger females</w:t>
      </w:r>
      <w:r w:rsidR="005C67A0" w:rsidRPr="0015116B">
        <w:t>,</w:t>
      </w:r>
      <w:r w:rsidR="003A2021" w:rsidRPr="0015116B">
        <w:t xml:space="preserve"> </w:t>
      </w:r>
      <w:r w:rsidR="00156CF1" w:rsidRPr="0015116B">
        <w:t>but the curve</w:t>
      </w:r>
      <w:r w:rsidR="003A2021" w:rsidRPr="0015116B">
        <w:t xml:space="preserve"> </w:t>
      </w:r>
      <w:r w:rsidR="00156CF1" w:rsidRPr="0015116B">
        <w:t>from</w:t>
      </w:r>
      <w:r w:rsidR="003A2021" w:rsidRPr="0015116B">
        <w:t xml:space="preserve"> 19.03(2020) seems less </w:t>
      </w:r>
      <w:r w:rsidR="00156CF1" w:rsidRPr="0015116B">
        <w:t>so</w:t>
      </w:r>
      <w:r w:rsidR="003A2021" w:rsidRPr="0015116B">
        <w:t xml:space="preserve"> because it is relatively flat across all size ranges. </w:t>
      </w:r>
    </w:p>
    <w:p w14:paraId="2906EB7C" w14:textId="2A11C905" w:rsidR="00F22867" w:rsidRPr="0015116B" w:rsidRDefault="00F22867" w:rsidP="00F22867">
      <w:r w:rsidRPr="0015116B">
        <w:t xml:space="preserve">Scenarios 19.03(2020) and 20.07 also had a parameter describing the size-at-95% selectivity for females in the BBRKC fishery since 2005 at its upper bound (140 mm CW, which is larger than any seen in the NMFS survey). This may be the result of a simplifying assumption (that eliminates a number of extra parameters) that fully-selected fishing mortality on females in the BBRKC fishery is a scaled version of that on males. </w:t>
      </w:r>
      <w:r w:rsidR="008C26B2" w:rsidRPr="0015116B">
        <w:t xml:space="preserve">However, similar </w:t>
      </w:r>
      <w:r w:rsidR="0014520C" w:rsidRPr="0015116B">
        <w:t xml:space="preserve">selectivity </w:t>
      </w:r>
      <w:r w:rsidR="008C26B2" w:rsidRPr="0015116B">
        <w:t>parameters applying to both male</w:t>
      </w:r>
      <w:r w:rsidR="0014520C" w:rsidRPr="0015116B">
        <w:t>s</w:t>
      </w:r>
      <w:r w:rsidR="008C26B2" w:rsidRPr="0015116B">
        <w:t xml:space="preserve"> and female</w:t>
      </w:r>
      <w:r w:rsidR="0014520C" w:rsidRPr="0015116B">
        <w:t>s</w:t>
      </w:r>
      <w:r w:rsidR="008C26B2" w:rsidRPr="0015116B">
        <w:t xml:space="preserve"> </w:t>
      </w:r>
      <w:r w:rsidR="0014520C" w:rsidRPr="0015116B">
        <w:t>taken</w:t>
      </w:r>
      <w:r w:rsidR="00156CF1" w:rsidRPr="0015116B">
        <w:t xml:space="preserve"> </w:t>
      </w:r>
      <w:r w:rsidR="008C26B2" w:rsidRPr="0015116B">
        <w:t xml:space="preserve">in the BBRKC fishery during different time periods </w:t>
      </w:r>
      <w:r w:rsidR="00156CF1" w:rsidRPr="0015116B">
        <w:t>were</w:t>
      </w:r>
      <w:r w:rsidR="008C26B2" w:rsidRPr="0015116B">
        <w:t xml:space="preserve"> very poorly estimated, if not at a bound (</w:t>
      </w:r>
      <w:r w:rsidR="0014520C" w:rsidRPr="0015116B">
        <w:t xml:space="preserve">pS1[23-27], </w:t>
      </w:r>
      <w:r w:rsidR="008C26B2" w:rsidRPr="0015116B">
        <w:t>Table 13).</w:t>
      </w:r>
      <w:r w:rsidRPr="0015116B">
        <w:t xml:space="preserve"> </w:t>
      </w:r>
    </w:p>
    <w:p w14:paraId="19C7D895" w14:textId="16579BD4" w:rsidR="00AB1AC0" w:rsidRPr="0015116B" w:rsidRDefault="003A2021" w:rsidP="00BA0A0A">
      <w:r w:rsidRPr="0015116B">
        <w:t xml:space="preserve">Scenario 19.03(2020) estimated three </w:t>
      </w:r>
      <w:r w:rsidR="008C26B2" w:rsidRPr="0015116B">
        <w:t xml:space="preserve">additional </w:t>
      </w:r>
      <w:r w:rsidRPr="0015116B">
        <w:t>parameters at bound</w:t>
      </w:r>
      <w:r w:rsidR="008C26B2" w:rsidRPr="0015116B">
        <w:t>s</w:t>
      </w:r>
      <w:r w:rsidRPr="0015116B">
        <w:t xml:space="preserve"> that 20.07 did not. These</w:t>
      </w:r>
      <w:r w:rsidR="00E3506C" w:rsidRPr="0015116B">
        <w:t xml:space="preserve"> were the male size-at-50% selected in the NMFS survey prior to 1982 (pS1[1]) at its upper bound, the male size-at-50% selected in the groundfish fisheries during the 1987-1996 time period (pS1[20]) at its lower bound, </w:t>
      </w:r>
      <w:r w:rsidR="00E3506C" w:rsidRPr="0015116B">
        <w:lastRenderedPageBreak/>
        <w:t xml:space="preserve">and the difference between the </w:t>
      </w:r>
      <w:r w:rsidR="002F74AB" w:rsidRPr="0015116B">
        <w:t xml:space="preserve">sizes at </w:t>
      </w:r>
      <w:r w:rsidR="00E3506C" w:rsidRPr="0015116B">
        <w:t>50%- and 95%-</w:t>
      </w:r>
      <w:r w:rsidR="002F74AB" w:rsidRPr="0015116B">
        <w:t>selected</w:t>
      </w:r>
      <w:r w:rsidR="00E3506C" w:rsidRPr="0015116B">
        <w:t xml:space="preserve"> </w:t>
      </w:r>
      <w:r w:rsidR="002F74AB" w:rsidRPr="0015116B">
        <w:t>for males in the NMFS survey after 1981 (pS2[2]) at its upper bound.</w:t>
      </w:r>
      <w:r w:rsidR="00A30BF5" w:rsidRPr="0015116B">
        <w:t xml:space="preserve"> Scenario 20.07 was able to estimate </w:t>
      </w:r>
      <w:r w:rsidR="0014520C" w:rsidRPr="0015116B">
        <w:t>all</w:t>
      </w:r>
      <w:r w:rsidR="008C26B2" w:rsidRPr="0015116B">
        <w:t xml:space="preserve"> of these parameters</w:t>
      </w:r>
      <w:r w:rsidR="00A30BF5" w:rsidRPr="0015116B">
        <w:t xml:space="preserve"> reasonably well (Table 13).</w:t>
      </w:r>
      <w:r w:rsidR="0014520C" w:rsidRPr="0015116B">
        <w:t xml:space="preserve"> Conversely, the molt increment uncertainty parameter </w:t>
      </w:r>
      <w:proofErr w:type="spellStart"/>
      <w:r w:rsidR="0014520C" w:rsidRPr="0015116B">
        <w:t>pGrBeta</w:t>
      </w:r>
      <w:proofErr w:type="spellEnd"/>
      <w:r w:rsidR="0014520C" w:rsidRPr="0015116B">
        <w:t>[1] (the scale factor for a gamma distribution) and the selectivity parameter pS1[4] (the size at 50% selected for females in the NMFS survey in the 1982+ time period) were estimated at bounds in Scenario 20.07 but not in 19.03(2020)</w:t>
      </w:r>
      <w:r w:rsidR="000E69D1" w:rsidRPr="0015116B">
        <w:t>, although the estimates of pS1[4] in 19.03(2020) were highly uncertain.</w:t>
      </w:r>
    </w:p>
    <w:p w14:paraId="21F50F5A" w14:textId="594FE70F" w:rsidR="000E69D1" w:rsidRPr="0015116B" w:rsidRDefault="000E69D1" w:rsidP="00F742E7">
      <w:r w:rsidRPr="0015116B">
        <w:t>A few other parameters exhibited rather</w:t>
      </w:r>
      <w:r w:rsidR="00912019" w:rsidRPr="0015116B">
        <w:t xml:space="preserve"> </w:t>
      </w:r>
      <w:r w:rsidRPr="0015116B">
        <w:t>large</w:t>
      </w:r>
      <w:r w:rsidR="00912019" w:rsidRPr="0015116B">
        <w:t xml:space="preserve"> uncertainties</w:t>
      </w:r>
      <w:r w:rsidRPr="0015116B">
        <w:t>, as well. Among these, the</w:t>
      </w:r>
      <w:r w:rsidR="00912019" w:rsidRPr="0015116B">
        <w:t xml:space="preserve"> logit-scale parameters </w:t>
      </w:r>
      <w:r w:rsidR="00197771" w:rsidRPr="0015116B">
        <w:t>that characterized</w:t>
      </w:r>
      <w:r w:rsidR="00912019" w:rsidRPr="0015116B">
        <w:t xml:space="preserve"> fully-selected retention in the directed fishery</w:t>
      </w:r>
      <w:r w:rsidR="00197771" w:rsidRPr="0015116B">
        <w:t xml:space="preserve"> </w:t>
      </w:r>
      <w:r w:rsidRPr="0015116B">
        <w:t>(</w:t>
      </w:r>
      <w:proofErr w:type="spellStart"/>
      <w:r w:rsidRPr="0015116B">
        <w:t>pLgtRet</w:t>
      </w:r>
      <w:proofErr w:type="spellEnd"/>
      <w:r w:rsidRPr="0015116B">
        <w:t xml:space="preserve">) exhibited large standard errors </w:t>
      </w:r>
      <w:r w:rsidR="00197771" w:rsidRPr="0015116B">
        <w:t>for all model scenarios (Table 13)</w:t>
      </w:r>
      <w:r w:rsidR="00912019" w:rsidRPr="0015116B">
        <w:t xml:space="preserve">. The </w:t>
      </w:r>
      <w:r w:rsidR="00197771" w:rsidRPr="0015116B">
        <w:t xml:space="preserve">associated </w:t>
      </w:r>
      <w:r w:rsidR="00912019" w:rsidRPr="0015116B">
        <w:t>estimate</w:t>
      </w:r>
      <w:r w:rsidR="00197771" w:rsidRPr="0015116B">
        <w:t>d values (~15) imply that fully-selected retention</w:t>
      </w:r>
      <w:r w:rsidR="00912019" w:rsidRPr="0015116B">
        <w:t xml:space="preserve"> </w:t>
      </w:r>
      <w:r w:rsidR="00197771" w:rsidRPr="0015116B">
        <w:t xml:space="preserve">was essentially 1 in all time periods. In the future, these parameters will be fixed such that maximum retention is 1. </w:t>
      </w:r>
      <w:r w:rsidRPr="0015116B">
        <w:t xml:space="preserve">Another notable parameter with large uncertainty </w:t>
      </w:r>
      <w:r w:rsidR="00AE4B91" w:rsidRPr="0015116B">
        <w:t xml:space="preserve">across all scenarios </w:t>
      </w:r>
      <w:r w:rsidRPr="0015116B">
        <w:t>was the estimated ln-scale recruitment deviation for recruits entering the population on July 1, 2020 (Table 15, last row</w:t>
      </w:r>
      <w:r w:rsidR="00AE4B91" w:rsidRPr="0015116B">
        <w:t>). Clearly this is a result of the missing 2020 NMFS EBS survey, which is generally the only source of information on recruitment.</w:t>
      </w:r>
      <w:r w:rsidR="00794BE3" w:rsidRPr="0015116B">
        <w:t xml:space="preserve"> </w:t>
      </w:r>
    </w:p>
    <w:p w14:paraId="3E7B137F" w14:textId="38BEB424" w:rsidR="000B38A7" w:rsidRPr="0015116B" w:rsidRDefault="00F75AA0" w:rsidP="00F742E7">
      <w:r w:rsidRPr="0015116B">
        <w:t xml:space="preserve">Although the overall likelihood cannot be compared across models here, individual components to the likelihood can be, if the underlying data is the same among the models. </w:t>
      </w:r>
      <w:r w:rsidR="00BA6854" w:rsidRPr="0015116B">
        <w:t xml:space="preserve">Data-related components to the likelihood are documented in Table 24; non-data components (penalties and priors) are </w:t>
      </w:r>
      <w:r w:rsidR="000B38A7" w:rsidRPr="0015116B">
        <w:t>documented in Table</w:t>
      </w:r>
      <w:r w:rsidR="00794BE3" w:rsidRPr="0015116B">
        <w:t xml:space="preserve"> </w:t>
      </w:r>
      <w:r w:rsidR="000B38A7" w:rsidRPr="0015116B">
        <w:t>25.</w:t>
      </w:r>
      <w:r w:rsidR="00794BE3" w:rsidRPr="0015116B">
        <w:t xml:space="preserve"> </w:t>
      </w:r>
      <w:r w:rsidRPr="0015116B">
        <w:t>Scenario 19.03(2020) fits the data better than Scenario 20.07 in six categories, while the reverse is true for two categories, and both fit similarly in 17 categories. Both scenarios exhibit similar likelihood penalties and prior likelihoods (</w:t>
      </w:r>
      <w:r w:rsidR="008D3D3E" w:rsidRPr="0015116B">
        <w:t>Table 25), except the prior on the natural mortality multiplier for mature females (pDM1[3]) is much larger (~14 likelihood units) for Scenario 20.07 while the prior on fully-selected female catchability</w:t>
      </w:r>
      <w:r w:rsidRPr="0015116B">
        <w:t xml:space="preserve"> </w:t>
      </w:r>
      <w:r w:rsidR="008D3D3E" w:rsidRPr="0015116B">
        <w:t>in the NMFS survey after 1981 (</w:t>
      </w:r>
      <w:proofErr w:type="spellStart"/>
      <w:r w:rsidR="008D3D3E" w:rsidRPr="0015116B">
        <w:t>pQ</w:t>
      </w:r>
      <w:proofErr w:type="spellEnd"/>
      <w:r w:rsidR="008D3D3E" w:rsidRPr="0015116B">
        <w:t>[4]) is much larger ($55 likelihood units) for Scenario 19.03(2020).</w:t>
      </w:r>
    </w:p>
    <w:p w14:paraId="5CE47035" w14:textId="26781A67" w:rsidR="00B51AF1" w:rsidRPr="0015116B" w:rsidRDefault="000B38A7" w:rsidP="00F742E7">
      <w:r w:rsidRPr="0015116B">
        <w:t>Root mean square errors (RMSE</w:t>
      </w:r>
      <w:r w:rsidR="00912019" w:rsidRPr="0015116B">
        <w:t>s</w:t>
      </w:r>
      <w:r w:rsidRPr="0015116B">
        <w:t xml:space="preserve">) for fits to biomass time series data are given in Table 26. Scenario 19.03(2020) </w:t>
      </w:r>
      <w:r w:rsidR="002E0CC1" w:rsidRPr="0015116B">
        <w:t xml:space="preserve">generally </w:t>
      </w:r>
      <w:r w:rsidRPr="0015116B">
        <w:t>ha</w:t>
      </w:r>
      <w:r w:rsidR="002E0CC1" w:rsidRPr="0015116B">
        <w:t>d</w:t>
      </w:r>
      <w:r w:rsidRPr="0015116B">
        <w:t xml:space="preserve"> smaller RMSEs (better fits)</w:t>
      </w:r>
      <w:r w:rsidR="002E0CC1" w:rsidRPr="0015116B">
        <w:t xml:space="preserve"> across the data sources than 20.07 (17 out of 23 categories), but the differences were small. </w:t>
      </w:r>
      <w:r w:rsidRPr="0015116B">
        <w:t>For size composition data, geometric means of effective sample sizes based on the McAllister-Ianelli method are presented in Table 27.</w:t>
      </w:r>
      <w:r w:rsidR="00912019" w:rsidRPr="0015116B">
        <w:t xml:space="preserve"> For the most part, the effective N’s for different data sources were very similar between 19.03(2020) and 20.07, although 20.07 had noticeably higher effective N’s for male size compositions from the NMFS survey and retained catch size compositions, while 19.03(2020) had the higher N for male total catch size compositions in the directed fishery.</w:t>
      </w:r>
    </w:p>
    <w:p w14:paraId="1D6876BB" w14:textId="77777777" w:rsidR="00935A8A" w:rsidRPr="0015116B" w:rsidRDefault="00FD17DD" w:rsidP="00FD17DD">
      <w:pPr>
        <w:pStyle w:val="Heading4"/>
      </w:pPr>
      <w:r w:rsidRPr="0015116B">
        <w:t xml:space="preserve">g. </w:t>
      </w:r>
      <w:r w:rsidR="00B86BC9" w:rsidRPr="0015116B">
        <w:t>C</w:t>
      </w:r>
      <w:r w:rsidR="00935A8A" w:rsidRPr="0015116B">
        <w:t>riteria used to evaluate the model</w:t>
      </w:r>
      <w:r w:rsidR="00822D90" w:rsidRPr="0015116B">
        <w:t xml:space="preserve"> or to choose among alternative </w:t>
      </w:r>
      <w:r w:rsidR="00935A8A" w:rsidRPr="0015116B">
        <w:t>models</w:t>
      </w:r>
    </w:p>
    <w:p w14:paraId="4B9FB621" w14:textId="30F3707D" w:rsidR="00CC4902" w:rsidRPr="0015116B" w:rsidRDefault="00A862A0" w:rsidP="00CC4902">
      <w:r w:rsidRPr="0015116B">
        <w:t>Scenarios 19.03(2020) and 20.07 are the two candidates on which to base status determination and OFL calculation—as noted previously, 20.01 should be considered a research scenario pending further development. These two models are not directly comparable on the basis of total likelihood because 20.07 includes the BSFRF SBS data in the model fitting whereas 19.03(2020) does not. However, one can look at individual components in the likelihood</w:t>
      </w:r>
      <w:r w:rsidR="000C6959" w:rsidRPr="0015116B">
        <w:t xml:space="preserve"> </w:t>
      </w:r>
      <w:r w:rsidRPr="0015116B">
        <w:t>and summary statistics such as RMSEs and effective N’s</w:t>
      </w:r>
      <w:r w:rsidR="000C6959" w:rsidRPr="0015116B">
        <w:t xml:space="preserve"> (discussed above)</w:t>
      </w:r>
      <w:r w:rsidR="00C92A03" w:rsidRPr="0015116B">
        <w:t>.</w:t>
      </w:r>
      <w:r w:rsidRPr="0015116B">
        <w:t xml:space="preserve"> </w:t>
      </w:r>
      <w:r w:rsidR="000C6959" w:rsidRPr="0015116B">
        <w:t>In this regard, 19.03(2020) appears to fit the data shared by both scenarios slightly better than 20.07, but this is understandable given that 20.07 is also constrained to fit the BSFRF data. More importantly, 20.07 does incorporate the BSFRF SBS data into the fitting procedure. Th</w:t>
      </w:r>
      <w:r w:rsidR="00FC4F51" w:rsidRPr="0015116B">
        <w:t>ese</w:t>
      </w:r>
      <w:r w:rsidR="000C6959" w:rsidRPr="0015116B">
        <w:t xml:space="preserve"> data </w:t>
      </w:r>
      <w:r w:rsidR="00FC4F51" w:rsidRPr="0015116B">
        <w:t>are</w:t>
      </w:r>
      <w:r w:rsidR="000C6959" w:rsidRPr="0015116B">
        <w:t xml:space="preserve"> an important addition to the </w:t>
      </w:r>
      <w:r w:rsidR="00FC4F51" w:rsidRPr="0015116B">
        <w:t xml:space="preserve">NMFS EBS bottom trawl data because it is </w:t>
      </w:r>
      <w:proofErr w:type="gramStart"/>
      <w:r w:rsidR="00FC4F51" w:rsidRPr="0015116B">
        <w:t>assumed</w:t>
      </w:r>
      <w:proofErr w:type="gramEnd"/>
      <w:r w:rsidR="00FC4F51" w:rsidRPr="0015116B">
        <w:t xml:space="preserve"> they provide estimates of absolute abundance within the SBS study areas and thus provide a measure of absolute scale lacking in the NMFS data. And this addresses one of the more fundamental problems with the assessment model, and that has been the sensitivity of estimates of fully-selected survey catchability to new data, leading to an annually changing baseline for status determination. Finally, neither scenario stands out </w:t>
      </w:r>
      <w:r w:rsidR="00645CA8" w:rsidRPr="0015116B">
        <w:t xml:space="preserve">from the other </w:t>
      </w:r>
      <w:proofErr w:type="gramStart"/>
      <w:r w:rsidR="00645CA8" w:rsidRPr="0015116B">
        <w:t>in regards to</w:t>
      </w:r>
      <w:proofErr w:type="gramEnd"/>
      <w:r w:rsidR="00645CA8" w:rsidRPr="0015116B">
        <w:t xml:space="preserve"> lack of sensible parameter values</w:t>
      </w:r>
      <w:r w:rsidR="00FC4F51" w:rsidRPr="0015116B">
        <w:t xml:space="preserve"> </w:t>
      </w:r>
      <w:r w:rsidR="00645CA8" w:rsidRPr="0015116B">
        <w:t>or biological realism.</w:t>
      </w:r>
      <w:r w:rsidR="00B16A44" w:rsidRPr="0015116B">
        <w:t xml:space="preserve"> </w:t>
      </w:r>
    </w:p>
    <w:p w14:paraId="491AF3CB" w14:textId="77777777" w:rsidR="00935A8A" w:rsidRPr="0015116B" w:rsidRDefault="00FD17DD" w:rsidP="00FD17DD">
      <w:pPr>
        <w:pStyle w:val="Heading4"/>
      </w:pPr>
      <w:r w:rsidRPr="0015116B">
        <w:lastRenderedPageBreak/>
        <w:t xml:space="preserve">h. </w:t>
      </w:r>
      <w:r w:rsidR="00935A8A" w:rsidRPr="0015116B">
        <w:t>Residual analysis</w:t>
      </w:r>
    </w:p>
    <w:p w14:paraId="2A078A7D" w14:textId="6F36371D" w:rsidR="00AD2DDB" w:rsidRPr="0015116B" w:rsidRDefault="007044C0" w:rsidP="00AD2DDB">
      <w:r w:rsidRPr="0015116B">
        <w:t>Standardized r</w:t>
      </w:r>
      <w:r w:rsidR="000D20FA" w:rsidRPr="0015116B">
        <w:t xml:space="preserve">esiduals </w:t>
      </w:r>
      <w:r w:rsidRPr="0015116B">
        <w:t>to model fits were plotted and examined for all data components, including datasets that were not included (weighted 0) in the model objective function</w:t>
      </w:r>
      <w:r w:rsidR="000D20FA" w:rsidRPr="0015116B">
        <w:t>.</w:t>
      </w:r>
      <w:r w:rsidR="008E5713" w:rsidRPr="0015116B">
        <w:t xml:space="preserve"> Due to the large number of plots involved, these were created programmatically using </w:t>
      </w:r>
      <w:r w:rsidR="009B65E3" w:rsidRPr="0015116B">
        <w:t xml:space="preserve">the R package </w:t>
      </w:r>
      <w:r w:rsidR="0015116B">
        <w:t>“</w:t>
      </w:r>
      <w:proofErr w:type="spellStart"/>
      <w:r w:rsidR="009B65E3" w:rsidRPr="0015116B">
        <w:t>r</w:t>
      </w:r>
      <w:r w:rsidR="008E5713" w:rsidRPr="0015116B">
        <w:t>markdown</w:t>
      </w:r>
      <w:proofErr w:type="spellEnd"/>
      <w:r w:rsidR="0015116B">
        <w:t>”</w:t>
      </w:r>
      <w:r w:rsidR="008E5713" w:rsidRPr="0015116B">
        <w:t xml:space="preserve"> </w:t>
      </w:r>
      <w:r w:rsidR="009B65E3" w:rsidRPr="0015116B">
        <w:t xml:space="preserve">(R Core Team, 2020; </w:t>
      </w:r>
      <w:proofErr w:type="spellStart"/>
      <w:r w:rsidR="009B65E3" w:rsidRPr="0015116B">
        <w:t>Xie</w:t>
      </w:r>
      <w:proofErr w:type="spellEnd"/>
      <w:r w:rsidR="009B65E3" w:rsidRPr="0015116B">
        <w:t xml:space="preserve"> et al., 2020) </w:t>
      </w:r>
      <w:r w:rsidR="008E5713" w:rsidRPr="0015116B">
        <w:t xml:space="preserve">and converted to pdf format. </w:t>
      </w:r>
      <w:r w:rsidR="00E359B3" w:rsidRPr="0015116B">
        <w:t xml:space="preserve">They are provided as appendices to the chapter. </w:t>
      </w:r>
      <w:r w:rsidR="008E5713" w:rsidRPr="0015116B">
        <w:t xml:space="preserve">Standardized residuals for model fits to fishery data are given in Appendix </w:t>
      </w:r>
      <w:r w:rsidR="00A53B61" w:rsidRPr="0015116B">
        <w:t>5</w:t>
      </w:r>
      <w:r w:rsidR="008E5713" w:rsidRPr="0015116B">
        <w:t xml:space="preserve">, while standardized residuals for model fits to NMFS and BSFRF SBS data are given in Appendix </w:t>
      </w:r>
      <w:r w:rsidR="00A53B61" w:rsidRPr="0015116B">
        <w:t>6</w:t>
      </w:r>
      <w:r w:rsidR="008E5713" w:rsidRPr="0015116B">
        <w:t>.</w:t>
      </w:r>
      <w:r w:rsidR="00E359B3" w:rsidRPr="0015116B">
        <w:t xml:space="preserve"> Standardized residuals for model fits to molt increment and male maturity ogive data are given in Appendix </w:t>
      </w:r>
      <w:r w:rsidR="00A53B61" w:rsidRPr="0015116B">
        <w:t>7</w:t>
      </w:r>
      <w:r w:rsidR="00E359B3" w:rsidRPr="0015116B">
        <w:t>.</w:t>
      </w:r>
    </w:p>
    <w:p w14:paraId="7E58ABC8" w14:textId="77777777" w:rsidR="003038F0" w:rsidRPr="0015116B" w:rsidRDefault="00FD17DD" w:rsidP="00FD17DD">
      <w:pPr>
        <w:pStyle w:val="Heading4"/>
      </w:pPr>
      <w:proofErr w:type="spellStart"/>
      <w:r w:rsidRPr="0015116B">
        <w:t>i</w:t>
      </w:r>
      <w:proofErr w:type="spellEnd"/>
      <w:r w:rsidRPr="0015116B">
        <w:t xml:space="preserve">. </w:t>
      </w:r>
      <w:r w:rsidR="00935A8A" w:rsidRPr="0015116B">
        <w:t>Evaluation of the model</w:t>
      </w:r>
      <w:r w:rsidR="00B86BC9" w:rsidRPr="0015116B">
        <w:t>(s)</w:t>
      </w:r>
    </w:p>
    <w:p w14:paraId="7C317FB2" w14:textId="260DD261" w:rsidR="000A11E2" w:rsidRPr="0015116B" w:rsidRDefault="005B3389" w:rsidP="005B3389">
      <w:r w:rsidRPr="0015116B">
        <w:t>All scenarios fit the</w:t>
      </w:r>
      <w:r w:rsidR="00CD18C0" w:rsidRPr="0015116B">
        <w:t xml:space="preserve"> retained and total fishery catch biomass time series quite well (Figures 27-31). </w:t>
      </w:r>
      <w:r w:rsidR="0081273A" w:rsidRPr="0015116B">
        <w:t xml:space="preserve">Z-scores for standardized residuals (Appendix </w:t>
      </w:r>
      <w:r w:rsidR="00A53B61" w:rsidRPr="0015116B">
        <w:t>5</w:t>
      </w:r>
      <w:r w:rsidR="0081273A" w:rsidRPr="0015116B">
        <w:t xml:space="preserve">) are all between -1 and 1, perhaps indicating a small tendency to overfit these data. The only concern is that the similar lack-of-fit to bycatch biomass in the groundfish fisheries during the early 1990s across all models indicates </w:t>
      </w:r>
      <w:r w:rsidR="004C57EB" w:rsidRPr="0015116B">
        <w:t>the possibility of an</w:t>
      </w:r>
      <w:r w:rsidR="0081273A" w:rsidRPr="0015116B">
        <w:t xml:space="preserve"> issue with the transition between historical datasets for bycatch in the groundfish fisheries and implementation of the Catch Accounting System in 19</w:t>
      </w:r>
      <w:r w:rsidR="00016BA1" w:rsidRPr="0015116B">
        <w:t>90</w:t>
      </w:r>
      <w:r w:rsidR="004C57EB" w:rsidRPr="0015116B">
        <w:t xml:space="preserve"> or a conflict with the bycatch data in the crab fisheries which starts in 1990</w:t>
      </w:r>
      <w:r w:rsidR="00016BA1" w:rsidRPr="0015116B">
        <w:t xml:space="preserve"> </w:t>
      </w:r>
      <w:r w:rsidR="0081273A" w:rsidRPr="0015116B">
        <w:t>(Figure 32)</w:t>
      </w:r>
      <w:r w:rsidR="00016BA1" w:rsidRPr="0015116B">
        <w:t xml:space="preserve">. </w:t>
      </w:r>
    </w:p>
    <w:p w14:paraId="259EAFAC" w14:textId="2D4CF3CB" w:rsidR="00CD18C0" w:rsidRPr="0015116B" w:rsidRDefault="00016BA1" w:rsidP="005B3389">
      <w:r w:rsidRPr="0015116B">
        <w:t>N</w:t>
      </w:r>
      <w:r w:rsidR="00CD18C0" w:rsidRPr="0015116B">
        <w:t>ormal distribution</w:t>
      </w:r>
      <w:r w:rsidRPr="0015116B">
        <w:t>s</w:t>
      </w:r>
      <w:r w:rsidR="00CD18C0" w:rsidRPr="0015116B">
        <w:t xml:space="preserve"> </w:t>
      </w:r>
      <w:r w:rsidRPr="0015116B">
        <w:t>were assumed for all fishery catch biomass</w:t>
      </w:r>
      <w:r w:rsidR="00CD18C0" w:rsidRPr="0015116B">
        <w:t xml:space="preserve"> likelihood</w:t>
      </w:r>
      <w:r w:rsidRPr="0015116B">
        <w:t>s in all model scenarios</w:t>
      </w:r>
      <w:r w:rsidR="004B765D" w:rsidRPr="0015116B">
        <w:t>,</w:t>
      </w:r>
      <w:r w:rsidR="00CD18C0" w:rsidRPr="0015116B">
        <w:t xml:space="preserve"> with a </w:t>
      </w:r>
      <w:r w:rsidR="004B765D" w:rsidRPr="0015116B">
        <w:t>standard deviation</w:t>
      </w:r>
      <w:r w:rsidR="00CD18C0" w:rsidRPr="0015116B">
        <w:t xml:space="preserve"> of 0.</w:t>
      </w:r>
      <w:r w:rsidR="004B765D" w:rsidRPr="0015116B">
        <w:t>22 thousand t in order to fit the time series well</w:t>
      </w:r>
      <w:r w:rsidR="00CD18C0" w:rsidRPr="0015116B">
        <w:t xml:space="preserve">. Consequently, the assumed sampling error is independent of catch size, which seems unlikely given the range of observed values across the fisheries, ranging from almost 0 to </w:t>
      </w:r>
      <w:r w:rsidR="004B765D" w:rsidRPr="0015116B">
        <w:t xml:space="preserve">over 35 thousand t. Given the small levels of female bycatch observed in most of the fisheries, these data consequently have little effect on model convergence (which may be a worthwhile simplification considering that capture rates on fully-selected females are assumed to have the same temporal pattern as those for males). Using a lognormal assumption with fixed </w:t>
      </w:r>
      <w:proofErr w:type="spellStart"/>
      <w:r w:rsidR="004B765D" w:rsidRPr="0015116B">
        <w:t>cv’s</w:t>
      </w:r>
      <w:proofErr w:type="spellEnd"/>
      <w:r w:rsidR="004B765D" w:rsidRPr="0015116B">
        <w:t xml:space="preserve"> as an alternative would align the error</w:t>
      </w:r>
      <w:r w:rsidR="00E21699" w:rsidRPr="0015116B">
        <w:t xml:space="preserve"> assumptions for fishery data with those made for survey data, but it would also reduce the relative influence of large catches over small ones—which may be undesirable in that it increases the arithmetic uncertainty associated with large removals from the population.</w:t>
      </w:r>
    </w:p>
    <w:p w14:paraId="07657A82" w14:textId="42296888" w:rsidR="00C27006" w:rsidRPr="0015116B" w:rsidRDefault="00E21699" w:rsidP="005B3389">
      <w:r w:rsidRPr="0015116B">
        <w:t xml:space="preserve">Except for the groundfish fisheries, catch abundance data is not fit in the model, but it does provide a diagnostic contrast to the fits to the biomass data. Comparison of model predictions with retained and total catch abundance in the fisheries are given in Appendix </w:t>
      </w:r>
      <w:r w:rsidR="00A53B61" w:rsidRPr="0015116B">
        <w:t>5</w:t>
      </w:r>
      <w:r w:rsidRPr="0015116B">
        <w:t xml:space="preserve">. </w:t>
      </w:r>
      <w:r w:rsidR="000A1508" w:rsidRPr="0015116B">
        <w:t xml:space="preserve">All model scenarios over-predict the number of retained crab in the foreign fleets period prior to 1980. However, these data were based on IPHC reports and subject to considerable uncertainty. It seems likely that some sort of average retained male weight was used to convert biomass to abundance, in which case the average male retained prior to 1980 was heavier than those retained subsequently. </w:t>
      </w:r>
      <w:r w:rsidR="000A11E2" w:rsidRPr="0015116B">
        <w:t>Fits to total catch abundance from the fisheries seem remarkably good, considering that the data from the crab fisheries are not actually fit. However</w:t>
      </w:r>
      <w:r w:rsidR="00DE2936" w:rsidRPr="0015116B">
        <w:t>, the estimates of total catch biomass in the crab fisheries are converted from estimates of total catch abundance by applying annual mean weights based on size compositions. Therefore, the abundance and biomass data are redundant to one another.</w:t>
      </w:r>
    </w:p>
    <w:p w14:paraId="30EC2274" w14:textId="011E5A99" w:rsidR="00E21699" w:rsidRPr="0015116B" w:rsidRDefault="00C27006" w:rsidP="005B3389">
      <w:r w:rsidRPr="0015116B">
        <w:t xml:space="preserve">Scenarios 19.03(2020) and 20.07 essentially fit the NMFS survey biomass time series data equally well (Figure </w:t>
      </w:r>
      <w:r w:rsidR="00990C56" w:rsidRPr="0015116B">
        <w:t xml:space="preserve">32), except for males in the 1975-1980 period. In this period, 19.03(2020) follows lower observations in 1976-78 while 20.07 follows higher observations in 1975 and 1980. </w:t>
      </w:r>
      <w:r w:rsidR="0089542E" w:rsidRPr="0015116B">
        <w:t xml:space="preserve">A pattern both scenarios follow after 1990 is to underestimate the periods of high observed biomass and overestimate the periods of lower abundance. Z-scores (Appendix </w:t>
      </w:r>
      <w:r w:rsidR="00A53B61" w:rsidRPr="0015116B">
        <w:t>6</w:t>
      </w:r>
      <w:r w:rsidR="0089542E" w:rsidRPr="0015116B">
        <w:t xml:space="preserve">, Figures 19 and 20) reflect these observations, as well. </w:t>
      </w:r>
      <w:r w:rsidR="000E48A1" w:rsidRPr="0015116B">
        <w:t xml:space="preserve">While the biomass trajectories both scenarios follow are very similar in nature, the associated predicted survey abundance trajectories show a few more differences, with 20.07 exhibiting slightly less in the way of variability with respect to 19.03(2020). </w:t>
      </w:r>
      <w:r w:rsidR="00990C56" w:rsidRPr="0015116B">
        <w:t>Scenario 20.07 also fits the BSFRF SBS survey biomass data well (Figure 33).</w:t>
      </w:r>
    </w:p>
    <w:p w14:paraId="4E85732E" w14:textId="18C7EBA7" w:rsidR="000E48A1" w:rsidRPr="0015116B" w:rsidRDefault="000E48A1" w:rsidP="005B3389">
      <w:r w:rsidRPr="0015116B">
        <w:lastRenderedPageBreak/>
        <w:t xml:space="preserve">Both scenarios also fit the </w:t>
      </w:r>
      <w:proofErr w:type="spellStart"/>
      <w:r w:rsidRPr="0015116B">
        <w:t>molt</w:t>
      </w:r>
      <w:proofErr w:type="spellEnd"/>
      <w:r w:rsidRPr="0015116B">
        <w:t xml:space="preserve"> increment and maturity ogive data similarly (Figures 34 and 35, respectively). </w:t>
      </w:r>
      <w:r w:rsidR="00B14A35" w:rsidRPr="0015116B">
        <w:t>Both scenarios</w:t>
      </w:r>
      <w:r w:rsidRPr="0015116B">
        <w:t xml:space="preserve"> </w:t>
      </w:r>
      <w:r w:rsidR="00B14A35" w:rsidRPr="0015116B">
        <w:t>over</w:t>
      </w:r>
      <w:r w:rsidRPr="0015116B">
        <w:t xml:space="preserve">predict </w:t>
      </w:r>
      <w:r w:rsidR="00B14A35" w:rsidRPr="0015116B">
        <w:t>growth</w:t>
      </w:r>
      <w:r w:rsidRPr="0015116B">
        <w:t xml:space="preserve"> for females at small and large crab sizes, but </w:t>
      </w:r>
      <w:r w:rsidR="00B14A35" w:rsidRPr="0015116B">
        <w:t>under</w:t>
      </w:r>
      <w:r w:rsidRPr="0015116B">
        <w:t xml:space="preserve">predict </w:t>
      </w:r>
      <w:r w:rsidR="00B14A35" w:rsidRPr="0015116B">
        <w:t>growth at intermediate sizes (</w:t>
      </w:r>
      <w:r w:rsidR="00A53B61" w:rsidRPr="0015116B">
        <w:t xml:space="preserve">Figure 3 in </w:t>
      </w:r>
      <w:r w:rsidR="00B14A35" w:rsidRPr="0015116B">
        <w:t xml:space="preserve">Appendix </w:t>
      </w:r>
      <w:r w:rsidR="00A53B61" w:rsidRPr="0015116B">
        <w:t>7</w:t>
      </w:r>
      <w:r w:rsidR="00B14A35" w:rsidRPr="0015116B">
        <w:t>,), which may be related to differences in growth of terminal molting crab. Also, both scenarios overpredict growth of male crab, with residual</w:t>
      </w:r>
      <w:r w:rsidR="00A53B61" w:rsidRPr="0015116B">
        <w:t>s</w:t>
      </w:r>
      <w:r w:rsidR="00B14A35" w:rsidRPr="0015116B">
        <w:t xml:space="preserve"> increasing with pre-molt crab size (</w:t>
      </w:r>
      <w:r w:rsidR="00A53B61" w:rsidRPr="0015116B">
        <w:t xml:space="preserve">Figure 3 in </w:t>
      </w:r>
      <w:r w:rsidR="00B14A35" w:rsidRPr="0015116B">
        <w:t xml:space="preserve">Appendix </w:t>
      </w:r>
      <w:r w:rsidR="00A53B61" w:rsidRPr="0015116B">
        <w:t>7</w:t>
      </w:r>
      <w:r w:rsidR="00B14A35" w:rsidRPr="0015116B">
        <w:t>). Results from fitting the molt increment data outside the model are similar for females to those from fitting the data inside the model, but not for males. There is</w:t>
      </w:r>
      <w:r w:rsidR="00607642" w:rsidRPr="0015116B">
        <w:t xml:space="preserve"> no increasing bias with crab size when</w:t>
      </w:r>
      <w:r w:rsidR="00B14A35" w:rsidRPr="0015116B">
        <w:t xml:space="preserve"> fitting the male data outside the model</w:t>
      </w:r>
      <w:r w:rsidR="00607642" w:rsidRPr="0015116B">
        <w:t>. Model runs have been conducted with growth fixed outside the model, but this gives rise to much poorer fits to size composition data. Fits to the maturity ogive data are similar for both scenarios (Figure 35</w:t>
      </w:r>
      <w:r w:rsidR="00A53B61" w:rsidRPr="0015116B">
        <w:t xml:space="preserve"> and Appendix 7</w:t>
      </w:r>
      <w:r w:rsidR="00607642" w:rsidRPr="0015116B">
        <w:t>).</w:t>
      </w:r>
    </w:p>
    <w:p w14:paraId="490678CB" w14:textId="5946C4AB" w:rsidR="00607642" w:rsidRPr="0015116B" w:rsidRDefault="00607642" w:rsidP="005B3389">
      <w:r w:rsidRPr="0015116B">
        <w:t>Fits</w:t>
      </w:r>
      <w:r w:rsidR="004B08B3" w:rsidRPr="0015116B">
        <w:t xml:space="preserve"> to retained catch size compositions are essentially identical and quite good for Scenarios 19.03(2020). and 20.07 (</w:t>
      </w:r>
      <w:r w:rsidR="00897A87" w:rsidRPr="0015116B">
        <w:t xml:space="preserve">Figures 22-25 in </w:t>
      </w:r>
      <w:r w:rsidR="004B08B3" w:rsidRPr="0015116B">
        <w:t xml:space="preserve">Appendix </w:t>
      </w:r>
      <w:r w:rsidR="00897A87" w:rsidRPr="0015116B">
        <w:t>8</w:t>
      </w:r>
      <w:r w:rsidR="004B08B3" w:rsidRPr="0015116B">
        <w:t>). There are some slight (but identical) misfits in some years (e.g., 2005) when only one</w:t>
      </w:r>
      <w:r w:rsidR="00391783" w:rsidRPr="0015116B">
        <w:t>, but not both,</w:t>
      </w:r>
      <w:r w:rsidR="004B08B3" w:rsidRPr="0015116B">
        <w:t xml:space="preserve"> of the directed fisheries was open. Fits could no doubt be slightly improved by allowing the retention curves to be estimated annually, rather than constant within a time block. Fits to total catch size compositions from the directed fishery (</w:t>
      </w:r>
      <w:r w:rsidR="00897A87" w:rsidRPr="0015116B">
        <w:t xml:space="preserve">Figures 26-31 in </w:t>
      </w:r>
      <w:r w:rsidR="004B08B3" w:rsidRPr="0015116B">
        <w:t xml:space="preserve">Appendix </w:t>
      </w:r>
      <w:r w:rsidR="00897A87" w:rsidRPr="0015116B">
        <w:t>8</w:t>
      </w:r>
      <w:r w:rsidR="004B08B3" w:rsidRPr="0015116B">
        <w:t xml:space="preserve">) are also essentially identical among the scenarios, but more variable with respect to the data, with the fit in 1996 looking particularly poor (it was a year with very low sample sizes). </w:t>
      </w:r>
      <w:r w:rsidR="00391783" w:rsidRPr="0015116B">
        <w:t>Also</w:t>
      </w:r>
      <w:r w:rsidR="004B08B3" w:rsidRPr="0015116B">
        <w:t>, the predicted size compositions consistently overpredict larger size classes for males after 2013. This coincides with a relative increase in catch in the directed fishery west of 166</w:t>
      </w:r>
      <w:r w:rsidR="004B08B3" w:rsidRPr="0015116B">
        <w:rPr>
          <w:vertAlign w:val="superscript"/>
        </w:rPr>
        <w:t>o</w:t>
      </w:r>
      <w:r w:rsidR="004B08B3" w:rsidRPr="0015116B">
        <w:t>W longitude, in which case the underlying selectivity pattern may have changed from an (assumed) asymptotic one (estimated as a logistic curve) to a dome-shaped one because larger males tend to be east of 166</w:t>
      </w:r>
      <w:r w:rsidR="004B08B3" w:rsidRPr="0015116B">
        <w:rPr>
          <w:vertAlign w:val="superscript"/>
        </w:rPr>
        <w:t>o</w:t>
      </w:r>
      <w:r w:rsidR="004B08B3" w:rsidRPr="0015116B">
        <w:t>W longitude.</w:t>
      </w:r>
      <w:r w:rsidR="00C51355" w:rsidRPr="0015116B">
        <w:t xml:space="preserve"> Predict</w:t>
      </w:r>
      <w:r w:rsidR="00531093" w:rsidRPr="0015116B">
        <w:t>ed</w:t>
      </w:r>
      <w:r w:rsidR="00C51355" w:rsidRPr="0015116B">
        <w:t xml:space="preserve"> </w:t>
      </w:r>
      <w:r w:rsidR="00391783" w:rsidRPr="0015116B">
        <w:t xml:space="preserve">bycatch size compositions for females in the directed fishery are also </w:t>
      </w:r>
      <w:r w:rsidR="00531093" w:rsidRPr="0015116B">
        <w:t>identical across scenarios and exhibit good fits to the data</w:t>
      </w:r>
      <w:r w:rsidR="00897A87" w:rsidRPr="0015116B">
        <w:t xml:space="preserve"> (Figures 29-31 in Appendix 8)</w:t>
      </w:r>
      <w:r w:rsidR="00531093" w:rsidRPr="0015116B">
        <w:t>.</w:t>
      </w:r>
    </w:p>
    <w:p w14:paraId="3301FCA9" w14:textId="7855D2EF" w:rsidR="00531093" w:rsidRPr="0015116B" w:rsidRDefault="00531093" w:rsidP="005B3389">
      <w:r w:rsidRPr="0015116B">
        <w:t>Predicted bycatch size compositions for the snow crab and BBRKC fisheries are likewise identical across scenarios (Figures 32-37 and 48-53, respectively</w:t>
      </w:r>
      <w:r w:rsidR="00897A87" w:rsidRPr="0015116B">
        <w:t>, in Appendix 8</w:t>
      </w:r>
      <w:r w:rsidRPr="0015116B">
        <w:t>).</w:t>
      </w:r>
      <w:r w:rsidR="00D973C7" w:rsidRPr="0015116B">
        <w:t xml:space="preserve"> Fits to the male size composition data from the snow crab fishery are fairly poor in the early 1990s, with predictions overestimating the proportions small crab in the catch in 1992-1996, but the fits improve after</w:t>
      </w:r>
      <w:r w:rsidR="00897A87" w:rsidRPr="0015116B">
        <w:t xml:space="preserve"> </w:t>
      </w:r>
      <w:r w:rsidR="00D973C7" w:rsidRPr="0015116B">
        <w:t>1997 for the most part (2002 and 2004 being notable exceptions with underpredicted proportions of small crab).</w:t>
      </w:r>
      <w:r w:rsidR="005F2208" w:rsidRPr="0015116B">
        <w:t xml:space="preserve"> Fits to female size composition data in the snow crab fishery are moderately good, with small variations in patterns of over- or under-prediction, but nothing dramatic. Fits to the male size composition data from the BBRKC fishery are also poor in the early 1990s, with predictions consistently overestimating the proportions small crab in the catch in 1990-1997. Then from 1999-2007, and from 2016-2019, the models overestimate the proportions of large crab taken. Somewhat unexpectedly, the fits to female size compositions from the BBRKC fishery seem to be more consistent</w:t>
      </w:r>
      <w:r w:rsidR="008D1A5A" w:rsidRPr="0015116B">
        <w:t xml:space="preserve"> than for males. However, sample sizes are generally very small (3 in 2019; Table 6) and trying to estimate a selectivity curve from this data may be futile (as evidenced by the associated parameters ending at bounds or exhibiting large uncertainty estimates).</w:t>
      </w:r>
    </w:p>
    <w:p w14:paraId="3DE311B1" w14:textId="695B2B41" w:rsidR="005B3389" w:rsidRPr="0015116B" w:rsidRDefault="00EA0BD0" w:rsidP="00736B41">
      <w:r w:rsidRPr="0015116B">
        <w:t>Predicted bycatch size compositions for the groundfish fisheries are the most variable across the scenarios</w:t>
      </w:r>
      <w:r w:rsidR="00736B41" w:rsidRPr="0015116B">
        <w:t>, although this is because Scenario 20.10 tends to be a bit different from the others (</w:t>
      </w:r>
      <w:r w:rsidR="00464B02" w:rsidRPr="0015116B">
        <w:t xml:space="preserve">Figures 38-47 in </w:t>
      </w:r>
      <w:r w:rsidR="00736B41" w:rsidRPr="0015116B">
        <w:t xml:space="preserve">Appendix </w:t>
      </w:r>
      <w:r w:rsidR="00464B02" w:rsidRPr="0015116B">
        <w:t>8</w:t>
      </w:r>
      <w:r w:rsidR="00736B41" w:rsidRPr="0015116B">
        <w:t>). The fits to the data also tend to be the most variable among the fisheries, which may reflect the selectivity characteristics and relative importance to the total bycatch of different gear types that are currently lumped as “groundfish fisheries”.</w:t>
      </w:r>
    </w:p>
    <w:p w14:paraId="4B2A7D54" w14:textId="36A68193" w:rsidR="005B3389" w:rsidRPr="0015116B" w:rsidRDefault="005B3389" w:rsidP="005B3389">
      <w:r w:rsidRPr="0015116B">
        <w:t>Estimated capture rates in the directed fishery (Figure 3</w:t>
      </w:r>
      <w:r w:rsidR="0053351D" w:rsidRPr="0015116B">
        <w:t>6</w:t>
      </w:r>
      <w:r w:rsidRPr="0015116B">
        <w:t>) follow the same temporal patterns in all scenarios, with the largest peak in 1979</w:t>
      </w:r>
      <w:r w:rsidR="0053351D" w:rsidRPr="0015116B">
        <w:t xml:space="preserve"> or 1980</w:t>
      </w:r>
      <w:r w:rsidRPr="0015116B">
        <w:t xml:space="preserve"> and a lesser peak in 1992. However, the relative levels vary among the scenarios, reflecting differences in recruitment (see below) rather than differences in estimated size-specific capture functions (Figures </w:t>
      </w:r>
      <w:r w:rsidR="0053351D" w:rsidRPr="0015116B">
        <w:t>37</w:t>
      </w:r>
      <w:r w:rsidRPr="0015116B">
        <w:t xml:space="preserve">) or retention functions (Figure </w:t>
      </w:r>
      <w:r w:rsidR="0053351D" w:rsidRPr="0015116B">
        <w:t>38</w:t>
      </w:r>
      <w:r w:rsidRPr="0015116B">
        <w:t>), which are essentially identical</w:t>
      </w:r>
      <w:r w:rsidR="0053351D" w:rsidRPr="0015116B">
        <w:t>.</w:t>
      </w:r>
    </w:p>
    <w:p w14:paraId="3816EB0A" w14:textId="12084F70" w:rsidR="005B3389" w:rsidRPr="0015116B" w:rsidRDefault="005B3389" w:rsidP="005B3389">
      <w:r w:rsidRPr="0015116B">
        <w:lastRenderedPageBreak/>
        <w:t xml:space="preserve">Estimated capture rates in the snow crab (Figure </w:t>
      </w:r>
      <w:r w:rsidR="0053351D" w:rsidRPr="0015116B">
        <w:t>39</w:t>
      </w:r>
      <w:r w:rsidRPr="0015116B">
        <w:t>)</w:t>
      </w:r>
      <w:r w:rsidR="009A47B9" w:rsidRPr="0015116B">
        <w:t xml:space="preserve">, BBRKC (Figure 41), and groundfish fisheries (Figure 43) </w:t>
      </w:r>
      <w:r w:rsidRPr="0015116B">
        <w:t>also exhibited similar temporal patterns</w:t>
      </w:r>
      <w:r w:rsidR="0053351D" w:rsidRPr="0015116B">
        <w:t xml:space="preserve"> but with different scales a</w:t>
      </w:r>
      <w:r w:rsidR="009A47B9" w:rsidRPr="0015116B">
        <w:t>cross</w:t>
      </w:r>
      <w:r w:rsidR="0053351D" w:rsidRPr="0015116B">
        <w:t xml:space="preserve"> the scenarios. Estimated sex-specific bycatch selectivity functions </w:t>
      </w:r>
      <w:r w:rsidR="009A47B9" w:rsidRPr="0015116B">
        <w:t xml:space="preserve">in the snow crab and BRKC fisheries </w:t>
      </w:r>
      <w:r w:rsidR="0053351D" w:rsidRPr="0015116B">
        <w:t>were essentially identical across the scenarios in the time periods for which they</w:t>
      </w:r>
      <w:r w:rsidR="009A47B9" w:rsidRPr="0015116B">
        <w:t xml:space="preserve"> were</w:t>
      </w:r>
      <w:r w:rsidR="0053351D" w:rsidRPr="0015116B">
        <w:t xml:space="preserve"> defined (Figure</w:t>
      </w:r>
      <w:r w:rsidR="009A47B9" w:rsidRPr="0015116B">
        <w:t>s</w:t>
      </w:r>
      <w:r w:rsidR="0053351D" w:rsidRPr="0015116B">
        <w:t xml:space="preserve"> 40</w:t>
      </w:r>
      <w:r w:rsidR="009A47B9" w:rsidRPr="0015116B">
        <w:t xml:space="preserve"> and 42</w:t>
      </w:r>
      <w:r w:rsidR="0053351D" w:rsidRPr="0015116B">
        <w:t>).</w:t>
      </w:r>
      <w:r w:rsidR="009A47B9" w:rsidRPr="0015116B">
        <w:t xml:space="preserve"> </w:t>
      </w:r>
      <w:r w:rsidR="0028218B" w:rsidRPr="0015116B">
        <w:t>T</w:t>
      </w:r>
      <w:r w:rsidR="009A47B9" w:rsidRPr="0015116B">
        <w:t xml:space="preserve">he selectivity curves for bycatch in the groundfish fisheries differed </w:t>
      </w:r>
      <w:r w:rsidR="0028218B" w:rsidRPr="0015116B">
        <w:t>the most among the</w:t>
      </w:r>
      <w:r w:rsidR="009A47B9" w:rsidRPr="0015116B">
        <w:t xml:space="preserve"> scenarios, </w:t>
      </w:r>
      <w:r w:rsidR="006C7F90" w:rsidRPr="0015116B">
        <w:t xml:space="preserve">but this amounted to a consistent shift of the male selectivity curves from 2019.03(2020) by ~10 mm CW to smaller sizes in 20.07 in each of the three time periods selectivity was estimated. Selectivity curves for females were similarly shifted, but by a lesser amount. </w:t>
      </w:r>
    </w:p>
    <w:p w14:paraId="1995EA14" w14:textId="26DB1B75" w:rsidR="005B3389" w:rsidRPr="0015116B" w:rsidRDefault="006C7F90" w:rsidP="005B3389">
      <w:r w:rsidRPr="0015116B">
        <w:t xml:space="preserve">Overall, the most dramatic differences among the scenarios were exhibited for NMFS survey selectivity and fully-selected catchability estimates (Figures 45-48). </w:t>
      </w:r>
      <w:r w:rsidR="00B953BF" w:rsidRPr="0015116B">
        <w:t>The selectivity curves for males in the period before 1982 for Scenarios 19.03(2020) and 20.10 both had the small values in the smallest model size class (25 mm CW), but the curve for 19.03(2020) was essentially a linearly increasing function to 1 at 185 mm CW, whereas it approached it’s asymptote of 1 at much smaller sizes (near 75 mm CW) for 20.10. The curve for 20.10 seems better estimated, given that the size at 95% selected parameter for this curve in 19.03(2020) was estimated at it upper bound.</w:t>
      </w:r>
      <w:r w:rsidR="00AC25F2" w:rsidRPr="0015116B">
        <w:t xml:space="preserve"> The selectivity curves for males in the 1982+ time period from the two scenarios are far more similar to each other. For females, the selectivity curves from the two scenarios are similar in the 1975-1981 period, but differ substantially in the 1982+ time period. For the latter time period, the selectivity curve from 19.03(2020) is almost flat across the model size range, suggesting that the survey is not size-selective for females, whereas it is more S-shaped for 20.01. </w:t>
      </w:r>
      <w:r w:rsidR="00DA3663" w:rsidRPr="0015116B">
        <w:t>When fully-selected catchability is applied (Figure 48), the catchability at small sizes is similar—but as crab size increases it essentially remains the same in Scenario 19.03(2020) while it increases across the size range in Scenario 20.07.</w:t>
      </w:r>
    </w:p>
    <w:p w14:paraId="3EB91B8A" w14:textId="499A8ADA" w:rsidR="00DA3663" w:rsidRPr="0015116B" w:rsidRDefault="00D900C6" w:rsidP="005B3389">
      <w:r w:rsidRPr="0015116B">
        <w:t>Parameter estimates for b</w:t>
      </w:r>
      <w:r w:rsidR="00DA3663" w:rsidRPr="0015116B">
        <w:t xml:space="preserve">iological processes in the model (natural mortality, growth, and terminal molt) </w:t>
      </w:r>
      <w:r w:rsidRPr="0015116B">
        <w:t>are generally similar for Scenarios 19.03(2020) and 20.07 (Figures 51-53), except in the case of natural mature male natural mortality</w:t>
      </w:r>
      <w:r w:rsidR="00DA3663" w:rsidRPr="0015116B">
        <w:t xml:space="preserve"> </w:t>
      </w:r>
      <w:r w:rsidRPr="0015116B">
        <w:t xml:space="preserve">in the “enhanced” mortality time block (1980-1984). In this case, “M” is estimated as 15% smaller in 20.07 compared with that in </w:t>
      </w:r>
      <w:r w:rsidR="00815FA1" w:rsidRPr="0015116B">
        <w:t>19.03(2020).</w:t>
      </w:r>
    </w:p>
    <w:p w14:paraId="4C05197B" w14:textId="58C2DE2A" w:rsidR="007D62F9" w:rsidRPr="0015116B" w:rsidRDefault="0078418F" w:rsidP="005B3389">
      <w:r w:rsidRPr="0015116B">
        <w:t>The estimated recruitment time series exhibit the same basic fluctuations across the model time period, but the scale, and some of the fine details, differ among the scenarios (Figures 54 and 55). The time series estimated in Scenarios 19.03(2020) and 20.07 are very similar in the time period from 1980 to 2002, but differences are apparent before 1980 and after 2002 (Figure 54)</w:t>
      </w:r>
      <w:r w:rsidR="007955A0" w:rsidRPr="0015116B">
        <w:t xml:space="preserve">. However, estimated peaks in recruitment in 2008 and 2018 are almost identical, although estimates in the interim are somewhat different. </w:t>
      </w:r>
      <w:r w:rsidR="007D62F9" w:rsidRPr="0015116B">
        <w:t xml:space="preserve">One effect of the missing 2020 NMFS EBS shelf bottom trawl survey is not evident in the recruitment estimates shown in Figure 54 for 2019 (i.e., those that enter the population at the start of 2020): the estimated ln-scale rec dev for 2019 is 0 for all three 2020 model scenarios, but the estimate is </w:t>
      </w:r>
      <w:r w:rsidR="00BF1BD9" w:rsidRPr="0015116B">
        <w:t xml:space="preserve">also </w:t>
      </w:r>
      <w:r w:rsidR="007D62F9" w:rsidRPr="0015116B">
        <w:t xml:space="preserve">highly uncertain (~22 on the ln-scale!) </w:t>
      </w:r>
      <w:r w:rsidR="00BF1BD9" w:rsidRPr="0015116B">
        <w:t>because, without the survey data, there is nothing in the remaining data for 2019/20 to constrain the estimate.</w:t>
      </w:r>
    </w:p>
    <w:p w14:paraId="48CDB499" w14:textId="6104C6AA" w:rsidR="0078418F" w:rsidRPr="0015116B" w:rsidRDefault="007955A0" w:rsidP="005B3389">
      <w:r w:rsidRPr="0015116B">
        <w:t xml:space="preserve">Not surprisingly, then, estimates of the time series of mature biomass differ across the scenarios—again, the temporal variations are </w:t>
      </w:r>
      <w:proofErr w:type="gramStart"/>
      <w:r w:rsidRPr="0015116B">
        <w:t>similar</w:t>
      </w:r>
      <w:proofErr w:type="gramEnd"/>
      <w:r w:rsidRPr="0015116B">
        <w:t xml:space="preserve"> but the scales are different (Figure 56 and 57).</w:t>
      </w:r>
      <w:r w:rsidR="00BF1BD9" w:rsidRPr="0015116B">
        <w:t xml:space="preserve"> “Current” MMB is about 15% smaller in Scenario 20.07 than in 19.03(2020). </w:t>
      </w:r>
    </w:p>
    <w:p w14:paraId="26B1A203" w14:textId="7F498EFA" w:rsidR="006721FE" w:rsidRPr="0015116B" w:rsidRDefault="005B3389" w:rsidP="005B3389">
      <w:r w:rsidRPr="0015116B">
        <w:t>The author’s preferred model</w:t>
      </w:r>
      <w:r w:rsidR="00B44FE0" w:rsidRPr="0015116B">
        <w:t xml:space="preserve"> is</w:t>
      </w:r>
      <w:r w:rsidRPr="0015116B">
        <w:t xml:space="preserve"> </w:t>
      </w:r>
      <w:r w:rsidR="00BF1BD9" w:rsidRPr="0015116B">
        <w:t>20.07</w:t>
      </w:r>
      <w:r w:rsidR="00B44FE0" w:rsidRPr="0015116B">
        <w:t xml:space="preserve"> because it</w:t>
      </w:r>
      <w:r w:rsidRPr="0015116B">
        <w:t xml:space="preserve"> fits all of the datasets reasonably well and includes </w:t>
      </w:r>
      <w:r w:rsidR="00BF1BD9" w:rsidRPr="0015116B">
        <w:t xml:space="preserve">the BSFRF SBS data </w:t>
      </w:r>
      <w:r w:rsidR="002F4E1A" w:rsidRPr="0015116B">
        <w:t xml:space="preserve">, which </w:t>
      </w:r>
      <w:r w:rsidR="00BF1BD9" w:rsidRPr="0015116B">
        <w:t>provide</w:t>
      </w:r>
      <w:r w:rsidR="002F4E1A" w:rsidRPr="0015116B">
        <w:t>s</w:t>
      </w:r>
      <w:r w:rsidR="00BF1BD9" w:rsidRPr="0015116B">
        <w:t xml:space="preserve"> a measure of absolute scale for the NMFS EBS shelf bottom trawl survey data</w:t>
      </w:r>
      <w:r w:rsidR="002F4E1A" w:rsidRPr="0015116B">
        <w:t xml:space="preserve"> that the base model, 19.03(2020), does not.</w:t>
      </w:r>
    </w:p>
    <w:p w14:paraId="78A25C61" w14:textId="77777777" w:rsidR="00935A8A" w:rsidRPr="0015116B" w:rsidRDefault="00E6693C" w:rsidP="009611C8">
      <w:pPr>
        <w:pStyle w:val="Heading2"/>
      </w:pPr>
      <w:r w:rsidRPr="0015116B">
        <w:t xml:space="preserve">4. </w:t>
      </w:r>
      <w:r w:rsidR="00935A8A" w:rsidRPr="0015116B">
        <w:t>Results (best model(s))</w:t>
      </w:r>
    </w:p>
    <w:p w14:paraId="07BEEEC7" w14:textId="62A6FB2A" w:rsidR="00166490" w:rsidRPr="0015116B" w:rsidRDefault="00210AC7" w:rsidP="00166490">
      <w:r w:rsidRPr="0015116B">
        <w:t xml:space="preserve">Scenario </w:t>
      </w:r>
      <w:r w:rsidR="009A24EB" w:rsidRPr="0015116B">
        <w:t>20.10</w:t>
      </w:r>
      <w:r w:rsidR="009124B5" w:rsidRPr="0015116B">
        <w:t xml:space="preserve"> was selected as the author’s preferred model for the 20</w:t>
      </w:r>
      <w:r w:rsidR="00F7299A" w:rsidRPr="0015116B">
        <w:t>20</w:t>
      </w:r>
      <w:r w:rsidR="009124B5" w:rsidRPr="0015116B">
        <w:t xml:space="preserve"> assessment.</w:t>
      </w:r>
    </w:p>
    <w:p w14:paraId="42DAED62" w14:textId="77777777" w:rsidR="00935A8A" w:rsidRPr="0015116B" w:rsidRDefault="00C709F0" w:rsidP="009611C8">
      <w:pPr>
        <w:pStyle w:val="Heading4"/>
      </w:pPr>
      <w:r w:rsidRPr="0015116B">
        <w:lastRenderedPageBreak/>
        <w:t>a</w:t>
      </w:r>
      <w:r w:rsidR="009611C8" w:rsidRPr="0015116B">
        <w:t xml:space="preserve">. </w:t>
      </w:r>
      <w:r w:rsidR="00935A8A" w:rsidRPr="0015116B">
        <w:t>List of effective sample sizes, the weighting factors ap</w:t>
      </w:r>
      <w:r w:rsidR="00822D90" w:rsidRPr="0015116B">
        <w:t xml:space="preserve">plied when fitting the indices, </w:t>
      </w:r>
      <w:r w:rsidR="00935A8A" w:rsidRPr="0015116B">
        <w:t>and the weighting factors applied to any penalties.</w:t>
      </w:r>
    </w:p>
    <w:p w14:paraId="63D19F11" w14:textId="0F78414C" w:rsidR="00C709F0" w:rsidRPr="0015116B" w:rsidRDefault="00CA03FC" w:rsidP="00C709F0">
      <w:r w:rsidRPr="0015116B">
        <w:t>E</w:t>
      </w:r>
      <w:r w:rsidR="00387AD0" w:rsidRPr="0015116B">
        <w:t>ffective sample sizes for size composition data fit in the model are listed in Table</w:t>
      </w:r>
      <w:r w:rsidRPr="0015116B">
        <w:t xml:space="preserve"> 27</w:t>
      </w:r>
      <w:r w:rsidR="00387AD0" w:rsidRPr="0015116B">
        <w:t xml:space="preserve">. </w:t>
      </w:r>
      <w:r w:rsidR="00C01A35" w:rsidRPr="0015116B">
        <w:t xml:space="preserve">A weighting factor of 20 </w:t>
      </w:r>
      <w:r w:rsidR="009B22F8" w:rsidRPr="0015116B">
        <w:t xml:space="preserve">(corresponding to a standard deviation of 0.158) </w:t>
      </w:r>
      <w:r w:rsidR="00C01A35" w:rsidRPr="0015116B">
        <w:t xml:space="preserve">was applied to all fishery catch biomass likelihood components to achieve close fits to </w:t>
      </w:r>
      <w:r w:rsidRPr="0015116B">
        <w:t xml:space="preserve">the </w:t>
      </w:r>
      <w:r w:rsidR="00C01A35" w:rsidRPr="0015116B">
        <w:t xml:space="preserve">catch biomass time series. </w:t>
      </w:r>
    </w:p>
    <w:p w14:paraId="7BD0408A" w14:textId="77777777" w:rsidR="00935A8A" w:rsidRPr="0015116B" w:rsidRDefault="00116E9A" w:rsidP="009611C8">
      <w:pPr>
        <w:pStyle w:val="Heading4"/>
      </w:pPr>
      <w:r w:rsidRPr="0015116B">
        <w:t>b</w:t>
      </w:r>
      <w:r w:rsidR="009611C8" w:rsidRPr="0015116B">
        <w:t xml:space="preserve">. </w:t>
      </w:r>
      <w:r w:rsidR="00935A8A" w:rsidRPr="0015116B">
        <w:t>Tables of estimates:</w:t>
      </w:r>
    </w:p>
    <w:p w14:paraId="7F48E783" w14:textId="77777777" w:rsidR="00935A8A" w:rsidRPr="0015116B" w:rsidRDefault="009611C8" w:rsidP="009611C8">
      <w:pPr>
        <w:pStyle w:val="Heading6"/>
      </w:pPr>
      <w:proofErr w:type="spellStart"/>
      <w:r w:rsidRPr="0015116B">
        <w:t>i</w:t>
      </w:r>
      <w:proofErr w:type="spellEnd"/>
      <w:r w:rsidRPr="0015116B">
        <w:t xml:space="preserve">. </w:t>
      </w:r>
      <w:r w:rsidR="00935A8A" w:rsidRPr="0015116B">
        <w:t>All parameters</w:t>
      </w:r>
    </w:p>
    <w:p w14:paraId="2AE696AF" w14:textId="141E1D8C" w:rsidR="00166490" w:rsidRPr="0015116B" w:rsidRDefault="00166490" w:rsidP="00166490">
      <w:r w:rsidRPr="0015116B">
        <w:t xml:space="preserve">Parameter estimates and associated standard errors, based on inversion of the </w:t>
      </w:r>
      <w:r w:rsidR="00D11103" w:rsidRPr="0015116B">
        <w:t xml:space="preserve">converged </w:t>
      </w:r>
      <w:r w:rsidRPr="0015116B">
        <w:t>model’s Hessian, are listed in Table</w:t>
      </w:r>
      <w:r w:rsidR="00BC28A5" w:rsidRPr="0015116B">
        <w:t xml:space="preserve">s </w:t>
      </w:r>
      <w:r w:rsidR="00CA03FC" w:rsidRPr="0015116B">
        <w:t>13-23</w:t>
      </w:r>
      <w:r w:rsidRPr="0015116B">
        <w:t xml:space="preserve">. </w:t>
      </w:r>
    </w:p>
    <w:p w14:paraId="6B2F886B" w14:textId="77777777" w:rsidR="00935A8A" w:rsidRPr="0015116B" w:rsidRDefault="009611C8" w:rsidP="009611C8">
      <w:pPr>
        <w:pStyle w:val="Heading6"/>
      </w:pPr>
      <w:r w:rsidRPr="0015116B">
        <w:t>ii.</w:t>
      </w:r>
      <w:r w:rsidR="00AD2DDB" w:rsidRPr="0015116B">
        <w:t xml:space="preserve"> </w:t>
      </w:r>
      <w:r w:rsidR="00935A8A" w:rsidRPr="0015116B">
        <w:t>Abundance and biomass time series, including spawning biomass and MMB.</w:t>
      </w:r>
    </w:p>
    <w:p w14:paraId="199170B4" w14:textId="753C3A04" w:rsidR="00166490" w:rsidRPr="0015116B" w:rsidRDefault="00166490" w:rsidP="00166490">
      <w:r w:rsidRPr="0015116B">
        <w:t xml:space="preserve">Estimates </w:t>
      </w:r>
      <w:r w:rsidR="00BC28A5" w:rsidRPr="0015116B">
        <w:t>for</w:t>
      </w:r>
      <w:r w:rsidRPr="0015116B">
        <w:t xml:space="preserve"> </w:t>
      </w:r>
      <w:r w:rsidR="00FE385A" w:rsidRPr="0015116B">
        <w:t>mature survey biomass are listed in Table</w:t>
      </w:r>
      <w:r w:rsidR="00CA03FC" w:rsidRPr="0015116B">
        <w:t>s</w:t>
      </w:r>
      <w:r w:rsidR="00FE385A" w:rsidRPr="0015116B">
        <w:t xml:space="preserve"> </w:t>
      </w:r>
      <w:r w:rsidR="00CA03FC" w:rsidRPr="0015116B">
        <w:t>28 and 29 for males and females, respectively. Estimates</w:t>
      </w:r>
      <w:r w:rsidR="00BC28A5" w:rsidRPr="0015116B">
        <w:t xml:space="preserve"> for</w:t>
      </w:r>
      <w:r w:rsidR="00FE385A" w:rsidRPr="0015116B">
        <w:t xml:space="preserve"> </w:t>
      </w:r>
      <w:r w:rsidR="00BC28A5" w:rsidRPr="0015116B">
        <w:t>mature biomass at mating</w:t>
      </w:r>
      <w:r w:rsidR="00CA03FC" w:rsidRPr="0015116B">
        <w:t xml:space="preserve"> are listed</w:t>
      </w:r>
      <w:r w:rsidRPr="0015116B">
        <w:t xml:space="preserve"> in Table</w:t>
      </w:r>
      <w:r w:rsidR="00CA03FC" w:rsidRPr="0015116B">
        <w:t>s</w:t>
      </w:r>
      <w:r w:rsidRPr="0015116B">
        <w:t xml:space="preserve"> </w:t>
      </w:r>
      <w:r w:rsidR="00CA03FC" w:rsidRPr="0015116B">
        <w:t xml:space="preserve">30 and 31. </w:t>
      </w:r>
      <w:r w:rsidR="00444041" w:rsidRPr="0015116B">
        <w:t>Due to the size of the tables, the n</w:t>
      </w:r>
      <w:r w:rsidR="00C60C9D" w:rsidRPr="0015116B">
        <w:t xml:space="preserve">umbers at size for </w:t>
      </w:r>
      <w:r w:rsidR="00F76ECA" w:rsidRPr="0015116B">
        <w:t xml:space="preserve">females and </w:t>
      </w:r>
      <w:r w:rsidR="00C60C9D" w:rsidRPr="0015116B">
        <w:t xml:space="preserve">males by year in 5 mm CW size bins </w:t>
      </w:r>
      <w:r w:rsidR="00F76ECA" w:rsidRPr="0015116B">
        <w:t xml:space="preserve">for scenario </w:t>
      </w:r>
      <w:r w:rsidR="00BA255D" w:rsidRPr="0015116B">
        <w:t>M19F03</w:t>
      </w:r>
      <w:r w:rsidR="00F76ECA" w:rsidRPr="0015116B">
        <w:t xml:space="preserve"> </w:t>
      </w:r>
      <w:r w:rsidR="00444041" w:rsidRPr="0015116B">
        <w:t>are available online as zipped csv files (</w:t>
      </w:r>
      <w:r w:rsidR="0069767E" w:rsidRPr="0015116B">
        <w:t>as noted in the caption for</w:t>
      </w:r>
      <w:r w:rsidR="00CA03FC" w:rsidRPr="0015116B">
        <w:t xml:space="preserve"> Table </w:t>
      </w:r>
      <w:r w:rsidR="0069767E" w:rsidRPr="0015116B">
        <w:t>32</w:t>
      </w:r>
      <w:r w:rsidR="00444041" w:rsidRPr="0015116B">
        <w:t>)</w:t>
      </w:r>
      <w:r w:rsidR="00C60C9D" w:rsidRPr="0015116B">
        <w:t>.</w:t>
      </w:r>
    </w:p>
    <w:p w14:paraId="7B9D585E" w14:textId="77777777" w:rsidR="00935A8A" w:rsidRPr="0015116B" w:rsidRDefault="009611C8" w:rsidP="009611C8">
      <w:pPr>
        <w:pStyle w:val="Heading6"/>
      </w:pPr>
      <w:r w:rsidRPr="0015116B">
        <w:t xml:space="preserve">iii. </w:t>
      </w:r>
      <w:r w:rsidR="00935A8A" w:rsidRPr="0015116B">
        <w:t>Recruitment time serie</w:t>
      </w:r>
      <w:r w:rsidR="00166490" w:rsidRPr="0015116B">
        <w:t>s</w:t>
      </w:r>
    </w:p>
    <w:p w14:paraId="5E540A14" w14:textId="1996DA20" w:rsidR="00166490" w:rsidRPr="0015116B" w:rsidRDefault="00166490" w:rsidP="00166490">
      <w:r w:rsidRPr="0015116B">
        <w:t xml:space="preserve">The estimated recruitment time series </w:t>
      </w:r>
      <w:r w:rsidR="000B3121" w:rsidRPr="0015116B">
        <w:t xml:space="preserve">from the </w:t>
      </w:r>
      <w:r w:rsidR="0069767E" w:rsidRPr="0015116B">
        <w:t>scenarios</w:t>
      </w:r>
      <w:r w:rsidR="000B3121" w:rsidRPr="0015116B">
        <w:t xml:space="preserve"> are </w:t>
      </w:r>
      <w:r w:rsidR="00BC28A5" w:rsidRPr="0015116B">
        <w:t>listed</w:t>
      </w:r>
      <w:r w:rsidRPr="0015116B">
        <w:t xml:space="preserve"> in Table </w:t>
      </w:r>
      <w:r w:rsidR="0069767E" w:rsidRPr="0015116B">
        <w:t>33</w:t>
      </w:r>
      <w:r w:rsidR="000B3121" w:rsidRPr="0015116B">
        <w:t>.</w:t>
      </w:r>
    </w:p>
    <w:p w14:paraId="59138BE3" w14:textId="77777777" w:rsidR="00935A8A" w:rsidRPr="0015116B" w:rsidRDefault="009611C8" w:rsidP="009611C8">
      <w:pPr>
        <w:pStyle w:val="Heading6"/>
      </w:pPr>
      <w:r w:rsidRPr="0015116B">
        <w:t xml:space="preserve">iv. </w:t>
      </w:r>
      <w:r w:rsidR="00935A8A" w:rsidRPr="0015116B">
        <w:t>Time seri</w:t>
      </w:r>
      <w:r w:rsidR="00AD2DDB" w:rsidRPr="0015116B">
        <w:t>es of catch divided by biomass.</w:t>
      </w:r>
    </w:p>
    <w:p w14:paraId="5DEA6F83" w14:textId="516D8401" w:rsidR="00722BE3" w:rsidRPr="0015116B" w:rsidRDefault="0069767E" w:rsidP="00722BE3">
      <w:r w:rsidRPr="0015116B">
        <w:t>Time series of c</w:t>
      </w:r>
      <w:r w:rsidR="00B86BC9" w:rsidRPr="0015116B">
        <w:t>atch divided by bioma</w:t>
      </w:r>
      <w:r w:rsidR="00FE385A" w:rsidRPr="0015116B">
        <w:t xml:space="preserve">ss (i.e., exploitation rate) </w:t>
      </w:r>
      <w:r w:rsidRPr="0015116B">
        <w:t>are</w:t>
      </w:r>
      <w:r w:rsidR="00FE385A" w:rsidRPr="0015116B">
        <w:t xml:space="preserve"> </w:t>
      </w:r>
      <w:r w:rsidR="00BC28A5" w:rsidRPr="0015116B">
        <w:t xml:space="preserve">listed in Table </w:t>
      </w:r>
      <w:r w:rsidRPr="0015116B">
        <w:t>34</w:t>
      </w:r>
      <w:r w:rsidR="00BC28A5" w:rsidRPr="0015116B">
        <w:t>.</w:t>
      </w:r>
    </w:p>
    <w:p w14:paraId="05C4CB96" w14:textId="77777777" w:rsidR="00935A8A" w:rsidRPr="0015116B" w:rsidRDefault="00116E9A" w:rsidP="009611C8">
      <w:pPr>
        <w:pStyle w:val="Heading4"/>
      </w:pPr>
      <w:r w:rsidRPr="0015116B">
        <w:t>c</w:t>
      </w:r>
      <w:r w:rsidR="009611C8" w:rsidRPr="0015116B">
        <w:t xml:space="preserve">. </w:t>
      </w:r>
      <w:r w:rsidR="00935A8A" w:rsidRPr="0015116B">
        <w:t>Graphs of estimates</w:t>
      </w:r>
    </w:p>
    <w:p w14:paraId="049051AC" w14:textId="3BBC8B6B" w:rsidR="00BE66E1" w:rsidRPr="0015116B" w:rsidRDefault="00BE66E1" w:rsidP="00BE66E1">
      <w:r w:rsidRPr="0015116B">
        <w:t>Graphs of estimate</w:t>
      </w:r>
      <w:r w:rsidR="00615714" w:rsidRPr="0015116B">
        <w:t>d quantities are shown in Figures 36-59 and</w:t>
      </w:r>
      <w:r w:rsidR="006226A5" w:rsidRPr="0015116B">
        <w:t xml:space="preserve"> </w:t>
      </w:r>
      <w:r w:rsidR="003624EE" w:rsidRPr="0015116B">
        <w:t>have been discussed above in the “Model Selection” section.</w:t>
      </w:r>
    </w:p>
    <w:p w14:paraId="69C2E88C" w14:textId="77777777" w:rsidR="00935A8A" w:rsidRPr="0015116B" w:rsidRDefault="009611C8" w:rsidP="009611C8">
      <w:pPr>
        <w:pStyle w:val="Heading6"/>
      </w:pPr>
      <w:proofErr w:type="spellStart"/>
      <w:r w:rsidRPr="0015116B">
        <w:t>i</w:t>
      </w:r>
      <w:proofErr w:type="spellEnd"/>
      <w:r w:rsidRPr="0015116B">
        <w:t xml:space="preserve">. </w:t>
      </w:r>
      <w:r w:rsidR="00935A8A" w:rsidRPr="0015116B">
        <w:t>Fishery and survey selectivities, molting pro</w:t>
      </w:r>
      <w:r w:rsidR="00822D90" w:rsidRPr="0015116B">
        <w:t xml:space="preserve">babilities, and other schedules </w:t>
      </w:r>
      <w:r w:rsidR="00935A8A" w:rsidRPr="0015116B">
        <w:t>depending on parameter estimates.</w:t>
      </w:r>
    </w:p>
    <w:p w14:paraId="759CD350" w14:textId="27FF7C4C" w:rsidR="0054733E" w:rsidRPr="0015116B" w:rsidRDefault="006226A5" w:rsidP="00722BE3">
      <w:r w:rsidRPr="0015116B">
        <w:t xml:space="preserve">Graphs of estimated selectivity for the directed fishery are shown in Figure </w:t>
      </w:r>
      <w:r w:rsidR="00615714" w:rsidRPr="0015116B">
        <w:t>37,</w:t>
      </w:r>
      <w:r w:rsidRPr="0015116B">
        <w:t xml:space="preserve"> for the snow crab fishery in Figure </w:t>
      </w:r>
      <w:r w:rsidR="00615714" w:rsidRPr="0015116B">
        <w:t>40</w:t>
      </w:r>
      <w:r w:rsidRPr="0015116B">
        <w:t>, for the BBRKC fishery in Figure 4</w:t>
      </w:r>
      <w:r w:rsidR="00615714" w:rsidRPr="0015116B">
        <w:t>2</w:t>
      </w:r>
      <w:r w:rsidRPr="0015116B">
        <w:t>, and for the groundfish fisheries in Figure 4</w:t>
      </w:r>
      <w:r w:rsidR="00615714" w:rsidRPr="0015116B">
        <w:t>4</w:t>
      </w:r>
      <w:r w:rsidRPr="0015116B">
        <w:t xml:space="preserve">. Estimated retention curves are shown in Figure </w:t>
      </w:r>
      <w:r w:rsidR="00615714" w:rsidRPr="0015116B">
        <w:t>38</w:t>
      </w:r>
      <w:r w:rsidRPr="0015116B">
        <w:t xml:space="preserve">. Graphs of selectivity </w:t>
      </w:r>
      <w:r w:rsidR="00615714" w:rsidRPr="0015116B">
        <w:t xml:space="preserve">and catchability curves </w:t>
      </w:r>
      <w:r w:rsidRPr="0015116B">
        <w:t>for the NMFS survey are shown Figure</w:t>
      </w:r>
      <w:r w:rsidR="00615714" w:rsidRPr="0015116B">
        <w:t>s</w:t>
      </w:r>
      <w:r w:rsidRPr="0015116B">
        <w:t xml:space="preserve"> </w:t>
      </w:r>
      <w:r w:rsidR="00615714" w:rsidRPr="0015116B">
        <w:t>45-48 and</w:t>
      </w:r>
      <w:r w:rsidRPr="0015116B">
        <w:t xml:space="preserve"> graphs of </w:t>
      </w:r>
      <w:r w:rsidR="00615714" w:rsidRPr="0015116B">
        <w:t xml:space="preserve">the annual </w:t>
      </w:r>
      <w:r w:rsidRPr="0015116B">
        <w:t>availability curves f</w:t>
      </w:r>
      <w:r w:rsidR="0006018D" w:rsidRPr="0015116B">
        <w:t>rom</w:t>
      </w:r>
      <w:r w:rsidRPr="0015116B">
        <w:t xml:space="preserve"> the </w:t>
      </w:r>
      <w:r w:rsidR="00615714" w:rsidRPr="0015116B">
        <w:t>BSFRF-</w:t>
      </w:r>
      <w:r w:rsidRPr="0015116B">
        <w:t xml:space="preserve">NMFS SBS studies </w:t>
      </w:r>
      <w:r w:rsidR="00615714" w:rsidRPr="0015116B">
        <w:t xml:space="preserve">(estimated outside the model) used in Scenario 20.07 </w:t>
      </w:r>
      <w:r w:rsidR="0006018D" w:rsidRPr="0015116B">
        <w:t>are shown in Figure</w:t>
      </w:r>
      <w:r w:rsidR="00615714" w:rsidRPr="0015116B">
        <w:t>s</w:t>
      </w:r>
      <w:r w:rsidR="0006018D" w:rsidRPr="0015116B">
        <w:t xml:space="preserve"> </w:t>
      </w:r>
      <w:r w:rsidR="00615714" w:rsidRPr="0015116B">
        <w:t>49 and 50</w:t>
      </w:r>
      <w:r w:rsidR="0006018D" w:rsidRPr="0015116B">
        <w:t>. Natural mortality estimates are shown in Figure 5</w:t>
      </w:r>
      <w:r w:rsidR="00615714" w:rsidRPr="0015116B">
        <w:t>1</w:t>
      </w:r>
      <w:r w:rsidR="0006018D" w:rsidRPr="0015116B">
        <w:t>, terminal molt probabilities are shown in Figure 5</w:t>
      </w:r>
      <w:r w:rsidR="00615714" w:rsidRPr="0015116B">
        <w:t>2</w:t>
      </w:r>
      <w:r w:rsidR="0006018D" w:rsidRPr="0015116B">
        <w:t>, and mean growth rates (molt increments) are shown in Figure 5</w:t>
      </w:r>
      <w:r w:rsidR="00615714" w:rsidRPr="0015116B">
        <w:t>3</w:t>
      </w:r>
      <w:r w:rsidR="0006018D" w:rsidRPr="0015116B">
        <w:t>.</w:t>
      </w:r>
    </w:p>
    <w:p w14:paraId="460E03C2" w14:textId="77777777" w:rsidR="008A1E8D" w:rsidRPr="0015116B" w:rsidRDefault="008A1E8D" w:rsidP="008A1E8D">
      <w:pPr>
        <w:pStyle w:val="Heading6"/>
      </w:pPr>
      <w:r w:rsidRPr="0015116B">
        <w:t xml:space="preserve">iii. Estimated full selection </w:t>
      </w:r>
      <w:r w:rsidRPr="0015116B">
        <w:rPr>
          <w:rFonts w:ascii="TimesNewRomanPS-ItalicMT" w:hAnsi="TimesNewRomanPS-ItalicMT" w:cs="TimesNewRomanPS-ItalicMT"/>
        </w:rPr>
        <w:t xml:space="preserve">F </w:t>
      </w:r>
      <w:r w:rsidR="009E42B7" w:rsidRPr="0015116B">
        <w:t>over time</w:t>
      </w:r>
    </w:p>
    <w:p w14:paraId="22B2FA07" w14:textId="083DB759" w:rsidR="008A1E8D" w:rsidRPr="0015116B" w:rsidRDefault="0006018D" w:rsidP="00722BE3">
      <w:r w:rsidRPr="0015116B">
        <w:t>Graphs of t</w:t>
      </w:r>
      <w:r w:rsidR="00EC3616" w:rsidRPr="0015116B">
        <w:t xml:space="preserve">ime series of </w:t>
      </w:r>
      <w:r w:rsidRPr="0015116B">
        <w:t xml:space="preserve">estimated </w:t>
      </w:r>
      <w:r w:rsidR="00EC3616" w:rsidRPr="0015116B">
        <w:t xml:space="preserve">fully-selected F </w:t>
      </w:r>
      <w:r w:rsidR="00C4752B" w:rsidRPr="0015116B">
        <w:t>(</w:t>
      </w:r>
      <w:r w:rsidRPr="0015116B">
        <w:t xml:space="preserve">total catch </w:t>
      </w:r>
      <w:r w:rsidR="00C4752B" w:rsidRPr="0015116B">
        <w:rPr>
          <w:i/>
        </w:rPr>
        <w:t>capture rates</w:t>
      </w:r>
      <w:r w:rsidR="00C4752B" w:rsidRPr="0015116B">
        <w:t xml:space="preserve">, not mortality) </w:t>
      </w:r>
      <w:r w:rsidR="00EC3616" w:rsidRPr="0015116B">
        <w:t>on males in the directed</w:t>
      </w:r>
      <w:r w:rsidR="007109EC" w:rsidRPr="0015116B">
        <w:t xml:space="preserve"> </w:t>
      </w:r>
      <w:r w:rsidR="00EC3616" w:rsidRPr="0015116B">
        <w:t xml:space="preserve">fishery and bycatch in the snow crab, BBRKC and groundfish fisheries are </w:t>
      </w:r>
      <w:r w:rsidRPr="0015116B">
        <w:t>shown in Figures 3</w:t>
      </w:r>
      <w:r w:rsidR="00BC1203" w:rsidRPr="0015116B">
        <w:t>6</w:t>
      </w:r>
      <w:r w:rsidRPr="0015116B">
        <w:t xml:space="preserve">, </w:t>
      </w:r>
      <w:r w:rsidR="00BC1203" w:rsidRPr="0015116B">
        <w:t>39</w:t>
      </w:r>
      <w:r w:rsidRPr="0015116B">
        <w:t>, 4</w:t>
      </w:r>
      <w:r w:rsidR="00BC1203" w:rsidRPr="0015116B">
        <w:t>1</w:t>
      </w:r>
      <w:r w:rsidRPr="0015116B">
        <w:t>, and 4</w:t>
      </w:r>
      <w:r w:rsidR="00BC1203" w:rsidRPr="0015116B">
        <w:t>3</w:t>
      </w:r>
      <w:r w:rsidRPr="0015116B">
        <w:t>.</w:t>
      </w:r>
    </w:p>
    <w:p w14:paraId="472E9C22" w14:textId="77777777" w:rsidR="00B05DC2" w:rsidRPr="0015116B" w:rsidRDefault="009611C8" w:rsidP="009611C8">
      <w:pPr>
        <w:pStyle w:val="Heading6"/>
      </w:pPr>
      <w:r w:rsidRPr="0015116B">
        <w:t xml:space="preserve">ii. </w:t>
      </w:r>
      <w:r w:rsidR="00935A8A" w:rsidRPr="0015116B">
        <w:t>Estimated male, female, mature male, total an</w:t>
      </w:r>
      <w:r w:rsidR="00822D90" w:rsidRPr="0015116B">
        <w:t xml:space="preserve">d effective mature biomass time </w:t>
      </w:r>
      <w:r w:rsidR="00935A8A" w:rsidRPr="0015116B">
        <w:t>series</w:t>
      </w:r>
    </w:p>
    <w:p w14:paraId="7EDDC93E" w14:textId="28B8E1CC" w:rsidR="00720AEE" w:rsidRPr="0015116B" w:rsidRDefault="003624EE" w:rsidP="008A1E8D">
      <w:r w:rsidRPr="0015116B">
        <w:t>E</w:t>
      </w:r>
      <w:r w:rsidR="00BC080D" w:rsidRPr="0015116B">
        <w:t xml:space="preserve">stimates of </w:t>
      </w:r>
      <w:r w:rsidR="0006018D" w:rsidRPr="0015116B">
        <w:t xml:space="preserve">the time trends in </w:t>
      </w:r>
      <w:r w:rsidR="00BC080D" w:rsidRPr="0015116B">
        <w:t xml:space="preserve">population </w:t>
      </w:r>
      <w:r w:rsidRPr="0015116B">
        <w:t xml:space="preserve">biomass </w:t>
      </w:r>
      <w:r w:rsidR="0006018D" w:rsidRPr="0015116B">
        <w:t xml:space="preserve">for mature and immature components of the stock are shown by sex in Figure </w:t>
      </w:r>
      <w:r w:rsidR="00BC1203" w:rsidRPr="0015116B">
        <w:t>58</w:t>
      </w:r>
      <w:r w:rsidR="0006018D" w:rsidRPr="0015116B">
        <w:t>.</w:t>
      </w:r>
      <w:r w:rsidR="009B0C82" w:rsidRPr="0015116B">
        <w:t xml:space="preserve"> Mature male and female biomass trends (MMB and MFB) are shown in Figures </w:t>
      </w:r>
      <w:r w:rsidR="00BC1203" w:rsidRPr="0015116B">
        <w:t>56</w:t>
      </w:r>
      <w:r w:rsidR="009B0C82" w:rsidRPr="0015116B">
        <w:t xml:space="preserve"> and </w:t>
      </w:r>
      <w:r w:rsidR="00BC1203" w:rsidRPr="0015116B">
        <w:t>57</w:t>
      </w:r>
      <w:r w:rsidR="009B0C82" w:rsidRPr="0015116B">
        <w:t xml:space="preserve">. </w:t>
      </w:r>
    </w:p>
    <w:p w14:paraId="340B1A98" w14:textId="77777777" w:rsidR="00935A8A" w:rsidRPr="0015116B" w:rsidRDefault="009611C8" w:rsidP="008A1E8D">
      <w:pPr>
        <w:pStyle w:val="Heading4"/>
      </w:pPr>
      <w:r w:rsidRPr="0015116B">
        <w:t xml:space="preserve">iv. </w:t>
      </w:r>
      <w:r w:rsidR="00935A8A" w:rsidRPr="0015116B">
        <w:t>Estimated fishing mortality versus es</w:t>
      </w:r>
      <w:r w:rsidR="00822D90" w:rsidRPr="0015116B">
        <w:t>timated spawning stock biomass</w:t>
      </w:r>
    </w:p>
    <w:p w14:paraId="29081828" w14:textId="17BD097D" w:rsidR="003D60EC" w:rsidRPr="0015116B" w:rsidRDefault="00BC1203" w:rsidP="003D60EC">
      <w:r w:rsidRPr="0015116B">
        <w:t>Estimated fishing mortality is plotted against spawning stock biomass (MMB) for the author’s preferred model, 20.07, in</w:t>
      </w:r>
      <w:r w:rsidR="003D60EC" w:rsidRPr="0015116B">
        <w:t xml:space="preserve"> </w:t>
      </w:r>
      <w:r w:rsidR="00FA26DD" w:rsidRPr="0015116B">
        <w:t>Fig</w:t>
      </w:r>
      <w:r w:rsidR="00F8280C" w:rsidRPr="0015116B">
        <w:t>ure</w:t>
      </w:r>
      <w:r w:rsidR="00AB6612" w:rsidRPr="0015116B">
        <w:t xml:space="preserve"> </w:t>
      </w:r>
      <w:r w:rsidR="00A95179" w:rsidRPr="0015116B">
        <w:t>6</w:t>
      </w:r>
      <w:r w:rsidRPr="0015116B">
        <w:t>8</w:t>
      </w:r>
      <w:r w:rsidR="003D60EC" w:rsidRPr="0015116B">
        <w:t>.</w:t>
      </w:r>
    </w:p>
    <w:p w14:paraId="36936F54" w14:textId="77777777" w:rsidR="00935A8A" w:rsidRPr="0015116B" w:rsidRDefault="009611C8" w:rsidP="009611C8">
      <w:pPr>
        <w:pStyle w:val="Heading6"/>
      </w:pPr>
      <w:r w:rsidRPr="0015116B">
        <w:lastRenderedPageBreak/>
        <w:t xml:space="preserve">v. </w:t>
      </w:r>
      <w:r w:rsidR="00935A8A" w:rsidRPr="0015116B">
        <w:t>Fit of a stock-recruitment relationship, if feasible.</w:t>
      </w:r>
    </w:p>
    <w:p w14:paraId="5122B737" w14:textId="482CE133" w:rsidR="00333FB5" w:rsidRPr="0015116B" w:rsidRDefault="00BC1203" w:rsidP="00333FB5">
      <w:r w:rsidRPr="0015116B">
        <w:t>Fits to a stock-recruit relationship were not evaluated.</w:t>
      </w:r>
    </w:p>
    <w:p w14:paraId="3BDBA0AF" w14:textId="77777777" w:rsidR="00935A8A" w:rsidRPr="0015116B" w:rsidRDefault="009611C8" w:rsidP="009611C8">
      <w:pPr>
        <w:pStyle w:val="Heading4"/>
      </w:pPr>
      <w:r w:rsidRPr="0015116B">
        <w:t xml:space="preserve">e. </w:t>
      </w:r>
      <w:r w:rsidR="00935A8A" w:rsidRPr="0015116B">
        <w:t>Evaluation of the fit to the data:</w:t>
      </w:r>
    </w:p>
    <w:p w14:paraId="73B01C08" w14:textId="77777777" w:rsidR="00935A8A" w:rsidRPr="0015116B" w:rsidRDefault="009611C8" w:rsidP="009611C8">
      <w:pPr>
        <w:pStyle w:val="Heading6"/>
      </w:pPr>
      <w:proofErr w:type="spellStart"/>
      <w:r w:rsidRPr="0015116B">
        <w:t>i</w:t>
      </w:r>
      <w:proofErr w:type="spellEnd"/>
      <w:r w:rsidRPr="0015116B">
        <w:t xml:space="preserve">. </w:t>
      </w:r>
      <w:r w:rsidR="00935A8A" w:rsidRPr="0015116B">
        <w:t>Graphs of the fits to observed and model-predic</w:t>
      </w:r>
      <w:r w:rsidR="00822D90" w:rsidRPr="0015116B">
        <w:t>ted catches</w:t>
      </w:r>
    </w:p>
    <w:p w14:paraId="21E300CE" w14:textId="4AFEDB2F" w:rsidR="005F2290" w:rsidRPr="0015116B" w:rsidRDefault="009B0C82" w:rsidP="00DD72B0">
      <w:r w:rsidRPr="0015116B">
        <w:t>Graphs of fits to observed catches are provided in Figure</w:t>
      </w:r>
      <w:r w:rsidR="00F0355C" w:rsidRPr="0015116B">
        <w:t>s</w:t>
      </w:r>
      <w:r w:rsidRPr="0015116B">
        <w:t xml:space="preserve"> 2</w:t>
      </w:r>
      <w:r w:rsidR="00F0355C" w:rsidRPr="0015116B">
        <w:t>7</w:t>
      </w:r>
      <w:r w:rsidRPr="0015116B">
        <w:t xml:space="preserve"> </w:t>
      </w:r>
      <w:r w:rsidR="00F0355C" w:rsidRPr="0015116B">
        <w:t xml:space="preserve">and 28 </w:t>
      </w:r>
      <w:r w:rsidRPr="0015116B">
        <w:t>for retained and total catch</w:t>
      </w:r>
      <w:r w:rsidR="00F0355C" w:rsidRPr="0015116B">
        <w:t>, respectively,</w:t>
      </w:r>
      <w:r w:rsidRPr="0015116B">
        <w:t xml:space="preserve"> in the directed fishery</w:t>
      </w:r>
      <w:r w:rsidR="00F0355C" w:rsidRPr="0015116B">
        <w:t>,</w:t>
      </w:r>
      <w:r w:rsidRPr="0015116B">
        <w:t xml:space="preserve"> </w:t>
      </w:r>
      <w:r w:rsidR="00F0355C" w:rsidRPr="0015116B">
        <w:t>as well as</w:t>
      </w:r>
      <w:r w:rsidRPr="0015116B">
        <w:t xml:space="preserve"> in Figures </w:t>
      </w:r>
      <w:r w:rsidR="00F0355C" w:rsidRPr="0015116B">
        <w:t>29-31</w:t>
      </w:r>
      <w:r w:rsidRPr="0015116B">
        <w:t xml:space="preserve"> for total catch in the snow crab, BBRKC, and groundfish fisheries</w:t>
      </w:r>
      <w:r w:rsidR="00CD2D3E" w:rsidRPr="0015116B">
        <w:t>.</w:t>
      </w:r>
      <w:r w:rsidRPr="0015116B">
        <w:t xml:space="preserve"> Fits to NMFS survey biomass are shown </w:t>
      </w:r>
      <w:r w:rsidR="00F0355C" w:rsidRPr="0015116B">
        <w:t>in</w:t>
      </w:r>
      <w:r w:rsidRPr="0015116B">
        <w:t xml:space="preserve"> Figure 3</w:t>
      </w:r>
      <w:r w:rsidR="00F0355C" w:rsidRPr="0015116B">
        <w:t>2, while</w:t>
      </w:r>
      <w:r w:rsidRPr="0015116B">
        <w:t xml:space="preserve"> </w:t>
      </w:r>
      <w:r w:rsidR="00F0355C" w:rsidRPr="0015116B">
        <w:t>f</w:t>
      </w:r>
      <w:r w:rsidRPr="0015116B">
        <w:t xml:space="preserve">its to </w:t>
      </w:r>
      <w:r w:rsidR="00F0355C" w:rsidRPr="0015116B">
        <w:t xml:space="preserve">the BSFRF SBS </w:t>
      </w:r>
      <w:r w:rsidRPr="0015116B">
        <w:t>survey biomass are shown in Figure 33.</w:t>
      </w:r>
    </w:p>
    <w:p w14:paraId="49671F5D" w14:textId="77777777" w:rsidR="00935A8A" w:rsidRPr="0015116B" w:rsidRDefault="009611C8" w:rsidP="009611C8">
      <w:pPr>
        <w:pStyle w:val="Heading6"/>
      </w:pPr>
      <w:r w:rsidRPr="0015116B">
        <w:t xml:space="preserve">ii. </w:t>
      </w:r>
      <w:r w:rsidR="00935A8A" w:rsidRPr="0015116B">
        <w:t>Graphs of model fits to survey numbers</w:t>
      </w:r>
    </w:p>
    <w:p w14:paraId="4080A91C" w14:textId="72247561" w:rsidR="00BC080D" w:rsidRPr="0015116B" w:rsidRDefault="00634263" w:rsidP="00BC080D">
      <w:r w:rsidRPr="0015116B">
        <w:t xml:space="preserve">See Appendix </w:t>
      </w:r>
      <w:r w:rsidR="00464B02" w:rsidRPr="0015116B">
        <w:t>6</w:t>
      </w:r>
      <w:r w:rsidRPr="0015116B">
        <w:t xml:space="preserve"> for graphs of observed and predicted survey abundance time series, including graphs of standardized residuals.</w:t>
      </w:r>
    </w:p>
    <w:p w14:paraId="52A446E4" w14:textId="333585DA" w:rsidR="00E12C0F" w:rsidRPr="0015116B" w:rsidRDefault="009611C8" w:rsidP="009611C8">
      <w:pPr>
        <w:pStyle w:val="Heading6"/>
      </w:pPr>
      <w:r w:rsidRPr="0015116B">
        <w:t xml:space="preserve">iii. </w:t>
      </w:r>
      <w:r w:rsidR="00935A8A" w:rsidRPr="0015116B">
        <w:t xml:space="preserve">Graphs of model fits to catch proportions by </w:t>
      </w:r>
      <w:r w:rsidR="000D7D56" w:rsidRPr="0015116B">
        <w:t>size class</w:t>
      </w:r>
    </w:p>
    <w:p w14:paraId="287A38BA" w14:textId="58AF5036" w:rsidR="0092071F" w:rsidRPr="0015116B" w:rsidRDefault="00634263" w:rsidP="00E12C0F">
      <w:r w:rsidRPr="0015116B">
        <w:t xml:space="preserve">Due to the large number of plots involved, these were created programmatically using </w:t>
      </w:r>
      <w:r w:rsidR="00464B02" w:rsidRPr="0015116B">
        <w:t>the R package “</w:t>
      </w:r>
      <w:proofErr w:type="spellStart"/>
      <w:r w:rsidR="00464B02" w:rsidRPr="0015116B">
        <w:t>r</w:t>
      </w:r>
      <w:r w:rsidRPr="0015116B">
        <w:t>markdown</w:t>
      </w:r>
      <w:proofErr w:type="spellEnd"/>
      <w:r w:rsidR="00464B02" w:rsidRPr="0015116B">
        <w:t>” (</w:t>
      </w:r>
      <w:proofErr w:type="spellStart"/>
      <w:r w:rsidR="00464B02" w:rsidRPr="0015116B">
        <w:t>RCore</w:t>
      </w:r>
      <w:proofErr w:type="spellEnd"/>
      <w:r w:rsidR="00464B02" w:rsidRPr="0015116B">
        <w:t xml:space="preserve"> Team, 2020; </w:t>
      </w:r>
      <w:proofErr w:type="spellStart"/>
      <w:r w:rsidR="00464B02" w:rsidRPr="0015116B">
        <w:t>Xie</w:t>
      </w:r>
      <w:proofErr w:type="spellEnd"/>
      <w:r w:rsidR="00464B02" w:rsidRPr="0015116B">
        <w:t xml:space="preserve"> e </w:t>
      </w:r>
      <w:proofErr w:type="spellStart"/>
      <w:r w:rsidR="00464B02" w:rsidRPr="0015116B">
        <w:t>tal</w:t>
      </w:r>
      <w:proofErr w:type="spellEnd"/>
      <w:r w:rsidR="00464B02" w:rsidRPr="0015116B">
        <w:t>., 2018)</w:t>
      </w:r>
      <w:r w:rsidRPr="0015116B">
        <w:t xml:space="preserve"> and converted to pdf format. They are provided as an appendix to the chapter. </w:t>
      </w:r>
      <w:r w:rsidR="00CD2D3E" w:rsidRPr="0015116B">
        <w:t xml:space="preserve">See Appendix </w:t>
      </w:r>
      <w:r w:rsidR="00464B02" w:rsidRPr="0015116B">
        <w:t>8</w:t>
      </w:r>
      <w:r w:rsidR="00CD2D3E" w:rsidRPr="0015116B">
        <w:t xml:space="preserve"> for model fits to annual catch proportions by size class</w:t>
      </w:r>
      <w:r w:rsidRPr="0015116B">
        <w:t xml:space="preserve"> for both fishery and survey data</w:t>
      </w:r>
      <w:r w:rsidR="00CD2D3E" w:rsidRPr="0015116B">
        <w:t>.</w:t>
      </w:r>
    </w:p>
    <w:p w14:paraId="7BF3E0E8" w14:textId="2F224285" w:rsidR="000D3BDA" w:rsidRPr="0015116B" w:rsidRDefault="009611C8" w:rsidP="009611C8">
      <w:pPr>
        <w:pStyle w:val="Heading6"/>
      </w:pPr>
      <w:r w:rsidRPr="0015116B">
        <w:t xml:space="preserve">iv. </w:t>
      </w:r>
      <w:r w:rsidR="00935A8A" w:rsidRPr="0015116B">
        <w:t xml:space="preserve">Graphs of model fits to survey proportions by </w:t>
      </w:r>
      <w:r w:rsidR="00394900" w:rsidRPr="0015116B">
        <w:t>size class</w:t>
      </w:r>
      <w:r w:rsidR="00935A8A" w:rsidRPr="0015116B">
        <w:t xml:space="preserve"> </w:t>
      </w:r>
    </w:p>
    <w:p w14:paraId="5608107A" w14:textId="051E6530" w:rsidR="000D3BDA" w:rsidRPr="0015116B" w:rsidRDefault="00634263" w:rsidP="000D3BDA">
      <w:r w:rsidRPr="0015116B">
        <w:t xml:space="preserve">Due to the large number of plots involved, these were created programmatically using </w:t>
      </w:r>
      <w:r w:rsidR="00464B02" w:rsidRPr="0015116B">
        <w:t>the R package “</w:t>
      </w:r>
      <w:proofErr w:type="spellStart"/>
      <w:r w:rsidR="00464B02" w:rsidRPr="0015116B">
        <w:t>rmarkdown</w:t>
      </w:r>
      <w:proofErr w:type="spellEnd"/>
      <w:r w:rsidR="00464B02" w:rsidRPr="0015116B">
        <w:t>” (</w:t>
      </w:r>
      <w:proofErr w:type="spellStart"/>
      <w:r w:rsidR="00464B02" w:rsidRPr="0015116B">
        <w:t>RCore</w:t>
      </w:r>
      <w:proofErr w:type="spellEnd"/>
      <w:r w:rsidR="00464B02" w:rsidRPr="0015116B">
        <w:t xml:space="preserve"> Team, 2020; </w:t>
      </w:r>
      <w:proofErr w:type="spellStart"/>
      <w:r w:rsidR="00464B02" w:rsidRPr="0015116B">
        <w:t>Xie</w:t>
      </w:r>
      <w:proofErr w:type="spellEnd"/>
      <w:r w:rsidR="00464B02" w:rsidRPr="0015116B">
        <w:t xml:space="preserve"> e </w:t>
      </w:r>
      <w:proofErr w:type="spellStart"/>
      <w:r w:rsidR="00464B02" w:rsidRPr="0015116B">
        <w:t>tal</w:t>
      </w:r>
      <w:proofErr w:type="spellEnd"/>
      <w:r w:rsidR="00464B02" w:rsidRPr="0015116B">
        <w:t xml:space="preserve">., 2018) and </w:t>
      </w:r>
      <w:r w:rsidRPr="0015116B">
        <w:t xml:space="preserve">converted to pdf format. They are provided as an appendix to the chapter. </w:t>
      </w:r>
      <w:r w:rsidR="00CD2D3E" w:rsidRPr="0015116B">
        <w:t xml:space="preserve">See Appendix </w:t>
      </w:r>
      <w:r w:rsidR="00464B02" w:rsidRPr="0015116B">
        <w:t>8</w:t>
      </w:r>
      <w:r w:rsidR="00CD2D3E" w:rsidRPr="0015116B">
        <w:t xml:space="preserve"> for model fits to annual survey proportions by size class.</w:t>
      </w:r>
    </w:p>
    <w:p w14:paraId="0E6CFD41" w14:textId="77777777" w:rsidR="00935A8A" w:rsidRPr="0015116B" w:rsidRDefault="009611C8" w:rsidP="009611C8">
      <w:pPr>
        <w:pStyle w:val="Heading6"/>
      </w:pPr>
      <w:r w:rsidRPr="0015116B">
        <w:t xml:space="preserve">v. </w:t>
      </w:r>
      <w:r w:rsidR="00935A8A" w:rsidRPr="0015116B">
        <w:t>Marginal distributions for the fits to the compositional data.</w:t>
      </w:r>
    </w:p>
    <w:p w14:paraId="484145D6" w14:textId="17F49FCB" w:rsidR="00554AC6" w:rsidRPr="0015116B" w:rsidRDefault="00634263" w:rsidP="006252AB">
      <w:r w:rsidRPr="0015116B">
        <w:t xml:space="preserve">Due to the large number of plots involved, these were created programmatically using </w:t>
      </w:r>
      <w:r w:rsidR="00464B02" w:rsidRPr="0015116B">
        <w:t>the R package “</w:t>
      </w:r>
      <w:proofErr w:type="spellStart"/>
      <w:r w:rsidR="00464B02" w:rsidRPr="0015116B">
        <w:t>rmarkdown</w:t>
      </w:r>
      <w:proofErr w:type="spellEnd"/>
      <w:r w:rsidR="00464B02" w:rsidRPr="0015116B">
        <w:t>” (</w:t>
      </w:r>
      <w:proofErr w:type="spellStart"/>
      <w:r w:rsidR="00464B02" w:rsidRPr="0015116B">
        <w:t>RCore</w:t>
      </w:r>
      <w:proofErr w:type="spellEnd"/>
      <w:r w:rsidR="00464B02" w:rsidRPr="0015116B">
        <w:t xml:space="preserve"> Team, 2020; </w:t>
      </w:r>
      <w:proofErr w:type="spellStart"/>
      <w:r w:rsidR="00464B02" w:rsidRPr="0015116B">
        <w:t>Xie</w:t>
      </w:r>
      <w:proofErr w:type="spellEnd"/>
      <w:r w:rsidR="00464B02" w:rsidRPr="0015116B">
        <w:t xml:space="preserve"> e </w:t>
      </w:r>
      <w:proofErr w:type="spellStart"/>
      <w:r w:rsidR="00464B02" w:rsidRPr="0015116B">
        <w:t>tal</w:t>
      </w:r>
      <w:proofErr w:type="spellEnd"/>
      <w:r w:rsidR="00464B02" w:rsidRPr="0015116B">
        <w:t>., 2018)</w:t>
      </w:r>
      <w:r w:rsidRPr="0015116B">
        <w:t xml:space="preserve"> and converted to pdf format. They are provided as appendices to the chapter. </w:t>
      </w:r>
      <w:r w:rsidR="00CD2D3E" w:rsidRPr="0015116B">
        <w:t>See Appendi</w:t>
      </w:r>
      <w:r w:rsidR="00702E25" w:rsidRPr="0015116B">
        <w:t>x</w:t>
      </w:r>
      <w:r w:rsidR="00CD2D3E" w:rsidRPr="0015116B">
        <w:t xml:space="preserve"> </w:t>
      </w:r>
      <w:r w:rsidR="00464B02" w:rsidRPr="0015116B">
        <w:t>9</w:t>
      </w:r>
      <w:r w:rsidR="00CD2D3E" w:rsidRPr="0015116B">
        <w:t xml:space="preserve"> for marginal distributions of fits to the </w:t>
      </w:r>
      <w:r w:rsidR="00702E25" w:rsidRPr="0015116B">
        <w:t xml:space="preserve">fishery </w:t>
      </w:r>
      <w:r w:rsidR="00CD2D3E" w:rsidRPr="0015116B">
        <w:t>compositional data</w:t>
      </w:r>
      <w:r w:rsidR="0027356D" w:rsidRPr="0015116B">
        <w:t>.</w:t>
      </w:r>
      <w:r w:rsidR="00702E25" w:rsidRPr="0015116B">
        <w:t xml:space="preserve"> See Appendix </w:t>
      </w:r>
      <w:r w:rsidR="00464B02" w:rsidRPr="0015116B">
        <w:t>10</w:t>
      </w:r>
      <w:r w:rsidR="00702E25" w:rsidRPr="0015116B">
        <w:t xml:space="preserve"> for marginal distributions of fits to the survey compositional data.</w:t>
      </w:r>
    </w:p>
    <w:p w14:paraId="435103C8" w14:textId="77777777" w:rsidR="00935A8A" w:rsidRPr="0015116B" w:rsidRDefault="009611C8" w:rsidP="009611C8">
      <w:pPr>
        <w:pStyle w:val="Heading6"/>
      </w:pPr>
      <w:r w:rsidRPr="0015116B">
        <w:t xml:space="preserve">vi. </w:t>
      </w:r>
      <w:r w:rsidR="00935A8A" w:rsidRPr="0015116B">
        <w:t>Plots of implied versus input effective sample sizes and time-series of implied effective sample sizes.</w:t>
      </w:r>
    </w:p>
    <w:p w14:paraId="160AEF1E" w14:textId="054FD14B" w:rsidR="0004249C" w:rsidRPr="0015116B" w:rsidRDefault="00702E25" w:rsidP="0004249C">
      <w:r w:rsidRPr="0015116B">
        <w:t xml:space="preserve">See Appendix </w:t>
      </w:r>
      <w:r w:rsidR="00464B02" w:rsidRPr="0015116B">
        <w:t>9</w:t>
      </w:r>
      <w:r w:rsidRPr="0015116B">
        <w:t xml:space="preserve"> for time-series of implied effective sample sizes for the fishery compositional data. See Appendix </w:t>
      </w:r>
      <w:r w:rsidR="00464B02" w:rsidRPr="0015116B">
        <w:t>10</w:t>
      </w:r>
      <w:r w:rsidRPr="0015116B">
        <w:t xml:space="preserve"> for time-series of implied effective sample sizes for the survey compositional data</w:t>
      </w:r>
      <w:r w:rsidR="00490856" w:rsidRPr="0015116B">
        <w:t xml:space="preserve">. </w:t>
      </w:r>
    </w:p>
    <w:p w14:paraId="3C84151C" w14:textId="77777777" w:rsidR="00935A8A" w:rsidRPr="0015116B" w:rsidRDefault="009611C8" w:rsidP="009611C8">
      <w:pPr>
        <w:pStyle w:val="Heading6"/>
      </w:pPr>
      <w:r w:rsidRPr="0015116B">
        <w:t xml:space="preserve">vii. </w:t>
      </w:r>
      <w:r w:rsidR="00935A8A" w:rsidRPr="0015116B">
        <w:t>Tables of the RMSEs for the indices (and a comparison with the assumed values for the coefficients of variation assumed for the indices).</w:t>
      </w:r>
    </w:p>
    <w:p w14:paraId="322AAA64" w14:textId="0A1E48DB" w:rsidR="00A524E4" w:rsidRPr="0015116B" w:rsidRDefault="00345609" w:rsidP="00A524E4">
      <w:r w:rsidRPr="0015116B">
        <w:t>Root mean square error (</w:t>
      </w:r>
      <w:r w:rsidR="00556210" w:rsidRPr="0015116B">
        <w:t>RMSEs</w:t>
      </w:r>
      <w:r w:rsidRPr="0015116B">
        <w:t>)</w:t>
      </w:r>
      <w:r w:rsidR="00556210" w:rsidRPr="0015116B">
        <w:t xml:space="preserve"> for </w:t>
      </w:r>
      <w:r w:rsidR="00163CB1" w:rsidRPr="0015116B">
        <w:t xml:space="preserve">fits to </w:t>
      </w:r>
      <w:r w:rsidR="00CD2D3E" w:rsidRPr="0015116B">
        <w:t xml:space="preserve">various </w:t>
      </w:r>
      <w:r w:rsidR="00163CB1" w:rsidRPr="0015116B">
        <w:t>datasets are provided in Table</w:t>
      </w:r>
      <w:r w:rsidRPr="0015116B">
        <w:t xml:space="preserve"> 26, but no comparison is available with the </w:t>
      </w:r>
      <w:proofErr w:type="spellStart"/>
      <w:r w:rsidRPr="0015116B">
        <w:t>cv’s</w:t>
      </w:r>
      <w:proofErr w:type="spellEnd"/>
      <w:r w:rsidRPr="0015116B">
        <w:t xml:space="preserve"> assumed for the indices</w:t>
      </w:r>
      <w:r w:rsidR="00163CB1" w:rsidRPr="0015116B">
        <w:t>.</w:t>
      </w:r>
      <w:r w:rsidRPr="0015116B">
        <w:t xml:space="preserve"> The author requests guidance on how the </w:t>
      </w:r>
      <w:proofErr w:type="spellStart"/>
      <w:r w:rsidRPr="0015116B">
        <w:t>cv’s</w:t>
      </w:r>
      <w:proofErr w:type="spellEnd"/>
      <w:r w:rsidRPr="0015116B">
        <w:t xml:space="preserve"> for time series indices should be combined to compare with the RMSEs.</w:t>
      </w:r>
      <w:r w:rsidR="00163CB1" w:rsidRPr="0015116B">
        <w:t xml:space="preserve"> </w:t>
      </w:r>
    </w:p>
    <w:p w14:paraId="29D7824A" w14:textId="77777777" w:rsidR="00935A8A" w:rsidRPr="0015116B" w:rsidRDefault="009611C8" w:rsidP="009611C8">
      <w:pPr>
        <w:pStyle w:val="Heading6"/>
      </w:pPr>
      <w:r w:rsidRPr="0015116B">
        <w:t xml:space="preserve">viii. </w:t>
      </w:r>
      <w:r w:rsidR="00935A8A" w:rsidRPr="0015116B">
        <w:t>Quantile-quantile (q-q) plots and histograms of residuals (to the indices and compositional data) to justify the choices of sampling distributions for the data.</w:t>
      </w:r>
    </w:p>
    <w:p w14:paraId="4BAE210E" w14:textId="338E868C" w:rsidR="00A524E4" w:rsidRPr="0015116B" w:rsidRDefault="00702E25" w:rsidP="00A524E4">
      <w:r w:rsidRPr="0015116B">
        <w:t>Q</w:t>
      </w:r>
      <w:r w:rsidR="00556210" w:rsidRPr="0015116B">
        <w:t>uantile-quantile (q-q) plots and histograms of residuals were not completed for th</w:t>
      </w:r>
      <w:r w:rsidRPr="0015116B">
        <w:t>is</w:t>
      </w:r>
      <w:r w:rsidR="00556210" w:rsidRPr="0015116B">
        <w:t xml:space="preserve"> assessment.</w:t>
      </w:r>
    </w:p>
    <w:p w14:paraId="7236FD8F" w14:textId="77777777" w:rsidR="00935A8A" w:rsidRPr="0015116B" w:rsidRDefault="009611C8" w:rsidP="009611C8">
      <w:pPr>
        <w:pStyle w:val="Heading4"/>
      </w:pPr>
      <w:r w:rsidRPr="0015116B">
        <w:lastRenderedPageBreak/>
        <w:t xml:space="preserve">f. </w:t>
      </w:r>
      <w:r w:rsidR="00935A8A" w:rsidRPr="0015116B">
        <w:t>Retrospective and historic analyses (retrospective analyses involve taking the “best” model and truncating the time-series of data on which the assessment is based; a historic analysis involves plotting the results from previous assessments).</w:t>
      </w:r>
    </w:p>
    <w:p w14:paraId="42AA513B" w14:textId="77777777" w:rsidR="00935A8A" w:rsidRPr="0015116B" w:rsidRDefault="00EA325B" w:rsidP="00EA325B">
      <w:pPr>
        <w:pStyle w:val="Heading6"/>
      </w:pPr>
      <w:proofErr w:type="spellStart"/>
      <w:r w:rsidRPr="0015116B">
        <w:t>i</w:t>
      </w:r>
      <w:proofErr w:type="spellEnd"/>
      <w:r w:rsidRPr="0015116B">
        <w:t xml:space="preserve">. </w:t>
      </w:r>
      <w:r w:rsidR="00935A8A" w:rsidRPr="0015116B">
        <w:t>Retrospective analysis (retrospective bias in base model or models).</w:t>
      </w:r>
    </w:p>
    <w:p w14:paraId="1AFB2F0F" w14:textId="2B9CD09E" w:rsidR="00A524E4" w:rsidRPr="0015116B" w:rsidRDefault="006A265C" w:rsidP="00A524E4">
      <w:r w:rsidRPr="0015116B">
        <w:t>Retrospective analyses were conducted for both 19.03(2020) and 20.10</w:t>
      </w:r>
      <w:r w:rsidR="00B61C14" w:rsidRPr="0015116B">
        <w:t xml:space="preserve">. </w:t>
      </w:r>
      <w:r w:rsidR="006E7F58" w:rsidRPr="0015116B">
        <w:t xml:space="preserve">The analysis for 19.03 used 9 “peels’ of annual data (2020-2011), with the model re-fit after each removal of the terminal year’s data. </w:t>
      </w:r>
      <w:r w:rsidR="00B61C14" w:rsidRPr="0015116B">
        <w:t>The analysis for 20.10 was limited to 2013-2020 because no BSFRF SBS surveys were available before 2013.</w:t>
      </w:r>
      <w:r w:rsidR="006E7F58" w:rsidRPr="0015116B">
        <w:t xml:space="preserve"> </w:t>
      </w:r>
      <w:r w:rsidR="008D593A" w:rsidRPr="0015116B">
        <w:t>For each scenario, time series plots of recruitment and MMB were made to identify potential patterns in how the terminal year’s estimate for each peel differed from the model result using the complete dataset. Relative bias in the terminal year estimates was quantified using Mohn’s rho (</w:t>
      </w:r>
      <w:proofErr w:type="spellStart"/>
      <w:r w:rsidR="008D593A" w:rsidRPr="0015116B">
        <w:t>Mohn</w:t>
      </w:r>
      <w:proofErr w:type="spellEnd"/>
      <w:r w:rsidR="008D593A" w:rsidRPr="0015116B">
        <w:t xml:space="preserve">, 1999). The retrospective patterns </w:t>
      </w:r>
      <w:r w:rsidR="00A45BBB" w:rsidRPr="0015116B">
        <w:t xml:space="preserve">don’t indicate any </w:t>
      </w:r>
      <w:r w:rsidR="00D5054A" w:rsidRPr="0015116B">
        <w:t>apparent</w:t>
      </w:r>
      <w:r w:rsidR="00A45BBB" w:rsidRPr="0015116B">
        <w:t xml:space="preserve"> problems </w:t>
      </w:r>
      <w:r w:rsidR="008D593A" w:rsidRPr="0015116B">
        <w:t>(Figures</w:t>
      </w:r>
      <w:r w:rsidR="003511DF" w:rsidRPr="0015116B">
        <w:t xml:space="preserve"> </w:t>
      </w:r>
      <w:r w:rsidR="0015116B">
        <w:t>60-63</w:t>
      </w:r>
      <w:r w:rsidR="009A24EB" w:rsidRPr="0015116B">
        <w:t>). Mohn’s rho was 0.986 and 0.737</w:t>
      </w:r>
      <w:r w:rsidR="00D5054A" w:rsidRPr="0015116B">
        <w:t xml:space="preserve"> for the recruitment patterns and -0.0471 and 0.0187 for the MMB patterns</w:t>
      </w:r>
      <w:r w:rsidR="009A24EB" w:rsidRPr="0015116B">
        <w:t xml:space="preserve"> for 19.03(2020) and </w:t>
      </w:r>
      <w:r w:rsidR="00D5054A" w:rsidRPr="0015116B">
        <w:t xml:space="preserve">20.10, respectively. </w:t>
      </w:r>
    </w:p>
    <w:p w14:paraId="31491822" w14:textId="7DD5A584" w:rsidR="00935A8A" w:rsidRPr="0015116B" w:rsidRDefault="00EA325B" w:rsidP="00EA325B">
      <w:pPr>
        <w:pStyle w:val="Heading6"/>
      </w:pPr>
      <w:r w:rsidRPr="0015116B">
        <w:t xml:space="preserve">ii. </w:t>
      </w:r>
      <w:r w:rsidR="00935A8A" w:rsidRPr="0015116B">
        <w:t>Historic</w:t>
      </w:r>
      <w:r w:rsidR="009C4956" w:rsidRPr="0015116B">
        <w:t>al</w:t>
      </w:r>
      <w:r w:rsidR="00935A8A" w:rsidRPr="0015116B">
        <w:t xml:space="preserve"> analysis (plot of actual estimates from current and previous assessments).</w:t>
      </w:r>
    </w:p>
    <w:p w14:paraId="5C2FA758" w14:textId="50AA6C1A" w:rsidR="00A524E4" w:rsidRPr="0015116B" w:rsidRDefault="00C775E9" w:rsidP="00A524E4">
      <w:r w:rsidRPr="0015116B">
        <w:t xml:space="preserve">Estimated recruitment and mature biomass time series from previous assessments (2017-2019) are compared with those from Scenario 20.20 in Figure </w:t>
      </w:r>
      <w:r w:rsidR="0015116B">
        <w:t>64</w:t>
      </w:r>
      <w:r w:rsidRPr="0015116B">
        <w:t>. The temporal patterns are quite similar across the assessments, but the scale varies among them—with 20.20 exhibiting an overall scale intermediate between 2017 and 2018 (low) and 2019 (high).</w:t>
      </w:r>
    </w:p>
    <w:p w14:paraId="2B33B063" w14:textId="77777777" w:rsidR="00935A8A" w:rsidRPr="0015116B" w:rsidRDefault="009611C8" w:rsidP="009611C8">
      <w:pPr>
        <w:pStyle w:val="Heading4"/>
      </w:pPr>
      <w:r w:rsidRPr="0015116B">
        <w:t xml:space="preserve">g. </w:t>
      </w:r>
      <w:r w:rsidR="00935A8A" w:rsidRPr="0015116B">
        <w:t>Uncertainty and sensitivity analyses</w:t>
      </w:r>
    </w:p>
    <w:p w14:paraId="003DFCE9" w14:textId="7EE78CFD" w:rsidR="00843749" w:rsidRPr="0015116B" w:rsidRDefault="009C4956" w:rsidP="007316E9">
      <w:r w:rsidRPr="0015116B">
        <w:t>MCMC runs were completed for scenario</w:t>
      </w:r>
      <w:r w:rsidR="00163CB1" w:rsidRPr="0015116B">
        <w:t xml:space="preserve"> </w:t>
      </w:r>
      <w:r w:rsidR="00D66639" w:rsidRPr="0015116B">
        <w:t>19.03(2020) and 20.07</w:t>
      </w:r>
      <w:r w:rsidRPr="0015116B">
        <w:t xml:space="preserve"> to explore model uncertainty. </w:t>
      </w:r>
      <w:r w:rsidR="00D66639" w:rsidRPr="0015116B">
        <w:t>Prior MCMC runs with 10 million iterations per chain took over 3 days to complete each chain. Consequently, t</w:t>
      </w:r>
      <w:r w:rsidR="00163CB1" w:rsidRPr="0015116B">
        <w:t>he</w:t>
      </w:r>
      <w:r w:rsidR="00843749" w:rsidRPr="0015116B">
        <w:t xml:space="preserve"> model</w:t>
      </w:r>
      <w:r w:rsidR="00D66639" w:rsidRPr="0015116B">
        <w:t>s</w:t>
      </w:r>
      <w:r w:rsidR="00843749" w:rsidRPr="0015116B">
        <w:t xml:space="preserve"> w</w:t>
      </w:r>
      <w:r w:rsidR="00D66639" w:rsidRPr="0015116B">
        <w:t>ere</w:t>
      </w:r>
      <w:r w:rsidR="00843749" w:rsidRPr="0015116B">
        <w:t xml:space="preserve"> run </w:t>
      </w:r>
      <w:r w:rsidR="00D66639" w:rsidRPr="0015116B">
        <w:t>to create</w:t>
      </w:r>
      <w:r w:rsidR="00843749" w:rsidRPr="0015116B">
        <w:t xml:space="preserve"> </w:t>
      </w:r>
      <w:r w:rsidR="000757AA" w:rsidRPr="0015116B">
        <w:t>four</w:t>
      </w:r>
      <w:r w:rsidR="00843749" w:rsidRPr="0015116B">
        <w:t xml:space="preserve"> chain</w:t>
      </w:r>
      <w:r w:rsidR="000757AA" w:rsidRPr="0015116B">
        <w:t>s</w:t>
      </w:r>
      <w:r w:rsidR="00843749" w:rsidRPr="0015116B">
        <w:t xml:space="preserve">, </w:t>
      </w:r>
      <w:r w:rsidR="00D66639" w:rsidRPr="0015116B">
        <w:t xml:space="preserve">each </w:t>
      </w:r>
      <w:r w:rsidR="00843749" w:rsidRPr="0015116B">
        <w:t>w</w:t>
      </w:r>
      <w:r w:rsidR="00D66639" w:rsidRPr="0015116B">
        <w:t>ith</w:t>
      </w:r>
      <w:r w:rsidR="00843749" w:rsidRPr="0015116B">
        <w:t xml:space="preserve"> </w:t>
      </w:r>
      <w:r w:rsidR="000757AA" w:rsidRPr="0015116B">
        <w:t>1</w:t>
      </w:r>
      <w:r w:rsidR="00843749" w:rsidRPr="0015116B">
        <w:t xml:space="preserve"> million iterations</w:t>
      </w:r>
      <w:r w:rsidR="00D66639" w:rsidRPr="0015116B">
        <w:t xml:space="preserve"> and a thinning factor of 2,000</w:t>
      </w:r>
      <w:r w:rsidR="000757AA" w:rsidRPr="0015116B">
        <w:t xml:space="preserve"> </w:t>
      </w:r>
      <w:r w:rsidR="00843749" w:rsidRPr="0015116B">
        <w:t xml:space="preserve">to reduce serial autocorrelation, </w:t>
      </w:r>
      <w:r w:rsidR="00D66639" w:rsidRPr="0015116B">
        <w:t>yielding</w:t>
      </w:r>
      <w:r w:rsidR="009344F9" w:rsidRPr="0015116B">
        <w:t xml:space="preserve"> 400 samples</w:t>
      </w:r>
      <w:r w:rsidR="000757AA" w:rsidRPr="0015116B">
        <w:t xml:space="preserve"> per chain</w:t>
      </w:r>
      <w:r w:rsidR="00843749" w:rsidRPr="0015116B">
        <w:t xml:space="preserve">. </w:t>
      </w:r>
      <w:r w:rsidR="00D66639" w:rsidRPr="0015116B">
        <w:t xml:space="preserve">Each chain took ~10 hours to complete. Unfortunately, trace plots (Figure </w:t>
      </w:r>
      <w:r w:rsidR="0001298A">
        <w:t>65</w:t>
      </w:r>
      <w:r w:rsidR="00D66639" w:rsidRPr="0015116B">
        <w:t xml:space="preserve">, </w:t>
      </w:r>
      <w:r w:rsidR="0001298A">
        <w:t>67</w:t>
      </w:r>
      <w:r w:rsidR="00D66639" w:rsidRPr="0015116B">
        <w:t xml:space="preserve">) and histograms (Figures </w:t>
      </w:r>
      <w:r w:rsidR="0001298A">
        <w:t>66</w:t>
      </w:r>
      <w:r w:rsidR="00D66639" w:rsidRPr="0015116B">
        <w:t xml:space="preserve">, </w:t>
      </w:r>
      <w:r w:rsidR="0001298A">
        <w:t>68</w:t>
      </w:r>
      <w:r w:rsidR="00D66639" w:rsidRPr="0015116B">
        <w:t>) of OFL-related quantities indicated mixing was insufficient for both models</w:t>
      </w:r>
      <w:r w:rsidR="007316E9" w:rsidRPr="0015116B">
        <w:t>, although the situation seemed much worse for 19.03(2020).</w:t>
      </w:r>
      <w:r w:rsidR="0092071F" w:rsidRPr="0015116B">
        <w:t xml:space="preserve"> </w:t>
      </w:r>
    </w:p>
    <w:p w14:paraId="7520EED9" w14:textId="77777777" w:rsidR="00935A8A" w:rsidRPr="0015116B" w:rsidRDefault="00E6693C" w:rsidP="00E6693C">
      <w:pPr>
        <w:pStyle w:val="Heading1"/>
      </w:pPr>
      <w:r w:rsidRPr="0015116B">
        <w:t xml:space="preserve">F. </w:t>
      </w:r>
      <w:r w:rsidR="00935A8A" w:rsidRPr="0015116B">
        <w:t>Calculation of the OFL</w:t>
      </w:r>
      <w:r w:rsidR="00DB1C2A" w:rsidRPr="0015116B">
        <w:t xml:space="preserve"> and ABC</w:t>
      </w:r>
    </w:p>
    <w:p w14:paraId="0B77FFD5" w14:textId="77777777" w:rsidR="00DB1C2A" w:rsidRPr="0015116B" w:rsidRDefault="00DB1C2A" w:rsidP="00DB1C2A">
      <w:pPr>
        <w:pStyle w:val="Heading2"/>
      </w:pPr>
      <w:r w:rsidRPr="0015116B">
        <w:t>1. Status determination and OFL calculation</w:t>
      </w:r>
    </w:p>
    <w:p w14:paraId="159E51BE" w14:textId="77777777" w:rsidR="00246DFD" w:rsidRPr="0015116B" w:rsidRDefault="00ED69BD" w:rsidP="004E483B">
      <w:r w:rsidRPr="0015116B">
        <w:t>EBS Tanner crab was elevated to Tier 3 status following acceptance of the TCSAM by the CPT and SSC in 2012. Based upon results from the model, the stock was subsequently declared rebuilt and not overfished.</w:t>
      </w:r>
      <w:r w:rsidR="005519A7" w:rsidRPr="0015116B">
        <w:t xml:space="preserve"> Consequently, EBS Tanner crab is assessed as a Tier 3 stock for status determination and OFL setting. </w:t>
      </w:r>
    </w:p>
    <w:p w14:paraId="75B2A4CF" w14:textId="028A7F52" w:rsidR="00247CA6" w:rsidRPr="0015116B" w:rsidRDefault="00246DFD" w:rsidP="004E483B">
      <w:r w:rsidRPr="0015116B">
        <w:t>The (total catch) OFL for 201</w:t>
      </w:r>
      <w:r w:rsidR="000D3752" w:rsidRPr="0015116B">
        <w:t>9/20</w:t>
      </w:r>
      <w:r w:rsidRPr="0015116B">
        <w:t xml:space="preserve"> was </w:t>
      </w:r>
      <w:r w:rsidR="00741806" w:rsidRPr="0015116B">
        <w:t>2</w:t>
      </w:r>
      <w:r w:rsidR="000D3752" w:rsidRPr="0015116B">
        <w:t>8.86</w:t>
      </w:r>
      <w:r w:rsidRPr="0015116B">
        <w:t xml:space="preserve"> thousand t while the total catch mortality was </w:t>
      </w:r>
      <w:r w:rsidR="000D3752" w:rsidRPr="0015116B">
        <w:t>0.54</w:t>
      </w:r>
      <w:r w:rsidRPr="0015116B">
        <w:t xml:space="preserve"> thousand t, based on applying mortality rates of </w:t>
      </w:r>
      <w:r w:rsidR="00C748B9" w:rsidRPr="0015116B">
        <w:t xml:space="preserve">1.000 for retained catch, </w:t>
      </w:r>
      <w:r w:rsidRPr="0015116B">
        <w:t>0.</w:t>
      </w:r>
      <w:r w:rsidR="006C050E" w:rsidRPr="0015116B">
        <w:t>321</w:t>
      </w:r>
      <w:r w:rsidRPr="0015116B">
        <w:t xml:space="preserve"> </w:t>
      </w:r>
      <w:r w:rsidR="00C748B9" w:rsidRPr="0015116B">
        <w:t>to</w:t>
      </w:r>
      <w:r w:rsidRPr="0015116B">
        <w:t xml:space="preserve"> </w:t>
      </w:r>
      <w:r w:rsidR="00C748B9" w:rsidRPr="0015116B">
        <w:t xml:space="preserve">bycatch in the crab </w:t>
      </w:r>
      <w:r w:rsidRPr="0015116B">
        <w:t>fisheries</w:t>
      </w:r>
      <w:r w:rsidR="00C748B9" w:rsidRPr="0015116B">
        <w:t>,</w:t>
      </w:r>
      <w:r w:rsidRPr="0015116B">
        <w:t xml:space="preserve"> and 0.8</w:t>
      </w:r>
      <w:r w:rsidR="00C748B9" w:rsidRPr="0015116B">
        <w:t>00</w:t>
      </w:r>
      <w:r w:rsidRPr="0015116B">
        <w:t xml:space="preserve"> </w:t>
      </w:r>
      <w:r w:rsidR="00C748B9" w:rsidRPr="0015116B">
        <w:t>to bycatch in</w:t>
      </w:r>
      <w:r w:rsidRPr="0015116B">
        <w:t xml:space="preserve"> the groundfish fisheries to the </w:t>
      </w:r>
      <w:r w:rsidR="00232D54" w:rsidRPr="0015116B">
        <w:t>model-estimated</w:t>
      </w:r>
      <w:r w:rsidRPr="0015116B">
        <w:t xml:space="preserve"> catch by fleet for 201</w:t>
      </w:r>
      <w:r w:rsidR="000D3752" w:rsidRPr="0015116B">
        <w:t>9/20</w:t>
      </w:r>
      <w:r w:rsidRPr="0015116B">
        <w:t xml:space="preserve">. Therefore </w:t>
      </w:r>
      <w:r w:rsidRPr="0015116B">
        <w:rPr>
          <w:b/>
        </w:rPr>
        <w:t>overfishing did not occur</w:t>
      </w:r>
      <w:r w:rsidRPr="0015116B">
        <w:t>.</w:t>
      </w:r>
    </w:p>
    <w:p w14:paraId="6169A1A4" w14:textId="6DEBA9FC" w:rsidR="004E483B" w:rsidRPr="0015116B" w:rsidRDefault="004E483B" w:rsidP="004E483B">
      <w:r w:rsidRPr="0015116B">
        <w:t>Amendment 24 to the NPFMC fishery management plan (NPFMC 2007) revised the definitions for overfishing fo</w:t>
      </w:r>
      <w:r w:rsidR="00B92AC6" w:rsidRPr="0015116B">
        <w:t xml:space="preserve">r EBS crab stocks. </w:t>
      </w:r>
      <w:r w:rsidRPr="0015116B">
        <w:t>The information provided in this assessment is sufficient to estimate overfishing limi</w:t>
      </w:r>
      <w:r w:rsidR="00B92AC6" w:rsidRPr="0015116B">
        <w:t>ts for Tanner crab under Tier 3</w:t>
      </w:r>
      <w:r w:rsidRPr="0015116B">
        <w:t>. The OFL control rule for Tier 3</w:t>
      </w:r>
      <w:r w:rsidR="001D52DA" w:rsidRPr="0015116B">
        <w:t xml:space="preserve"> is (Figure</w:t>
      </w:r>
      <w:r w:rsidR="00CF3F9B" w:rsidRPr="0015116B">
        <w:t xml:space="preserve"> </w:t>
      </w:r>
      <w:r w:rsidR="0001298A">
        <w:t>69</w:t>
      </w:r>
      <w:r w:rsidR="00CF3F9B" w:rsidRPr="0015116B">
        <w:t>):</w:t>
      </w:r>
      <w:r w:rsidRPr="0015116B">
        <w:t xml:space="preserve"> </w:t>
      </w:r>
    </w:p>
    <w:p w14:paraId="2C6B07F1" w14:textId="77777777" w:rsidR="004E483B" w:rsidRPr="0015116B" w:rsidRDefault="004E483B" w:rsidP="004E483B">
      <w:r w:rsidRPr="0015116B">
        <w:rPr>
          <w:noProof/>
        </w:rPr>
        <w:lastRenderedPageBreak/>
        <w:drawing>
          <wp:inline distT="0" distB="0" distL="0" distR="0" wp14:anchorId="2EEAE1A3" wp14:editId="03DEF73F">
            <wp:extent cx="5943600" cy="1298314"/>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43600" cy="1298314"/>
                    </a:xfrm>
                    <a:prstGeom prst="rect">
                      <a:avLst/>
                    </a:prstGeom>
                    <a:noFill/>
                    <a:ln w="9525">
                      <a:noFill/>
                      <a:miter lim="800000"/>
                      <a:headEnd/>
                      <a:tailEnd/>
                    </a:ln>
                  </pic:spPr>
                </pic:pic>
              </a:graphicData>
            </a:graphic>
          </wp:inline>
        </w:drawing>
      </w:r>
    </w:p>
    <w:p w14:paraId="211C6997" w14:textId="0A0E5D99" w:rsidR="00CF3F9B" w:rsidRPr="0015116B" w:rsidRDefault="00CF3F9B" w:rsidP="004E483B">
      <w:pPr>
        <w:rPr>
          <w:rFonts w:eastAsiaTheme="minorEastAsia"/>
        </w:rPr>
      </w:pPr>
      <w:r w:rsidRPr="0015116B">
        <w:t xml:space="preserve">and </w:t>
      </w:r>
      <w:r w:rsidR="004E483B" w:rsidRPr="0015116B">
        <w:t>is based on an estimate of “current” spawning biomass at mating (</w:t>
      </w:r>
      <w:r w:rsidR="004E483B" w:rsidRPr="0015116B">
        <w:rPr>
          <w:i/>
        </w:rPr>
        <w:t>B</w:t>
      </w:r>
      <w:r w:rsidR="004E483B" w:rsidRPr="0015116B">
        <w:t xml:space="preserve"> above, taken as </w:t>
      </w:r>
      <w:r w:rsidR="00232D54" w:rsidRPr="0015116B">
        <w:t xml:space="preserve">the projected </w:t>
      </w:r>
      <w:r w:rsidR="004E483B" w:rsidRPr="0015116B">
        <w:t>MMB at mating</w:t>
      </w:r>
      <w:r w:rsidR="00E62B84" w:rsidRPr="0015116B">
        <w:t xml:space="preserve"> in the assessment year) and </w:t>
      </w:r>
      <w:r w:rsidR="00B92AC6" w:rsidRPr="0015116B">
        <w:t>spawning biomass per recruit (SBPR)</w:t>
      </w:r>
      <w:r w:rsidR="00E62B84" w:rsidRPr="0015116B">
        <w:t>-based proxies for F</w:t>
      </w:r>
      <w:r w:rsidR="00E62B84" w:rsidRPr="0015116B">
        <w:rPr>
          <w:vertAlign w:val="subscript"/>
        </w:rPr>
        <w:t>MSY</w:t>
      </w:r>
      <w:r w:rsidR="00E62B84" w:rsidRPr="0015116B">
        <w:t xml:space="preserve"> and B</w:t>
      </w:r>
      <w:r w:rsidR="00E62B84" w:rsidRPr="0015116B">
        <w:rPr>
          <w:vertAlign w:val="subscript"/>
        </w:rPr>
        <w:t>MSY</w:t>
      </w:r>
      <w:r w:rsidR="00E62B84" w:rsidRPr="0015116B">
        <w:t xml:space="preserve">. </w:t>
      </w:r>
      <w:r w:rsidRPr="0015116B">
        <w:t>In the above</w:t>
      </w:r>
      <w:r w:rsidR="00B92AC6" w:rsidRPr="0015116B">
        <w:t xml:space="preserve"> equations</w:t>
      </w:r>
      <w:r w:rsidRPr="0015116B">
        <w:t xml:space="preserve">, </w:t>
      </w:r>
      <w:r w:rsidRPr="0015116B">
        <w:sym w:font="Symbol" w:char="F061"/>
      </w:r>
      <w:r w:rsidRPr="0015116B">
        <w:t xml:space="preserve">=0.1 and </w:t>
      </w:r>
      <w:r w:rsidRPr="0015116B">
        <w:rPr>
          <w:rFonts w:cs="Times New Roman"/>
        </w:rPr>
        <w:t>β</w:t>
      </w:r>
      <w:r w:rsidRPr="0015116B">
        <w:t xml:space="preserve">=0.25. </w:t>
      </w:r>
      <w:r w:rsidR="00E62B84" w:rsidRPr="0015116B">
        <w:t>For Tanner crab, the proxy for F</w:t>
      </w:r>
      <w:r w:rsidR="00E62B84" w:rsidRPr="0015116B">
        <w:rPr>
          <w:vertAlign w:val="subscript"/>
        </w:rPr>
        <w:t>MSY</w:t>
      </w:r>
      <w:r w:rsidR="00E62B84" w:rsidRPr="0015116B">
        <w:t xml:space="preserve"> is F</w:t>
      </w:r>
      <w:r w:rsidR="00E62B84" w:rsidRPr="0015116B">
        <w:rPr>
          <w:vertAlign w:val="subscript"/>
        </w:rPr>
        <w:t>35%</w:t>
      </w:r>
      <w:r w:rsidR="00E62B84" w:rsidRPr="0015116B">
        <w:t xml:space="preserve">, the fishing mortality that reduces the </w:t>
      </w:r>
      <w:r w:rsidR="00B92AC6" w:rsidRPr="0015116B">
        <w:t xml:space="preserve">SBPR </w:t>
      </w:r>
      <w:r w:rsidR="00E62B84" w:rsidRPr="0015116B">
        <w:t xml:space="preserve">to 35% of its value for an unfished stock. Thus, if </w:t>
      </w:r>
      <m:oMath>
        <m:r>
          <w:rPr>
            <w:rFonts w:ascii="Cambria Math" w:hAnsi="Cambria Math"/>
          </w:rPr>
          <m:t>ϕ(F)</m:t>
        </m:r>
      </m:oMath>
      <w:r w:rsidR="00E62B84" w:rsidRPr="0015116B">
        <w:rPr>
          <w:rFonts w:eastAsiaTheme="minorEastAsia"/>
        </w:rPr>
        <w:t xml:space="preserve"> is </w:t>
      </w:r>
      <w:r w:rsidR="00B92AC6" w:rsidRPr="0015116B">
        <w:rPr>
          <w:rFonts w:eastAsiaTheme="minorEastAsia"/>
        </w:rPr>
        <w:t>the SBPR</w:t>
      </w:r>
      <w:r w:rsidR="00E62B84" w:rsidRPr="0015116B">
        <w:rPr>
          <w:rFonts w:eastAsiaTheme="minorEastAsia"/>
        </w:rPr>
        <w:t xml:space="preserve"> at fishing mortality </w:t>
      </w:r>
      <w:r w:rsidR="00E62B84" w:rsidRPr="0015116B">
        <w:rPr>
          <w:rFonts w:eastAsiaTheme="minorEastAsia"/>
          <w:i/>
        </w:rPr>
        <w:t>F</w:t>
      </w:r>
      <w:r w:rsidR="00E62B84" w:rsidRPr="0015116B">
        <w:rPr>
          <w:rFonts w:eastAsiaTheme="minorEastAsia"/>
        </w:rPr>
        <w:t>, then F</w:t>
      </w:r>
      <w:r w:rsidR="00E62B84" w:rsidRPr="0015116B">
        <w:rPr>
          <w:rFonts w:eastAsiaTheme="minorEastAsia"/>
          <w:vertAlign w:val="subscript"/>
        </w:rPr>
        <w:t>35%</w:t>
      </w:r>
      <w:r w:rsidR="00E62B84" w:rsidRPr="0015116B">
        <w:rPr>
          <w:rFonts w:eastAsiaTheme="minorEastAsia"/>
        </w:rPr>
        <w:t xml:space="preserve"> is the value of fishing mortality that yields </w:t>
      </w:r>
      <m:oMath>
        <m:r>
          <w:rPr>
            <w:rFonts w:ascii="Cambria Math" w:hAnsi="Cambria Math"/>
          </w:rPr>
          <m:t>ϕ</m:t>
        </m:r>
        <m:d>
          <m:dPr>
            <m:ctrlPr>
              <w:rPr>
                <w:rFonts w:ascii="Cambria Math" w:hAnsi="Cambria Math"/>
                <w:i/>
              </w:rPr>
            </m:ctrlPr>
          </m:dPr>
          <m:e>
            <m:r>
              <w:rPr>
                <w:rFonts w:ascii="Cambria Math" w:hAnsi="Cambria Math"/>
              </w:rPr>
              <m:t>F</m:t>
            </m:r>
          </m:e>
        </m:d>
        <m:r>
          <w:rPr>
            <w:rFonts w:ascii="Cambria Math" w:hAnsi="Cambria Math"/>
          </w:rPr>
          <m:t>=0.35∙ϕ</m:t>
        </m:r>
        <m:d>
          <m:dPr>
            <m:ctrlPr>
              <w:rPr>
                <w:rFonts w:ascii="Cambria Math" w:hAnsi="Cambria Math"/>
                <w:i/>
              </w:rPr>
            </m:ctrlPr>
          </m:dPr>
          <m:e>
            <m:r>
              <w:rPr>
                <w:rFonts w:ascii="Cambria Math" w:hAnsi="Cambria Math"/>
              </w:rPr>
              <m:t>0</m:t>
            </m:r>
          </m:e>
        </m:d>
      </m:oMath>
      <w:r w:rsidR="00565AA2" w:rsidRPr="0015116B">
        <w:rPr>
          <w:rFonts w:eastAsiaTheme="minorEastAsia"/>
        </w:rPr>
        <w:t>. The Tier 3 proxy for B</w:t>
      </w:r>
      <w:r w:rsidR="00565AA2" w:rsidRPr="0015116B">
        <w:rPr>
          <w:rFonts w:eastAsiaTheme="minorEastAsia"/>
          <w:vertAlign w:val="subscript"/>
        </w:rPr>
        <w:t>MSY</w:t>
      </w:r>
      <w:r w:rsidR="00565AA2" w:rsidRPr="0015116B">
        <w:rPr>
          <w:rFonts w:eastAsiaTheme="minorEastAsia"/>
        </w:rPr>
        <w:t xml:space="preserve"> is B</w:t>
      </w:r>
      <w:r w:rsidR="00565AA2" w:rsidRPr="0015116B">
        <w:rPr>
          <w:rFonts w:eastAsiaTheme="minorEastAsia"/>
          <w:vertAlign w:val="subscript"/>
        </w:rPr>
        <w:t>35%</w:t>
      </w:r>
      <w:r w:rsidR="00565AA2" w:rsidRPr="0015116B">
        <w:rPr>
          <w:rFonts w:eastAsiaTheme="minorEastAsia"/>
        </w:rPr>
        <w:t>, the equilibrium biomass achieved when fishing at F</w:t>
      </w:r>
      <w:r w:rsidR="00565AA2" w:rsidRPr="0015116B">
        <w:rPr>
          <w:rFonts w:eastAsiaTheme="minorEastAsia"/>
          <w:vertAlign w:val="subscript"/>
        </w:rPr>
        <w:t>35%</w:t>
      </w:r>
      <w:r w:rsidR="00565AA2" w:rsidRPr="0015116B">
        <w:rPr>
          <w:rFonts w:eastAsiaTheme="minorEastAsia"/>
        </w:rPr>
        <w:t>, where B</w:t>
      </w:r>
      <w:r w:rsidR="00565AA2" w:rsidRPr="0015116B">
        <w:rPr>
          <w:rFonts w:eastAsiaTheme="minorEastAsia"/>
          <w:vertAlign w:val="subscript"/>
        </w:rPr>
        <w:t>35%</w:t>
      </w:r>
      <w:r w:rsidR="00565AA2" w:rsidRPr="0015116B">
        <w:rPr>
          <w:rFonts w:eastAsiaTheme="minorEastAsia"/>
        </w:rPr>
        <w:t xml:space="preserve"> is simply 35% of the unfished stock biomass. Given an estimate of average recruitment</w:t>
      </w:r>
      <w:r w:rsidR="00452EBA" w:rsidRPr="0015116B">
        <w:rPr>
          <w:rFonts w:eastAsiaTheme="minorEastAsia"/>
        </w:rPr>
        <w:t>,</w:t>
      </w:r>
      <w:r w:rsidR="00B92AC6" w:rsidRPr="0015116B">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R</m:t>
            </m:r>
          </m:e>
        </m:acc>
      </m:oMath>
      <w:r w:rsidR="00565AA2" w:rsidRPr="0015116B">
        <w:rPr>
          <w:rFonts w:eastAsiaTheme="minorEastAsia"/>
        </w:rPr>
        <w:t>,</w:t>
      </w:r>
      <w:r w:rsidR="00452EBA" w:rsidRPr="0015116B">
        <w:rPr>
          <w:rFonts w:eastAsiaTheme="minorEastAsia"/>
        </w:rPr>
        <w:t xml:space="preserve"> then</w:t>
      </w:r>
      <w:r w:rsidR="00565AA2" w:rsidRPr="0015116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35%</m:t>
            </m:r>
          </m:sub>
        </m:sSub>
        <m:r>
          <w:rPr>
            <w:rFonts w:ascii="Cambria Math" w:eastAsiaTheme="minorEastAsia" w:hAnsi="Cambria Math"/>
          </w:rPr>
          <m:t>=0.35∙</m:t>
        </m:r>
        <m:acc>
          <m:accPr>
            <m:chr m:val="̅"/>
            <m:ctrlPr>
              <w:rPr>
                <w:rFonts w:ascii="Cambria Math" w:eastAsiaTheme="minorEastAsia" w:hAnsi="Cambria Math"/>
                <w:i/>
              </w:rPr>
            </m:ctrlPr>
          </m:accPr>
          <m:e>
            <m:r>
              <w:rPr>
                <w:rFonts w:ascii="Cambria Math" w:eastAsiaTheme="minorEastAsia" w:hAnsi="Cambria Math"/>
              </w:rPr>
              <m:t>R</m:t>
            </m:r>
          </m:e>
        </m:acc>
        <m:r>
          <w:rPr>
            <w:rFonts w:ascii="Cambria Math" w:eastAsiaTheme="minorEastAsia" w:hAnsi="Cambria Math"/>
          </w:rPr>
          <m:t>∙</m:t>
        </m:r>
        <m:r>
          <w:rPr>
            <w:rFonts w:ascii="Cambria Math" w:hAnsi="Cambria Math"/>
          </w:rPr>
          <m:t>ϕ(0)</m:t>
        </m:r>
      </m:oMath>
      <w:r w:rsidR="00565AA2" w:rsidRPr="0015116B">
        <w:rPr>
          <w:rFonts w:eastAsiaTheme="minorEastAsia"/>
        </w:rPr>
        <w:t xml:space="preserve">. </w:t>
      </w:r>
    </w:p>
    <w:p w14:paraId="03F5C97B" w14:textId="2B93C507" w:rsidR="00580AB5" w:rsidRPr="0015116B" w:rsidRDefault="00565AA2" w:rsidP="00580AB5">
      <w:pPr>
        <w:rPr>
          <w:rFonts w:eastAsiaTheme="minorEastAsia"/>
        </w:rPr>
      </w:pPr>
      <w:r w:rsidRPr="0015116B">
        <w:rPr>
          <w:rFonts w:eastAsiaTheme="minorEastAsia"/>
        </w:rPr>
        <w:t>Thus Tier 3 status determination and OFL setting for 20</w:t>
      </w:r>
      <w:r w:rsidR="00580AB5" w:rsidRPr="0015116B">
        <w:rPr>
          <w:rFonts w:eastAsiaTheme="minorEastAsia"/>
        </w:rPr>
        <w:t>20</w:t>
      </w:r>
      <w:r w:rsidRPr="0015116B">
        <w:rPr>
          <w:rFonts w:eastAsiaTheme="minorEastAsia"/>
        </w:rPr>
        <w:t>/</w:t>
      </w:r>
      <w:r w:rsidR="00580AB5" w:rsidRPr="0015116B">
        <w:rPr>
          <w:rFonts w:eastAsiaTheme="minorEastAsia"/>
        </w:rPr>
        <w:t>21</w:t>
      </w:r>
      <w:r w:rsidRPr="0015116B">
        <w:rPr>
          <w:rFonts w:eastAsiaTheme="minorEastAsia"/>
        </w:rPr>
        <w:t xml:space="preserve"> require estimates of </w:t>
      </w:r>
      <w:r w:rsidRPr="0015116B">
        <w:rPr>
          <w:rFonts w:eastAsiaTheme="minorEastAsia"/>
          <w:i/>
        </w:rPr>
        <w:t>B</w:t>
      </w:r>
      <w:r w:rsidRPr="0015116B">
        <w:rPr>
          <w:rFonts w:eastAsiaTheme="minorEastAsia"/>
        </w:rPr>
        <w:t xml:space="preserve"> = MMB</w:t>
      </w:r>
      <w:r w:rsidRPr="0015116B">
        <w:rPr>
          <w:rFonts w:eastAsiaTheme="minorEastAsia"/>
          <w:vertAlign w:val="subscript"/>
        </w:rPr>
        <w:t>20</w:t>
      </w:r>
      <w:r w:rsidR="00580AB5" w:rsidRPr="0015116B">
        <w:rPr>
          <w:rFonts w:eastAsiaTheme="minorEastAsia"/>
          <w:vertAlign w:val="subscript"/>
        </w:rPr>
        <w:t>20/21</w:t>
      </w:r>
      <w:r w:rsidR="00247CA6" w:rsidRPr="0015116B">
        <w:rPr>
          <w:rFonts w:eastAsiaTheme="minorEastAsia"/>
        </w:rPr>
        <w:t xml:space="preserve"> (the </w:t>
      </w:r>
      <w:r w:rsidR="00CB28AB" w:rsidRPr="0015116B">
        <w:rPr>
          <w:rFonts w:eastAsiaTheme="minorEastAsia"/>
        </w:rPr>
        <w:t>projected</w:t>
      </w:r>
      <w:r w:rsidR="00247CA6" w:rsidRPr="0015116B">
        <w:rPr>
          <w:rFonts w:eastAsiaTheme="minorEastAsia"/>
        </w:rPr>
        <w:t xml:space="preserve"> MMB at mating time </w:t>
      </w:r>
      <w:r w:rsidR="00CB28AB" w:rsidRPr="0015116B">
        <w:rPr>
          <w:rFonts w:eastAsiaTheme="minorEastAsia"/>
        </w:rPr>
        <w:t>for the coming year</w:t>
      </w:r>
      <w:r w:rsidR="00247CA6" w:rsidRPr="0015116B">
        <w:rPr>
          <w:rFonts w:eastAsiaTheme="minorEastAsia"/>
        </w:rPr>
        <w:t>)</w:t>
      </w:r>
      <w:r w:rsidRPr="0015116B">
        <w:rPr>
          <w:rFonts w:eastAsiaTheme="minorEastAsia"/>
        </w:rPr>
        <w:t>, F</w:t>
      </w:r>
      <w:r w:rsidRPr="0015116B">
        <w:rPr>
          <w:rFonts w:eastAsiaTheme="minorEastAsia"/>
          <w:vertAlign w:val="subscript"/>
        </w:rPr>
        <w:t>35%</w:t>
      </w:r>
      <w:r w:rsidRPr="0015116B">
        <w:rPr>
          <w:rFonts w:eastAsiaTheme="minorEastAsia"/>
        </w:rPr>
        <w:t>, spawning biomass per recruit in an unfished stock (</w:t>
      </w:r>
      <m:oMath>
        <m:r>
          <w:rPr>
            <w:rFonts w:ascii="Cambria Math" w:hAnsi="Cambria Math"/>
          </w:rPr>
          <m:t>ϕ(0)</m:t>
        </m:r>
      </m:oMath>
      <w:r w:rsidRPr="0015116B">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R</m:t>
            </m:r>
          </m:e>
        </m:acc>
      </m:oMath>
      <w:r w:rsidR="00CF3F9B" w:rsidRPr="0015116B">
        <w:rPr>
          <w:rFonts w:eastAsiaTheme="minorEastAsia"/>
        </w:rPr>
        <w:t xml:space="preserve">. Current stock status is determined by the ratio </w:t>
      </w:r>
      <w:r w:rsidR="00CF3F9B" w:rsidRPr="0015116B">
        <w:rPr>
          <w:rFonts w:eastAsiaTheme="minorEastAsia"/>
          <w:i/>
        </w:rPr>
        <w:t>B</w:t>
      </w:r>
      <w:r w:rsidR="00CF3F9B" w:rsidRPr="0015116B">
        <w:rPr>
          <w:rFonts w:eastAsiaTheme="minorEastAsia"/>
        </w:rPr>
        <w:t>/B</w:t>
      </w:r>
      <w:r w:rsidR="00CF3F9B" w:rsidRPr="0015116B">
        <w:rPr>
          <w:rFonts w:eastAsiaTheme="minorEastAsia"/>
          <w:vertAlign w:val="subscript"/>
        </w:rPr>
        <w:t>35%</w:t>
      </w:r>
      <w:r w:rsidR="00CF3F9B" w:rsidRPr="0015116B">
        <w:rPr>
          <w:rFonts w:eastAsiaTheme="minorEastAsia"/>
        </w:rPr>
        <w:t xml:space="preserve"> for Tier 3 stocks. If the ratio is greater than 1, then</w:t>
      </w:r>
      <w:r w:rsidR="00247CA6" w:rsidRPr="0015116B">
        <w:rPr>
          <w:rFonts w:eastAsiaTheme="minorEastAsia"/>
        </w:rPr>
        <w:t xml:space="preserve"> the stock falls into Tier 3a and</w:t>
      </w:r>
      <w:r w:rsidR="00CF3F9B" w:rsidRPr="0015116B">
        <w:rPr>
          <w:rFonts w:eastAsiaTheme="minorEastAsia"/>
        </w:rPr>
        <w:t xml:space="preserve"> F</w:t>
      </w:r>
      <w:r w:rsidR="00CF3F9B" w:rsidRPr="0015116B">
        <w:rPr>
          <w:rFonts w:eastAsiaTheme="minorEastAsia"/>
          <w:vertAlign w:val="subscript"/>
        </w:rPr>
        <w:t>OFL</w:t>
      </w:r>
      <w:r w:rsidR="00CF3F9B" w:rsidRPr="0015116B">
        <w:rPr>
          <w:rFonts w:eastAsiaTheme="minorEastAsia"/>
        </w:rPr>
        <w:t xml:space="preserve"> </w:t>
      </w:r>
      <w:r w:rsidR="001D52DA" w:rsidRPr="0015116B">
        <w:rPr>
          <w:rFonts w:eastAsiaTheme="minorEastAsia"/>
        </w:rPr>
        <w:t>= F</w:t>
      </w:r>
      <w:r w:rsidR="001D52DA" w:rsidRPr="0015116B">
        <w:rPr>
          <w:rFonts w:eastAsiaTheme="minorEastAsia"/>
          <w:vertAlign w:val="subscript"/>
        </w:rPr>
        <w:t>MSY</w:t>
      </w:r>
      <w:r w:rsidR="00CF3F9B" w:rsidRPr="0015116B">
        <w:rPr>
          <w:rFonts w:eastAsiaTheme="minorEastAsia"/>
        </w:rPr>
        <w:t>= F</w:t>
      </w:r>
      <w:r w:rsidR="00CF3F9B" w:rsidRPr="0015116B">
        <w:rPr>
          <w:rFonts w:eastAsiaTheme="minorEastAsia"/>
          <w:vertAlign w:val="subscript"/>
        </w:rPr>
        <w:t>35%</w:t>
      </w:r>
      <w:r w:rsidR="00CF3F9B" w:rsidRPr="0015116B">
        <w:rPr>
          <w:rFonts w:eastAsiaTheme="minorEastAsia"/>
        </w:rPr>
        <w:t xml:space="preserve">. If the ratio is less than one but greater than </w:t>
      </w:r>
      <w:r w:rsidR="00CF3F9B" w:rsidRPr="0015116B">
        <w:rPr>
          <w:rFonts w:eastAsiaTheme="minorEastAsia" w:cs="Times New Roman"/>
        </w:rPr>
        <w:t>β</w:t>
      </w:r>
      <w:r w:rsidR="00CF3F9B" w:rsidRPr="0015116B">
        <w:rPr>
          <w:rFonts w:eastAsiaTheme="minorEastAsia"/>
        </w:rPr>
        <w:t xml:space="preserve">, then </w:t>
      </w:r>
      <w:r w:rsidR="00247CA6" w:rsidRPr="0015116B">
        <w:rPr>
          <w:rFonts w:eastAsiaTheme="minorEastAsia"/>
        </w:rPr>
        <w:t xml:space="preserve">the stock falls into Tier 3b and </w:t>
      </w:r>
      <w:r w:rsidR="00CF3F9B" w:rsidRPr="0015116B">
        <w:rPr>
          <w:rFonts w:eastAsiaTheme="minorEastAsia"/>
        </w:rPr>
        <w:t>F</w:t>
      </w:r>
      <w:r w:rsidR="00CF3F9B" w:rsidRPr="0015116B">
        <w:rPr>
          <w:rFonts w:eastAsiaTheme="minorEastAsia"/>
          <w:vertAlign w:val="subscript"/>
        </w:rPr>
        <w:t>OFL</w:t>
      </w:r>
      <w:r w:rsidR="00CF3F9B" w:rsidRPr="0015116B">
        <w:rPr>
          <w:rFonts w:eastAsiaTheme="minorEastAsia"/>
        </w:rPr>
        <w:t xml:space="preserve"> </w:t>
      </w:r>
      <w:r w:rsidR="00247CA6" w:rsidRPr="0015116B">
        <w:rPr>
          <w:rFonts w:eastAsiaTheme="minorEastAsia"/>
        </w:rPr>
        <w:t>is reduced from F</w:t>
      </w:r>
      <w:r w:rsidR="00247CA6" w:rsidRPr="0015116B">
        <w:rPr>
          <w:rFonts w:eastAsiaTheme="minorEastAsia"/>
          <w:vertAlign w:val="subscript"/>
        </w:rPr>
        <w:t>35%</w:t>
      </w:r>
      <w:r w:rsidR="00247CA6" w:rsidRPr="0015116B">
        <w:rPr>
          <w:rFonts w:eastAsiaTheme="minorEastAsia"/>
        </w:rPr>
        <w:t xml:space="preserve"> following the descending limb of the control rule (Fig</w:t>
      </w:r>
      <w:r w:rsidR="001D52DA" w:rsidRPr="0015116B">
        <w:rPr>
          <w:rFonts w:eastAsiaTheme="minorEastAsia"/>
        </w:rPr>
        <w:t>ure</w:t>
      </w:r>
      <w:r w:rsidR="00247CA6" w:rsidRPr="0015116B">
        <w:rPr>
          <w:rFonts w:eastAsiaTheme="minorEastAsia"/>
        </w:rPr>
        <w:t xml:space="preserve"> </w:t>
      </w:r>
      <w:r w:rsidR="00D5054A" w:rsidRPr="0015116B">
        <w:fldChar w:fldCharType="begin"/>
      </w:r>
      <w:r w:rsidR="00D5054A" w:rsidRPr="0015116B">
        <w:instrText xml:space="preserve"> SEQ FigNum\# "0" \r 69 \* MERGEFORMAT </w:instrText>
      </w:r>
      <w:r w:rsidR="00D5054A" w:rsidRPr="0015116B">
        <w:fldChar w:fldCharType="separate"/>
      </w:r>
      <w:r w:rsidR="00D5054A" w:rsidRPr="0015116B">
        <w:rPr>
          <w:noProof/>
        </w:rPr>
        <w:t>69</w:t>
      </w:r>
      <w:r w:rsidR="00D5054A" w:rsidRPr="0015116B">
        <w:fldChar w:fldCharType="end"/>
      </w:r>
      <w:r w:rsidR="00247CA6" w:rsidRPr="0015116B">
        <w:rPr>
          <w:rFonts w:eastAsiaTheme="minorEastAsia"/>
        </w:rPr>
        <w:t xml:space="preserve">). If the ratio is less than </w:t>
      </w:r>
      <w:r w:rsidR="00247CA6" w:rsidRPr="0015116B">
        <w:rPr>
          <w:rFonts w:eastAsiaTheme="minorEastAsia" w:cs="Times New Roman"/>
        </w:rPr>
        <w:t>β</w:t>
      </w:r>
      <w:r w:rsidR="00BE445C" w:rsidRPr="0015116B">
        <w:rPr>
          <w:rFonts w:eastAsiaTheme="minorEastAsia"/>
        </w:rPr>
        <w:t>, then</w:t>
      </w:r>
      <w:r w:rsidR="00247CA6" w:rsidRPr="0015116B">
        <w:rPr>
          <w:rFonts w:eastAsiaTheme="minorEastAsia"/>
        </w:rPr>
        <w:t xml:space="preserve"> the stock falls into Tier 3c</w:t>
      </w:r>
      <w:r w:rsidR="00BE445C" w:rsidRPr="0015116B">
        <w:rPr>
          <w:rFonts w:eastAsiaTheme="minorEastAsia"/>
        </w:rPr>
        <w:t xml:space="preserve"> </w:t>
      </w:r>
      <w:r w:rsidR="00247CA6" w:rsidRPr="0015116B">
        <w:rPr>
          <w:rFonts w:eastAsiaTheme="minorEastAsia"/>
        </w:rPr>
        <w:t>and directed fishing must cease.</w:t>
      </w:r>
      <w:r w:rsidR="00BE445C" w:rsidRPr="0015116B">
        <w:rPr>
          <w:rFonts w:eastAsiaTheme="minorEastAsia"/>
        </w:rPr>
        <w:t xml:space="preserve"> In addition, if </w:t>
      </w:r>
      <w:r w:rsidR="00BE445C" w:rsidRPr="0015116B">
        <w:rPr>
          <w:rFonts w:eastAsiaTheme="minorEastAsia"/>
          <w:i/>
        </w:rPr>
        <w:t>B</w:t>
      </w:r>
      <w:r w:rsidR="00BE445C" w:rsidRPr="0015116B">
        <w:rPr>
          <w:rFonts w:eastAsiaTheme="minorEastAsia"/>
        </w:rPr>
        <w:t xml:space="preserve"> is less than ½ B</w:t>
      </w:r>
      <w:r w:rsidR="00BE445C" w:rsidRPr="0015116B">
        <w:rPr>
          <w:rFonts w:eastAsiaTheme="minorEastAsia"/>
          <w:vertAlign w:val="subscript"/>
        </w:rPr>
        <w:t>35%</w:t>
      </w:r>
      <w:r w:rsidR="00BE445C" w:rsidRPr="0015116B">
        <w:rPr>
          <w:rFonts w:eastAsiaTheme="minorEastAsia"/>
        </w:rPr>
        <w:t xml:space="preserve"> (the minimum stock size threshold, MSST), the stock must be declared overfished and a rebuilding plan subsequently developed.</w:t>
      </w:r>
    </w:p>
    <w:p w14:paraId="579770F0" w14:textId="16550473" w:rsidR="00611E4D" w:rsidRPr="0015116B" w:rsidRDefault="00580AB5" w:rsidP="00580AB5">
      <w:pPr>
        <w:rPr>
          <w:rFonts w:eastAsiaTheme="minorEastAsia"/>
        </w:rPr>
      </w:pPr>
      <w:r w:rsidRPr="0015116B">
        <w:rPr>
          <w:rFonts w:eastAsiaTheme="minorEastAsia"/>
        </w:rPr>
        <w:t>T</w:t>
      </w:r>
      <w:r w:rsidR="00232D54" w:rsidRPr="0015116B">
        <w:rPr>
          <w:rFonts w:eastAsiaTheme="minorEastAsia"/>
        </w:rPr>
        <w:t xml:space="preserve">he </w:t>
      </w:r>
      <w:r w:rsidR="001D52DA" w:rsidRPr="0015116B">
        <w:rPr>
          <w:rFonts w:eastAsiaTheme="minorEastAsia"/>
        </w:rPr>
        <w:t>OFL is calculated within the assessment model based on equilibrium calculations for F</w:t>
      </w:r>
      <w:r w:rsidR="000D3752" w:rsidRPr="0015116B">
        <w:rPr>
          <w:rFonts w:eastAsiaTheme="minorEastAsia"/>
          <w:vertAlign w:val="subscript"/>
        </w:rPr>
        <w:t>MSY</w:t>
      </w:r>
      <w:r w:rsidR="001D52DA" w:rsidRPr="0015116B">
        <w:rPr>
          <w:rFonts w:eastAsiaTheme="minorEastAsia"/>
        </w:rPr>
        <w:t xml:space="preserve"> and projecting the state of the population at the end of the modeled time period one year forward assuming </w:t>
      </w:r>
      <w:r w:rsidR="00611E4D" w:rsidRPr="0015116B">
        <w:rPr>
          <w:rFonts w:eastAsiaTheme="minorEastAsia"/>
        </w:rPr>
        <w:t>fishing mortality at F</w:t>
      </w:r>
      <w:r w:rsidR="00611E4D" w:rsidRPr="0015116B">
        <w:rPr>
          <w:rFonts w:eastAsiaTheme="minorEastAsia"/>
          <w:vertAlign w:val="subscript"/>
        </w:rPr>
        <w:t>OFL</w:t>
      </w:r>
      <w:r w:rsidR="001D52DA" w:rsidRPr="0015116B">
        <w:rPr>
          <w:rFonts w:eastAsiaTheme="minorEastAsia"/>
        </w:rPr>
        <w:t>. Using MCMC</w:t>
      </w:r>
      <w:r w:rsidR="00611E4D" w:rsidRPr="0015116B">
        <w:rPr>
          <w:rFonts w:eastAsiaTheme="minorEastAsia"/>
        </w:rPr>
        <w:t>, one can</w:t>
      </w:r>
      <w:r w:rsidR="001D52DA" w:rsidRPr="0015116B">
        <w:rPr>
          <w:rFonts w:eastAsiaTheme="minorEastAsia"/>
        </w:rPr>
        <w:t xml:space="preserve"> </w:t>
      </w:r>
      <w:r w:rsidR="00611E4D" w:rsidRPr="0015116B">
        <w:rPr>
          <w:rFonts w:eastAsiaTheme="minorEastAsia"/>
        </w:rPr>
        <w:t xml:space="preserve">thus </w:t>
      </w:r>
      <w:r w:rsidR="001D52DA" w:rsidRPr="0015116B">
        <w:rPr>
          <w:rFonts w:eastAsiaTheme="minorEastAsia"/>
        </w:rPr>
        <w:t xml:space="preserve">estimate the pdf of OFL </w:t>
      </w:r>
      <w:r w:rsidR="00611E4D" w:rsidRPr="0015116B">
        <w:rPr>
          <w:rFonts w:eastAsiaTheme="minorEastAsia"/>
        </w:rPr>
        <w:t xml:space="preserve">(and related quantities of interest) </w:t>
      </w:r>
      <w:r w:rsidR="000D3752" w:rsidRPr="0015116B">
        <w:rPr>
          <w:rFonts w:eastAsiaTheme="minorEastAsia"/>
        </w:rPr>
        <w:t>and better characterize</w:t>
      </w:r>
      <w:r w:rsidR="00611E4D" w:rsidRPr="0015116B">
        <w:rPr>
          <w:rFonts w:eastAsiaTheme="minorEastAsia"/>
        </w:rPr>
        <w:t xml:space="preserve"> full</w:t>
      </w:r>
      <w:r w:rsidR="001D52DA" w:rsidRPr="0015116B">
        <w:rPr>
          <w:rFonts w:eastAsiaTheme="minorEastAsia"/>
        </w:rPr>
        <w:t xml:space="preserve"> model uncertainty</w:t>
      </w:r>
      <w:r w:rsidR="00611E4D" w:rsidRPr="0015116B">
        <w:rPr>
          <w:rFonts w:eastAsiaTheme="minorEastAsia"/>
        </w:rPr>
        <w:t>.</w:t>
      </w:r>
    </w:p>
    <w:p w14:paraId="7F6DB7B8" w14:textId="0C624BD7" w:rsidR="00E0511D" w:rsidRPr="0015116B" w:rsidRDefault="001D52DA" w:rsidP="0054227E">
      <w:pPr>
        <w:rPr>
          <w:rFonts w:eastAsiaTheme="minorEastAsia"/>
        </w:rPr>
      </w:pPr>
      <w:r w:rsidRPr="0015116B">
        <w:rPr>
          <w:rFonts w:eastAsiaTheme="minorEastAsia"/>
        </w:rPr>
        <w:t>To calculate F</w:t>
      </w:r>
      <w:r w:rsidR="000D3752" w:rsidRPr="0015116B">
        <w:rPr>
          <w:rFonts w:eastAsiaTheme="minorEastAsia"/>
          <w:vertAlign w:val="subscript"/>
        </w:rPr>
        <w:t>MSY</w:t>
      </w:r>
      <w:r w:rsidRPr="0015116B">
        <w:rPr>
          <w:rFonts w:eastAsiaTheme="minorEastAsia"/>
        </w:rPr>
        <w:t xml:space="preserve">, the fishery capture rate for males in the directed fishery is adjusted until the </w:t>
      </w:r>
      <w:proofErr w:type="spellStart"/>
      <w:r w:rsidRPr="0015116B">
        <w:rPr>
          <w:rFonts w:eastAsiaTheme="minorEastAsia"/>
        </w:rPr>
        <w:t>longterm</w:t>
      </w:r>
      <w:proofErr w:type="spellEnd"/>
      <w:r w:rsidRPr="0015116B">
        <w:rPr>
          <w:rFonts w:eastAsiaTheme="minorEastAsia"/>
        </w:rPr>
        <w:t xml:space="preserve"> (equilibrium) MMB-at-mating is 35% of its unfished value</w:t>
      </w:r>
      <w:r w:rsidR="000D3752" w:rsidRPr="0015116B">
        <w:rPr>
          <w:rFonts w:eastAsiaTheme="minorEastAsia"/>
        </w:rPr>
        <w:t xml:space="preserve"> (i.e., </w:t>
      </w:r>
      <m:oMath>
        <m:r>
          <w:rPr>
            <w:rFonts w:ascii="Cambria Math" w:eastAsiaTheme="minorEastAsia" w:hAnsi="Cambria Math"/>
          </w:rPr>
          <m:t>B=0.35∙</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35%</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MSY</m:t>
            </m:r>
          </m:sub>
        </m:sSub>
      </m:oMath>
      <w:r w:rsidR="000D3752" w:rsidRPr="0015116B">
        <w:rPr>
          <w:rFonts w:eastAsiaTheme="minorEastAsia"/>
        </w:rPr>
        <w:t>)</w:t>
      </w:r>
      <w:r w:rsidRPr="0015116B">
        <w:rPr>
          <w:rFonts w:eastAsiaTheme="minorEastAsia"/>
        </w:rPr>
        <w:t xml:space="preserve">. </w:t>
      </w:r>
      <w:r w:rsidR="00611E4D" w:rsidRPr="0015116B">
        <w:rPr>
          <w:rFonts w:eastAsiaTheme="minorEastAsia"/>
        </w:rPr>
        <w:t>T</w:t>
      </w:r>
      <w:r w:rsidRPr="0015116B">
        <w:rPr>
          <w:rFonts w:eastAsiaTheme="minorEastAsia"/>
        </w:rPr>
        <w:t xml:space="preserve">his calculation depends on the assumed bycatch F’s on Tanner crab in the snow crab, BBRKC and groundfish fisheries. </w:t>
      </w:r>
      <w:r w:rsidR="00232D54" w:rsidRPr="0015116B">
        <w:rPr>
          <w:rFonts w:eastAsiaTheme="minorEastAsia"/>
        </w:rPr>
        <w:t xml:space="preserve">As with </w:t>
      </w:r>
      <w:r w:rsidR="00580AB5" w:rsidRPr="0015116B">
        <w:rPr>
          <w:rFonts w:eastAsiaTheme="minorEastAsia"/>
        </w:rPr>
        <w:t>recent assessments</w:t>
      </w:r>
      <w:r w:rsidRPr="0015116B">
        <w:rPr>
          <w:rFonts w:eastAsiaTheme="minorEastAsia"/>
        </w:rPr>
        <w:t xml:space="preserve">, the average F over the last 5 years </w:t>
      </w:r>
      <w:r w:rsidR="00611E4D" w:rsidRPr="0015116B">
        <w:rPr>
          <w:rFonts w:eastAsiaTheme="minorEastAsia"/>
        </w:rPr>
        <w:t xml:space="preserve">for each of the bycatch fisheries </w:t>
      </w:r>
      <w:r w:rsidRPr="0015116B">
        <w:rPr>
          <w:rFonts w:eastAsiaTheme="minorEastAsia"/>
        </w:rPr>
        <w:t>is used in the</w:t>
      </w:r>
      <w:r w:rsidR="00232D54" w:rsidRPr="0015116B">
        <w:rPr>
          <w:rFonts w:eastAsiaTheme="minorEastAsia"/>
        </w:rPr>
        <w:t>se</w:t>
      </w:r>
      <w:r w:rsidRPr="0015116B">
        <w:rPr>
          <w:rFonts w:eastAsiaTheme="minorEastAsia"/>
        </w:rPr>
        <w:t xml:space="preserve"> calculations</w:t>
      </w:r>
      <w:r w:rsidR="00232D54" w:rsidRPr="0015116B">
        <w:rPr>
          <w:rFonts w:eastAsiaTheme="minorEastAsia"/>
        </w:rPr>
        <w:t xml:space="preserve"> (i</w:t>
      </w:r>
      <w:r w:rsidR="00611E4D" w:rsidRPr="0015116B">
        <w:rPr>
          <w:rFonts w:eastAsiaTheme="minorEastAsia"/>
        </w:rPr>
        <w:t>n previous years, a different approach was used to determine the F to use for the snow crab fishery</w:t>
      </w:r>
      <w:r w:rsidR="00232D54" w:rsidRPr="0015116B">
        <w:rPr>
          <w:rFonts w:eastAsiaTheme="minorEastAsia"/>
        </w:rPr>
        <w:t>—see e.g., Stockhausen, 2016)</w:t>
      </w:r>
      <w:r w:rsidR="00611E4D" w:rsidRPr="0015116B">
        <w:rPr>
          <w:rFonts w:eastAsiaTheme="minorEastAsia"/>
        </w:rPr>
        <w:t xml:space="preserve">. </w:t>
      </w:r>
      <w:r w:rsidR="000D3752" w:rsidRPr="0015116B">
        <w:rPr>
          <w:rFonts w:eastAsiaTheme="minorEastAsia"/>
        </w:rPr>
        <w:t>Fishery s</w:t>
      </w:r>
      <w:r w:rsidR="00F55448" w:rsidRPr="0015116B">
        <w:rPr>
          <w:rFonts w:eastAsiaTheme="minorEastAsia"/>
        </w:rPr>
        <w:t xml:space="preserve">electivity curves </w:t>
      </w:r>
      <w:r w:rsidR="004F57B8" w:rsidRPr="0015116B">
        <w:rPr>
          <w:rFonts w:eastAsiaTheme="minorEastAsia"/>
        </w:rPr>
        <w:t xml:space="preserve">were set using the average curve over the last 5 years for each fishery, </w:t>
      </w:r>
      <w:r w:rsidR="00F55448" w:rsidRPr="0015116B">
        <w:rPr>
          <w:rFonts w:eastAsiaTheme="minorEastAsia"/>
        </w:rPr>
        <w:t>as in previous assessments (</w:t>
      </w:r>
      <w:r w:rsidR="000D3752" w:rsidRPr="0015116B">
        <w:rPr>
          <w:rFonts w:eastAsiaTheme="minorEastAsia"/>
        </w:rPr>
        <w:t xml:space="preserve">e.g., </w:t>
      </w:r>
      <w:r w:rsidR="00F55448" w:rsidRPr="0015116B">
        <w:rPr>
          <w:rFonts w:eastAsiaTheme="minorEastAsia"/>
        </w:rPr>
        <w:t>Stockhausen 201</w:t>
      </w:r>
      <w:r w:rsidR="00AF20B5" w:rsidRPr="0015116B">
        <w:rPr>
          <w:rFonts w:eastAsiaTheme="minorEastAsia"/>
        </w:rPr>
        <w:t>9</w:t>
      </w:r>
      <w:r w:rsidR="00F55448" w:rsidRPr="0015116B">
        <w:rPr>
          <w:rFonts w:eastAsiaTheme="minorEastAsia"/>
        </w:rPr>
        <w:t>)</w:t>
      </w:r>
      <w:r w:rsidR="00CA4367" w:rsidRPr="0015116B">
        <w:rPr>
          <w:rFonts w:eastAsiaTheme="minorEastAsia"/>
        </w:rPr>
        <w:t xml:space="preserve">. </w:t>
      </w:r>
    </w:p>
    <w:p w14:paraId="408798E1" w14:textId="77777777" w:rsidR="00996908" w:rsidRPr="0015116B" w:rsidRDefault="0084504B" w:rsidP="004E483B">
      <w:r w:rsidRPr="0015116B">
        <w:rPr>
          <w:rFonts w:eastAsiaTheme="minorEastAsia"/>
        </w:rPr>
        <w:t>The determination of B</w:t>
      </w:r>
      <w:r w:rsidRPr="0015116B">
        <w:rPr>
          <w:rFonts w:eastAsiaTheme="minorEastAsia"/>
          <w:vertAlign w:val="subscript"/>
        </w:rPr>
        <w:t>MSY</w:t>
      </w:r>
      <w:r w:rsidRPr="0015116B">
        <w:rPr>
          <w:rFonts w:eastAsiaTheme="minorEastAsia"/>
        </w:rPr>
        <w:t>=B</w:t>
      </w:r>
      <w:r w:rsidRPr="0015116B">
        <w:rPr>
          <w:rFonts w:eastAsiaTheme="minorEastAsia"/>
          <w:vertAlign w:val="subscript"/>
        </w:rPr>
        <w:t xml:space="preserve">35% </w:t>
      </w:r>
      <w:r w:rsidRPr="0015116B">
        <w:rPr>
          <w:rFonts w:eastAsiaTheme="minorEastAsia"/>
        </w:rPr>
        <w:t>for Tanner crab depends on the selection of an appropriate time period over which to calculate average recruitment (</w:t>
      </w:r>
      <m:oMath>
        <m:acc>
          <m:accPr>
            <m:chr m:val="̅"/>
            <m:ctrlPr>
              <w:rPr>
                <w:rFonts w:ascii="Cambria Math" w:eastAsiaTheme="minorEastAsia" w:hAnsi="Cambria Math"/>
                <w:i/>
              </w:rPr>
            </m:ctrlPr>
          </m:accPr>
          <m:e>
            <m:r>
              <w:rPr>
                <w:rFonts w:ascii="Cambria Math" w:eastAsiaTheme="minorEastAsia" w:hAnsi="Cambria Math"/>
              </w:rPr>
              <m:t>R</m:t>
            </m:r>
          </m:e>
        </m:acc>
      </m:oMath>
      <w:r w:rsidRPr="0015116B">
        <w:rPr>
          <w:rFonts w:eastAsiaTheme="minorEastAsia"/>
        </w:rPr>
        <w:t xml:space="preserve">). </w:t>
      </w:r>
      <w:r w:rsidR="00A800F2" w:rsidRPr="0015116B">
        <w:rPr>
          <w:rFonts w:eastAsiaTheme="minorEastAsia"/>
        </w:rPr>
        <w:t>Following</w:t>
      </w:r>
      <w:r w:rsidR="00A759AB" w:rsidRPr="0015116B">
        <w:rPr>
          <w:rFonts w:eastAsiaTheme="minorEastAsia"/>
        </w:rPr>
        <w:t xml:space="preserve"> discussion in 2012 and 2013, t</w:t>
      </w:r>
      <w:r w:rsidRPr="0015116B">
        <w:rPr>
          <w:rFonts w:eastAsiaTheme="minorEastAsia"/>
        </w:rPr>
        <w:t xml:space="preserve">he SSC </w:t>
      </w:r>
      <w:r w:rsidR="00A759AB" w:rsidRPr="0015116B">
        <w:rPr>
          <w:rFonts w:eastAsiaTheme="minorEastAsia"/>
        </w:rPr>
        <w:t xml:space="preserve">endorsed an </w:t>
      </w:r>
      <w:r w:rsidR="00E61598" w:rsidRPr="0015116B">
        <w:rPr>
          <w:rFonts w:eastAsiaTheme="minorEastAsia"/>
        </w:rPr>
        <w:t xml:space="preserve">averaging period </w:t>
      </w:r>
      <w:r w:rsidR="00A759AB" w:rsidRPr="0015116B">
        <w:rPr>
          <w:rFonts w:eastAsiaTheme="minorEastAsia"/>
        </w:rPr>
        <w:t>of 1982+</w:t>
      </w:r>
      <w:r w:rsidRPr="0015116B">
        <w:rPr>
          <w:rFonts w:eastAsiaTheme="minorEastAsia"/>
        </w:rPr>
        <w:t>.</w:t>
      </w:r>
      <w:r w:rsidR="00E44835" w:rsidRPr="0015116B">
        <w:t xml:space="preserve"> </w:t>
      </w:r>
      <w:r w:rsidR="00A759AB" w:rsidRPr="0015116B">
        <w:t>Starting the average recruitment period in 1982 is consistent with a 5-6 year recruitment lag from 1976/77, when a well-known climate regime shift occurred in the EBS (</w:t>
      </w:r>
      <w:proofErr w:type="spellStart"/>
      <w:r w:rsidR="00A759AB" w:rsidRPr="0015116B">
        <w:t>Rodionov</w:t>
      </w:r>
      <w:proofErr w:type="spellEnd"/>
      <w:r w:rsidR="00A759AB" w:rsidRPr="0015116B">
        <w:t xml:space="preserve"> and Overland, 2005) that may have affected stock productivity.</w:t>
      </w:r>
      <w:r w:rsidR="00AF20B5" w:rsidRPr="0015116B">
        <w:t xml:space="preserve"> This issue was revisited at the May 2018 CPT meeting with regard to whether or not the final year should be included in the calculation, but no definitive recommendations were made. </w:t>
      </w:r>
    </w:p>
    <w:p w14:paraId="07B20943" w14:textId="77777777" w:rsidR="00996908" w:rsidRPr="0015116B" w:rsidRDefault="00AF20B5" w:rsidP="004E483B">
      <w:r w:rsidRPr="0015116B">
        <w:t xml:space="preserve">In previous assessments, average recruitment has been calculated by including the estimate for the terminal year. However, this was found to be problematic this year due to the absence of the 2020 NMFS EBS shelf bottom trawl survey, because the terminal year survey size composition is the only data </w:t>
      </w:r>
      <w:r w:rsidRPr="0015116B">
        <w:lastRenderedPageBreak/>
        <w:t>providing information on the size of terminal year recruitment.</w:t>
      </w:r>
      <w:r w:rsidR="00211B4B" w:rsidRPr="0015116B">
        <w:t xml:space="preserve"> In the absence of a terminal year survey, terminal year estimates of recruitment in a retrospective analysis were highly variable (and highly uncertain), leading to potentially large differences in estimated average recruitment </w:t>
      </w:r>
      <w:r w:rsidR="00996908" w:rsidRPr="0015116B">
        <w:t>depending on whether</w:t>
      </w:r>
      <w:r w:rsidR="00211B4B" w:rsidRPr="0015116B">
        <w:t xml:space="preserve"> the model was fit with or without a terminal year survey. Consequently, average recruitment is calculated here by dropping the terminal year estimate and using the period 1982-2019 to compute the average. </w:t>
      </w:r>
    </w:p>
    <w:p w14:paraId="6D9A8733" w14:textId="030FB368" w:rsidR="009E2D80" w:rsidRPr="0015116B" w:rsidRDefault="00F916FE" w:rsidP="004E483B">
      <w:pPr>
        <w:rPr>
          <w:rFonts w:eastAsiaTheme="minorEastAsia"/>
        </w:rPr>
      </w:pPr>
      <w:r w:rsidRPr="0015116B">
        <w:rPr>
          <w:rFonts w:eastAsiaTheme="minorEastAsia"/>
        </w:rPr>
        <w:t xml:space="preserve">The value of </w:t>
      </w:r>
      <m:oMath>
        <m:acc>
          <m:accPr>
            <m:chr m:val="̅"/>
            <m:ctrlPr>
              <w:rPr>
                <w:rFonts w:ascii="Cambria Math" w:eastAsiaTheme="minorEastAsia" w:hAnsi="Cambria Math"/>
                <w:i/>
              </w:rPr>
            </m:ctrlPr>
          </m:accPr>
          <m:e>
            <m:r>
              <w:rPr>
                <w:rFonts w:ascii="Cambria Math" w:eastAsiaTheme="minorEastAsia" w:hAnsi="Cambria Math"/>
              </w:rPr>
              <m:t>R</m:t>
            </m:r>
          </m:e>
        </m:acc>
      </m:oMath>
      <w:r w:rsidRPr="0015116B">
        <w:rPr>
          <w:rFonts w:eastAsiaTheme="minorEastAsia"/>
        </w:rPr>
        <w:t xml:space="preserve"> for th</w:t>
      </w:r>
      <w:r w:rsidR="00A759AB" w:rsidRPr="0015116B">
        <w:rPr>
          <w:rFonts w:eastAsiaTheme="minorEastAsia"/>
        </w:rPr>
        <w:t>is period</w:t>
      </w:r>
      <w:r w:rsidRPr="0015116B">
        <w:rPr>
          <w:rFonts w:eastAsiaTheme="minorEastAsia"/>
        </w:rPr>
        <w:t xml:space="preserve"> </w:t>
      </w:r>
      <w:r w:rsidR="00C24B1F" w:rsidRPr="0015116B">
        <w:rPr>
          <w:rFonts w:eastAsiaTheme="minorEastAsia"/>
        </w:rPr>
        <w:t xml:space="preserve">from </w:t>
      </w:r>
      <w:r w:rsidR="00E44835" w:rsidRPr="0015116B">
        <w:rPr>
          <w:rFonts w:eastAsiaTheme="minorEastAsia"/>
        </w:rPr>
        <w:t xml:space="preserve">MCMC runs of </w:t>
      </w:r>
      <w:r w:rsidR="00C24B1F" w:rsidRPr="0015116B">
        <w:rPr>
          <w:rFonts w:eastAsiaTheme="minorEastAsia"/>
        </w:rPr>
        <w:t xml:space="preserve">the author’s preferred model </w:t>
      </w:r>
      <w:r w:rsidRPr="0015116B">
        <w:rPr>
          <w:rFonts w:eastAsiaTheme="minorEastAsia"/>
        </w:rPr>
        <w:t xml:space="preserve">is </w:t>
      </w:r>
      <w:r w:rsidR="00996908" w:rsidRPr="0015116B">
        <w:rPr>
          <w:rFonts w:eastAsiaTheme="minorEastAsia"/>
        </w:rPr>
        <w:t>369.64</w:t>
      </w:r>
      <w:r w:rsidRPr="0015116B">
        <w:rPr>
          <w:rFonts w:eastAsiaTheme="minorEastAsia"/>
        </w:rPr>
        <w:t xml:space="preserve"> million. Th</w:t>
      </w:r>
      <w:r w:rsidR="00996908" w:rsidRPr="0015116B">
        <w:rPr>
          <w:rFonts w:eastAsiaTheme="minorEastAsia"/>
        </w:rPr>
        <w:t>is</w:t>
      </w:r>
      <w:r w:rsidRPr="0015116B">
        <w:rPr>
          <w:rFonts w:eastAsiaTheme="minorEastAsia"/>
        </w:rPr>
        <w:t xml:space="preserve"> estimate of average recruitment</w:t>
      </w:r>
      <w:r w:rsidR="00741806" w:rsidRPr="0015116B">
        <w:rPr>
          <w:rFonts w:eastAsiaTheme="minorEastAsia"/>
        </w:rPr>
        <w:t xml:space="preserve"> </w:t>
      </w:r>
      <w:r w:rsidR="00996908" w:rsidRPr="0015116B">
        <w:rPr>
          <w:rFonts w:eastAsiaTheme="minorEastAsia"/>
        </w:rPr>
        <w:t xml:space="preserve">is quite similar to that from </w:t>
      </w:r>
      <w:r w:rsidRPr="0015116B">
        <w:rPr>
          <w:rFonts w:eastAsiaTheme="minorEastAsia"/>
        </w:rPr>
        <w:t>the 201</w:t>
      </w:r>
      <w:r w:rsidR="00996908" w:rsidRPr="0015116B">
        <w:rPr>
          <w:rFonts w:eastAsiaTheme="minorEastAsia"/>
        </w:rPr>
        <w:t>9</w:t>
      </w:r>
      <w:r w:rsidRPr="0015116B">
        <w:rPr>
          <w:rFonts w:eastAsiaTheme="minorEastAsia"/>
        </w:rPr>
        <w:t xml:space="preserve"> assessment model </w:t>
      </w:r>
      <w:r w:rsidR="00E44835" w:rsidRPr="0015116B">
        <w:rPr>
          <w:rFonts w:eastAsiaTheme="minorEastAsia"/>
        </w:rPr>
        <w:t>(</w:t>
      </w:r>
      <w:r w:rsidR="00996908" w:rsidRPr="0015116B">
        <w:rPr>
          <w:rFonts w:eastAsiaTheme="minorEastAsia"/>
        </w:rPr>
        <w:t>373.96</w:t>
      </w:r>
      <w:r w:rsidR="00E44835" w:rsidRPr="0015116B">
        <w:rPr>
          <w:rFonts w:eastAsiaTheme="minorEastAsia"/>
        </w:rPr>
        <w:t xml:space="preserve"> million</w:t>
      </w:r>
      <w:r w:rsidRPr="0015116B">
        <w:rPr>
          <w:rFonts w:eastAsiaTheme="minorEastAsia"/>
        </w:rPr>
        <w:t>).</w:t>
      </w:r>
      <w:r w:rsidR="00A759AB" w:rsidRPr="0015116B">
        <w:rPr>
          <w:rFonts w:eastAsiaTheme="minorEastAsia"/>
        </w:rPr>
        <w:t xml:space="preserve"> </w:t>
      </w:r>
      <w:r w:rsidR="009E2D80" w:rsidRPr="0015116B">
        <w:rPr>
          <w:rFonts w:eastAsiaTheme="minorEastAsia"/>
        </w:rPr>
        <w:t xml:space="preserve">The value </w:t>
      </w:r>
      <w:r w:rsidR="00A759AB" w:rsidRPr="0015116B">
        <w:rPr>
          <w:rFonts w:eastAsiaTheme="minorEastAsia"/>
        </w:rPr>
        <w:t xml:space="preserve">of </w:t>
      </w:r>
      <w:r w:rsidR="009E2D80" w:rsidRPr="0015116B">
        <w:rPr>
          <w:rFonts w:eastAsiaTheme="minorEastAsia"/>
        </w:rPr>
        <w:t>B</w:t>
      </w:r>
      <w:r w:rsidR="009E2D80" w:rsidRPr="0015116B">
        <w:rPr>
          <w:rFonts w:eastAsiaTheme="minorEastAsia"/>
          <w:vertAlign w:val="subscript"/>
        </w:rPr>
        <w:t>MSY</w:t>
      </w:r>
      <w:r w:rsidR="009E2D80" w:rsidRPr="0015116B">
        <w:rPr>
          <w:rFonts w:eastAsiaTheme="minorEastAsia"/>
        </w:rPr>
        <w:t>=B</w:t>
      </w:r>
      <w:r w:rsidR="009E2D80" w:rsidRPr="0015116B">
        <w:rPr>
          <w:rFonts w:eastAsiaTheme="minorEastAsia"/>
          <w:vertAlign w:val="subscript"/>
        </w:rPr>
        <w:t>35%</w:t>
      </w:r>
      <w:r w:rsidR="009E2D80" w:rsidRPr="0015116B">
        <w:rPr>
          <w:rFonts w:eastAsiaTheme="minorEastAsia"/>
        </w:rPr>
        <w:t xml:space="preserve"> </w:t>
      </w:r>
      <w:r w:rsidR="00A759AB" w:rsidRPr="0015116B">
        <w:rPr>
          <w:rFonts w:eastAsiaTheme="minorEastAsia"/>
        </w:rPr>
        <w:t xml:space="preserve">for </w:t>
      </w:r>
      <m:oMath>
        <m:acc>
          <m:accPr>
            <m:chr m:val="̅"/>
            <m:ctrlPr>
              <w:rPr>
                <w:rFonts w:ascii="Cambria Math" w:eastAsiaTheme="minorEastAsia" w:hAnsi="Cambria Math"/>
                <w:i/>
              </w:rPr>
            </m:ctrlPr>
          </m:accPr>
          <m:e>
            <m:r>
              <w:rPr>
                <w:rFonts w:ascii="Cambria Math" w:eastAsiaTheme="minorEastAsia" w:hAnsi="Cambria Math"/>
              </w:rPr>
              <m:t>R</m:t>
            </m:r>
          </m:e>
        </m:acc>
      </m:oMath>
      <w:r w:rsidR="00A759AB" w:rsidRPr="0015116B">
        <w:rPr>
          <w:rFonts w:eastAsiaTheme="minorEastAsia"/>
        </w:rPr>
        <w:t xml:space="preserve"> </w:t>
      </w:r>
      <w:r w:rsidR="009E2D80" w:rsidRPr="0015116B">
        <w:rPr>
          <w:rFonts w:eastAsiaTheme="minorEastAsia"/>
        </w:rPr>
        <w:t xml:space="preserve">is </w:t>
      </w:r>
      <w:r w:rsidR="00996908" w:rsidRPr="0015116B">
        <w:rPr>
          <w:rFonts w:eastAsiaTheme="minorEastAsia"/>
        </w:rPr>
        <w:t>36.62</w:t>
      </w:r>
      <w:r w:rsidR="00741806" w:rsidRPr="0015116B">
        <w:rPr>
          <w:rFonts w:eastAsiaTheme="minorEastAsia"/>
        </w:rPr>
        <w:t xml:space="preserve"> </w:t>
      </w:r>
      <w:r w:rsidR="009E2D80" w:rsidRPr="0015116B">
        <w:rPr>
          <w:rFonts w:eastAsiaTheme="minorEastAsia"/>
        </w:rPr>
        <w:t>thousand t</w:t>
      </w:r>
      <w:r w:rsidR="000B7333" w:rsidRPr="0015116B">
        <w:rPr>
          <w:rFonts w:eastAsiaTheme="minorEastAsia"/>
        </w:rPr>
        <w:t xml:space="preserve">, which is </w:t>
      </w:r>
      <w:r w:rsidR="00996908" w:rsidRPr="0015116B">
        <w:rPr>
          <w:rFonts w:eastAsiaTheme="minorEastAsia"/>
        </w:rPr>
        <w:t>somewhat smalle</w:t>
      </w:r>
      <w:r w:rsidR="00A14E97" w:rsidRPr="0015116B">
        <w:rPr>
          <w:rFonts w:eastAsiaTheme="minorEastAsia"/>
        </w:rPr>
        <w:t>r</w:t>
      </w:r>
      <w:r w:rsidR="00E44835" w:rsidRPr="0015116B">
        <w:rPr>
          <w:rFonts w:eastAsiaTheme="minorEastAsia"/>
        </w:rPr>
        <w:t xml:space="preserve"> than</w:t>
      </w:r>
      <w:r w:rsidR="000B7333" w:rsidRPr="0015116B">
        <w:rPr>
          <w:rFonts w:eastAsiaTheme="minorEastAsia"/>
        </w:rPr>
        <w:t xml:space="preserve"> that </w:t>
      </w:r>
      <w:r w:rsidR="00996908" w:rsidRPr="0015116B">
        <w:rPr>
          <w:rFonts w:eastAsiaTheme="minorEastAsia"/>
        </w:rPr>
        <w:t>obtained in</w:t>
      </w:r>
      <w:r w:rsidR="000B7333" w:rsidRPr="0015116B">
        <w:rPr>
          <w:rFonts w:eastAsiaTheme="minorEastAsia"/>
        </w:rPr>
        <w:t xml:space="preserve"> the 201</w:t>
      </w:r>
      <w:r w:rsidR="00996908" w:rsidRPr="0015116B">
        <w:rPr>
          <w:rFonts w:eastAsiaTheme="minorEastAsia"/>
        </w:rPr>
        <w:t>9</w:t>
      </w:r>
      <w:r w:rsidR="000B7333" w:rsidRPr="0015116B">
        <w:rPr>
          <w:rFonts w:eastAsiaTheme="minorEastAsia"/>
        </w:rPr>
        <w:t xml:space="preserve"> assessment (</w:t>
      </w:r>
      <w:r w:rsidR="00996908" w:rsidRPr="0015116B">
        <w:rPr>
          <w:rFonts w:eastAsiaTheme="minorEastAsia"/>
        </w:rPr>
        <w:t>41.07</w:t>
      </w:r>
      <w:r w:rsidR="000B7333" w:rsidRPr="0015116B">
        <w:rPr>
          <w:rFonts w:eastAsiaTheme="minorEastAsia"/>
        </w:rPr>
        <w:t xml:space="preserve"> thousand t)</w:t>
      </w:r>
      <w:r w:rsidR="009E2D80" w:rsidRPr="0015116B">
        <w:rPr>
          <w:rFonts w:eastAsiaTheme="minorEastAsia"/>
        </w:rPr>
        <w:t>.</w:t>
      </w:r>
    </w:p>
    <w:p w14:paraId="5C41998D" w14:textId="2E318B40" w:rsidR="00155320" w:rsidRPr="0015116B" w:rsidRDefault="002C348F" w:rsidP="004E483B">
      <w:pPr>
        <w:rPr>
          <w:rFonts w:eastAsiaTheme="minorEastAsia"/>
        </w:rPr>
      </w:pPr>
      <w:r w:rsidRPr="0015116B">
        <w:rPr>
          <w:rFonts w:eastAsiaTheme="minorEastAsia"/>
        </w:rPr>
        <w:t>Once F</w:t>
      </w:r>
      <w:r w:rsidRPr="0015116B">
        <w:rPr>
          <w:rFonts w:eastAsiaTheme="minorEastAsia"/>
          <w:vertAlign w:val="subscript"/>
        </w:rPr>
        <w:t>MSY</w:t>
      </w:r>
      <w:r w:rsidRPr="0015116B">
        <w:rPr>
          <w:rFonts w:eastAsiaTheme="minorEastAsia"/>
        </w:rPr>
        <w:t xml:space="preserve"> and B</w:t>
      </w:r>
      <w:r w:rsidRPr="0015116B">
        <w:rPr>
          <w:rFonts w:eastAsiaTheme="minorEastAsia"/>
          <w:vertAlign w:val="subscript"/>
        </w:rPr>
        <w:t>MSY</w:t>
      </w:r>
      <w:r w:rsidRPr="0015116B">
        <w:rPr>
          <w:rFonts w:eastAsiaTheme="minorEastAsia"/>
        </w:rPr>
        <w:t xml:space="preserve"> are determined, </w:t>
      </w:r>
      <w:r w:rsidR="00155320" w:rsidRPr="0015116B">
        <w:rPr>
          <w:rFonts w:eastAsiaTheme="minorEastAsia"/>
        </w:rPr>
        <w:t>the (total catch) OFL can be</w:t>
      </w:r>
      <w:r w:rsidRPr="0015116B">
        <w:rPr>
          <w:rFonts w:eastAsiaTheme="minorEastAsia"/>
        </w:rPr>
        <w:t xml:space="preserve"> </w:t>
      </w:r>
      <w:r w:rsidR="00155320" w:rsidRPr="0015116B">
        <w:rPr>
          <w:rFonts w:eastAsiaTheme="minorEastAsia"/>
        </w:rPr>
        <w:t>calculated</w:t>
      </w:r>
      <w:r w:rsidRPr="0015116B">
        <w:rPr>
          <w:rFonts w:eastAsiaTheme="minorEastAsia"/>
        </w:rPr>
        <w:t xml:space="preserve"> iteratively</w:t>
      </w:r>
      <w:r w:rsidR="00155320" w:rsidRPr="0015116B">
        <w:rPr>
          <w:rFonts w:eastAsiaTheme="minorEastAsia"/>
        </w:rPr>
        <w:t xml:space="preserve"> based on projecting the population forward one year assuming </w:t>
      </w:r>
      <w:r w:rsidRPr="0015116B">
        <w:rPr>
          <w:rFonts w:eastAsiaTheme="minorEastAsia"/>
        </w:rPr>
        <w:t xml:space="preserve">an </w:t>
      </w:r>
      <w:r w:rsidRPr="0015116B">
        <w:rPr>
          <w:rFonts w:eastAsiaTheme="minorEastAsia"/>
          <w:i/>
          <w:iCs/>
        </w:rPr>
        <w:t>F</w:t>
      </w:r>
      <w:r w:rsidRPr="0015116B">
        <w:rPr>
          <w:rFonts w:eastAsiaTheme="minorEastAsia"/>
        </w:rPr>
        <w:t xml:space="preserve">, calculating the catch and projected biomass </w:t>
      </w:r>
      <w:r w:rsidRPr="0015116B">
        <w:rPr>
          <w:rFonts w:eastAsiaTheme="minorEastAsia"/>
          <w:i/>
          <w:iCs/>
        </w:rPr>
        <w:t>B</w:t>
      </w:r>
      <w:r w:rsidRPr="0015116B">
        <w:rPr>
          <w:rFonts w:eastAsiaTheme="minorEastAsia"/>
        </w:rPr>
        <w:t xml:space="preserve">, comparing the stock’s position on the harvest control rule’s phase plane and adjusting </w:t>
      </w:r>
      <w:r w:rsidRPr="0015116B">
        <w:rPr>
          <w:rFonts w:eastAsiaTheme="minorEastAsia"/>
          <w:i/>
          <w:iCs/>
        </w:rPr>
        <w:t>F</w:t>
      </w:r>
      <w:r w:rsidRPr="0015116B">
        <w:rPr>
          <w:rFonts w:eastAsiaTheme="minorEastAsia"/>
        </w:rPr>
        <w:t xml:space="preserve"> </w:t>
      </w:r>
      <w:r w:rsidR="00A869AD" w:rsidRPr="0015116B">
        <w:rPr>
          <w:rFonts w:eastAsiaTheme="minorEastAsia"/>
        </w:rPr>
        <w:t xml:space="preserve">and recalculating the projected </w:t>
      </w:r>
      <w:r w:rsidR="00A869AD" w:rsidRPr="0015116B">
        <w:rPr>
          <w:rFonts w:eastAsiaTheme="minorEastAsia"/>
          <w:i/>
          <w:iCs/>
        </w:rPr>
        <w:t>B</w:t>
      </w:r>
      <w:r w:rsidR="00A869AD" w:rsidRPr="0015116B">
        <w:rPr>
          <w:rFonts w:eastAsiaTheme="minorEastAsia"/>
        </w:rPr>
        <w:t xml:space="preserve"> </w:t>
      </w:r>
      <w:r w:rsidRPr="0015116B">
        <w:rPr>
          <w:rFonts w:eastAsiaTheme="minorEastAsia"/>
        </w:rPr>
        <w:t xml:space="preserve">until </w:t>
      </w:r>
      <w:r w:rsidR="00A869AD" w:rsidRPr="0015116B">
        <w:rPr>
          <w:rFonts w:eastAsiaTheme="minorEastAsia"/>
        </w:rPr>
        <w:t>the point (</w:t>
      </w:r>
      <w:r w:rsidR="00A869AD" w:rsidRPr="0015116B">
        <w:rPr>
          <w:rFonts w:eastAsiaTheme="minorEastAsia"/>
          <w:i/>
          <w:iCs/>
        </w:rPr>
        <w:t>F</w:t>
      </w:r>
      <w:r w:rsidR="00A869AD" w:rsidRPr="0015116B">
        <w:rPr>
          <w:rFonts w:eastAsiaTheme="minorEastAsia"/>
        </w:rPr>
        <w:t xml:space="preserve">, </w:t>
      </w:r>
      <w:r w:rsidR="00A869AD" w:rsidRPr="0015116B">
        <w:rPr>
          <w:rFonts w:eastAsiaTheme="minorEastAsia"/>
          <w:i/>
          <w:iCs/>
        </w:rPr>
        <w:t>B</w:t>
      </w:r>
      <w:r w:rsidR="00A869AD" w:rsidRPr="0015116B">
        <w:rPr>
          <w:rFonts w:eastAsiaTheme="minorEastAsia"/>
        </w:rPr>
        <w:t>)</w:t>
      </w:r>
      <w:r w:rsidRPr="0015116B">
        <w:rPr>
          <w:rFonts w:eastAsiaTheme="minorEastAsia"/>
        </w:rPr>
        <w:t xml:space="preserve"> lie</w:t>
      </w:r>
      <w:r w:rsidR="00A869AD" w:rsidRPr="0015116B">
        <w:rPr>
          <w:rFonts w:eastAsiaTheme="minorEastAsia"/>
        </w:rPr>
        <w:t>s</w:t>
      </w:r>
      <w:r w:rsidRPr="0015116B">
        <w:rPr>
          <w:rFonts w:eastAsiaTheme="minorEastAsia"/>
        </w:rPr>
        <w:t xml:space="preserve"> on the control rule.</w:t>
      </w:r>
      <w:r w:rsidR="00A869AD" w:rsidRPr="0015116B">
        <w:rPr>
          <w:rFonts w:eastAsiaTheme="minorEastAsia"/>
        </w:rPr>
        <w:t xml:space="preserve"> </w:t>
      </w:r>
      <w:r w:rsidR="00155320" w:rsidRPr="0015116B">
        <w:rPr>
          <w:rFonts w:eastAsiaTheme="minorEastAsia"/>
        </w:rPr>
        <w:t xml:space="preserve">In the absence of uncertainty, the OFL would then be the predicted total catch taken when fishing at </w:t>
      </w:r>
      <w:r w:rsidR="00155320" w:rsidRPr="0015116B">
        <w:rPr>
          <w:rFonts w:eastAsiaTheme="minorEastAsia"/>
          <w:i/>
        </w:rPr>
        <w:t>F</w:t>
      </w:r>
      <w:r w:rsidR="00155320" w:rsidRPr="0015116B">
        <w:rPr>
          <w:rFonts w:eastAsiaTheme="minorEastAsia"/>
        </w:rPr>
        <w:t xml:space="preserve"> = F</w:t>
      </w:r>
      <w:r w:rsidR="00155320" w:rsidRPr="0015116B">
        <w:rPr>
          <w:rFonts w:eastAsiaTheme="minorEastAsia"/>
          <w:vertAlign w:val="subscript"/>
        </w:rPr>
        <w:t>OFL</w:t>
      </w:r>
      <w:r w:rsidR="00155320" w:rsidRPr="0015116B">
        <w:rPr>
          <w:rFonts w:eastAsiaTheme="minorEastAsia"/>
        </w:rPr>
        <w:t xml:space="preserve">. When uncertainty (e.g. assessment uncertainty, variability in future recruitment) is taken into account, the OFL is taken as the median total catch </w:t>
      </w:r>
      <w:r w:rsidR="00A869AD" w:rsidRPr="0015116B">
        <w:rPr>
          <w:rFonts w:eastAsiaTheme="minorEastAsia"/>
        </w:rPr>
        <w:t xml:space="preserve">mortality </w:t>
      </w:r>
      <w:r w:rsidR="00155320" w:rsidRPr="0015116B">
        <w:rPr>
          <w:rFonts w:eastAsiaTheme="minorEastAsia"/>
        </w:rPr>
        <w:t xml:space="preserve">when fishing </w:t>
      </w:r>
      <w:r w:rsidR="00520B96" w:rsidRPr="0015116B">
        <w:rPr>
          <w:rFonts w:eastAsiaTheme="minorEastAsia"/>
        </w:rPr>
        <w:t xml:space="preserve">at </w:t>
      </w:r>
      <w:r w:rsidR="00520B96" w:rsidRPr="0015116B">
        <w:rPr>
          <w:rFonts w:eastAsiaTheme="minorEastAsia"/>
          <w:i/>
        </w:rPr>
        <w:t>F</w:t>
      </w:r>
      <w:r w:rsidR="00520B96" w:rsidRPr="0015116B">
        <w:rPr>
          <w:rFonts w:eastAsiaTheme="minorEastAsia"/>
        </w:rPr>
        <w:t xml:space="preserve"> = F</w:t>
      </w:r>
      <w:r w:rsidR="00520B96" w:rsidRPr="0015116B">
        <w:rPr>
          <w:rFonts w:eastAsiaTheme="minorEastAsia"/>
          <w:vertAlign w:val="subscript"/>
        </w:rPr>
        <w:t>OFL</w:t>
      </w:r>
      <w:r w:rsidR="00520B96" w:rsidRPr="0015116B">
        <w:rPr>
          <w:rFonts w:eastAsiaTheme="minorEastAsia"/>
        </w:rPr>
        <w:t>.</w:t>
      </w:r>
    </w:p>
    <w:p w14:paraId="5BAC90F6" w14:textId="7416AB6B" w:rsidR="004E483B" w:rsidRPr="0015116B" w:rsidRDefault="004E483B" w:rsidP="004E483B">
      <w:r w:rsidRPr="0015116B">
        <w:t>The total catch</w:t>
      </w:r>
      <w:r w:rsidR="00F6292B" w:rsidRPr="0015116B">
        <w:t xml:space="preserve"> </w:t>
      </w:r>
      <w:r w:rsidR="00A869AD" w:rsidRPr="0015116B">
        <w:t xml:space="preserve">mortality </w:t>
      </w:r>
      <w:r w:rsidR="00F6292B" w:rsidRPr="0015116B">
        <w:t>(biomass)</w:t>
      </w:r>
      <w:r w:rsidRPr="0015116B">
        <w:t xml:space="preserve">, including all bycatch of both sexes from all fisheries, </w:t>
      </w:r>
      <w:r w:rsidR="00F6292B" w:rsidRPr="0015116B">
        <w:t>wa</w:t>
      </w:r>
      <w:r w:rsidRPr="0015116B">
        <w:t>s esti</w:t>
      </w:r>
      <w:r w:rsidR="00820577" w:rsidRPr="0015116B">
        <w:t xml:space="preserve">mated </w:t>
      </w:r>
      <w:r w:rsidR="00F6292B" w:rsidRPr="0015116B">
        <w:t>using</w:t>
      </w:r>
    </w:p>
    <w:p w14:paraId="064205F0" w14:textId="77777777" w:rsidR="004E483B" w:rsidRPr="0015116B" w:rsidRDefault="00372CB2" w:rsidP="004E483B">
      <m:oMathPara>
        <m:oMath>
          <m:r>
            <w:rPr>
              <w:rFonts w:ascii="Cambria Math" w:hAnsi="Cambria Math"/>
            </w:rPr>
            <m:t>C=</m:t>
          </m:r>
          <m:nary>
            <m:naryPr>
              <m:chr m:val="∑"/>
              <m:limLoc m:val="undOvr"/>
              <m:supHide m:val="1"/>
              <m:ctrlPr>
                <w:rPr>
                  <w:rFonts w:ascii="Cambria Math" w:hAnsi="Cambria Math"/>
                  <w:i/>
                </w:rPr>
              </m:ctrlPr>
            </m:naryPr>
            <m:sub>
              <m:r>
                <w:rPr>
                  <w:rFonts w:ascii="Cambria Math" w:hAnsi="Cambria Math"/>
                </w:rPr>
                <m:t>f</m:t>
              </m:r>
            </m:sub>
            <m:sup/>
            <m:e>
              <m:nary>
                <m:naryPr>
                  <m:chr m:val="∑"/>
                  <m:limLoc m:val="undOvr"/>
                  <m:supHide m:val="1"/>
                  <m:ctrlPr>
                    <w:rPr>
                      <w:rFonts w:ascii="Cambria Math" w:hAnsi="Cambria Math"/>
                      <w:i/>
                    </w:rPr>
                  </m:ctrlPr>
                </m:naryPr>
                <m:sub>
                  <m:r>
                    <w:rPr>
                      <w:rFonts w:ascii="Cambria Math" w:hAnsi="Cambria Math"/>
                    </w:rPr>
                    <m:t>x</m:t>
                  </m:r>
                </m:sub>
                <m:sup/>
                <m:e>
                  <m:nary>
                    <m:naryPr>
                      <m:chr m:val="∑"/>
                      <m:limLoc m:val="undOvr"/>
                      <m:supHide m:val="1"/>
                      <m:ctrlPr>
                        <w:rPr>
                          <w:rFonts w:ascii="Cambria Math" w:hAnsi="Cambria Math"/>
                          <w:i/>
                        </w:rPr>
                      </m:ctrlPr>
                    </m:naryPr>
                    <m:sub>
                      <m:r>
                        <w:rPr>
                          <w:rFonts w:ascii="Cambria Math" w:hAnsi="Cambria Math"/>
                        </w:rPr>
                        <m:t>z</m:t>
                      </m:r>
                    </m:sub>
                    <m:sup/>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f,x,z</m:t>
                              </m:r>
                            </m:sub>
                          </m:sSub>
                        </m:num>
                        <m:den>
                          <m:sSub>
                            <m:sSubPr>
                              <m:ctrlPr>
                                <w:rPr>
                                  <w:rFonts w:ascii="Cambria Math" w:hAnsi="Cambria Math"/>
                                  <w:i/>
                                </w:rPr>
                              </m:ctrlPr>
                            </m:sSubPr>
                            <m:e>
                              <m:r>
                                <w:rPr>
                                  <w:rFonts w:ascii="Cambria Math" w:hAnsi="Cambria Math"/>
                                </w:rPr>
                                <m:t>F</m:t>
                              </m:r>
                            </m:e>
                            <m:sub>
                              <m:r>
                                <w:rPr>
                                  <w:rFonts w:ascii="Cambria Math" w:hAnsi="Cambria Math"/>
                                </w:rPr>
                                <m:t>.,x,z</m:t>
                              </m:r>
                            </m:sub>
                          </m:sSub>
                        </m:den>
                      </m:f>
                      <m:r>
                        <w:rPr>
                          <w:rFonts w:ascii="Cambria Math" w:hAnsi="Cambria Math"/>
                        </w:rPr>
                        <m:t>∙</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.,x,z</m:t>
                                  </m:r>
                                </m:sub>
                              </m:sSub>
                            </m:sup>
                          </m:sSup>
                        </m:e>
                      </m:d>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x,z</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x</m:t>
                              </m:r>
                            </m:sub>
                          </m:sSub>
                          <m:r>
                            <w:rPr>
                              <w:rFonts w:ascii="Cambria Math" w:hAnsi="Cambria Math"/>
                            </w:rPr>
                            <m:t>∙δt</m:t>
                          </m:r>
                        </m:sup>
                      </m:s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x,z</m:t>
                          </m:r>
                        </m:sub>
                      </m:sSub>
                      <m:r>
                        <w:rPr>
                          <w:rFonts w:ascii="Cambria Math" w:hAnsi="Cambria Math"/>
                        </w:rPr>
                        <m:t>]</m:t>
                      </m:r>
                    </m:e>
                  </m:nary>
                </m:e>
              </m:nary>
            </m:e>
          </m:nary>
        </m:oMath>
      </m:oMathPara>
    </w:p>
    <w:p w14:paraId="2DEA7020" w14:textId="4D51A12B" w:rsidR="004E483B" w:rsidRPr="0015116B" w:rsidRDefault="00820577" w:rsidP="004E483B">
      <w:r w:rsidRPr="0015116B">
        <w:t xml:space="preserve">where </w:t>
      </w:r>
      <w:r w:rsidRPr="0015116B">
        <w:rPr>
          <w:i/>
        </w:rPr>
        <w:t>C</w:t>
      </w:r>
      <w:r w:rsidRPr="0015116B">
        <w:t xml:space="preserve"> is total catch</w:t>
      </w:r>
      <w:r w:rsidR="00F6292B" w:rsidRPr="0015116B">
        <w:t xml:space="preserve"> (biomass)</w:t>
      </w:r>
      <w:r w:rsidRPr="0015116B">
        <w:t xml:space="preserve">, </w:t>
      </w:r>
      <w:proofErr w:type="spellStart"/>
      <w:r w:rsidRPr="0015116B">
        <w:rPr>
          <w:i/>
        </w:rPr>
        <w:t>F</w:t>
      </w:r>
      <w:r w:rsidRPr="0015116B">
        <w:rPr>
          <w:i/>
          <w:vertAlign w:val="subscript"/>
        </w:rPr>
        <w:t>f,x,z</w:t>
      </w:r>
      <w:proofErr w:type="spellEnd"/>
      <w:r w:rsidRPr="0015116B">
        <w:t xml:space="preserve"> is the fishing mortality in fishery </w:t>
      </w:r>
      <w:r w:rsidRPr="0015116B">
        <w:rPr>
          <w:i/>
        </w:rPr>
        <w:t>f</w:t>
      </w:r>
      <w:r w:rsidRPr="0015116B">
        <w:t xml:space="preserve"> on crab </w:t>
      </w:r>
      <w:r w:rsidR="009A48C8" w:rsidRPr="0015116B">
        <w:t>in</w:t>
      </w:r>
      <w:r w:rsidRPr="0015116B">
        <w:t xml:space="preserve"> size</w:t>
      </w:r>
      <w:r w:rsidR="009A48C8" w:rsidRPr="0015116B">
        <w:t xml:space="preserve"> bin</w:t>
      </w:r>
      <w:r w:rsidRPr="0015116B">
        <w:t xml:space="preserve"> </w:t>
      </w:r>
      <w:r w:rsidRPr="0015116B">
        <w:rPr>
          <w:i/>
        </w:rPr>
        <w:t>z</w:t>
      </w:r>
      <w:r w:rsidR="009A48C8" w:rsidRPr="0015116B">
        <w:t xml:space="preserve"> by sex (</w:t>
      </w:r>
      <w:r w:rsidR="009A48C8" w:rsidRPr="0015116B">
        <w:rPr>
          <w:i/>
        </w:rPr>
        <w:t>x</w:t>
      </w:r>
      <w:r w:rsidR="009A48C8" w:rsidRPr="0015116B">
        <w:t>)</w:t>
      </w:r>
      <w:r w:rsidRPr="0015116B">
        <w:t xml:space="preserve">, </w:t>
      </w:r>
      <m:oMath>
        <m:sSub>
          <m:sSubPr>
            <m:ctrlPr>
              <w:rPr>
                <w:rFonts w:ascii="Cambria Math" w:hAnsi="Cambria Math"/>
                <w:i/>
              </w:rPr>
            </m:ctrlPr>
          </m:sSubPr>
          <m:e>
            <m:r>
              <w:rPr>
                <w:rFonts w:ascii="Cambria Math" w:hAnsi="Cambria Math"/>
              </w:rPr>
              <m:t>F</m:t>
            </m:r>
          </m:e>
          <m:sub>
            <m:r>
              <w:rPr>
                <w:rFonts w:ascii="Cambria Math" w:hAnsi="Cambria Math"/>
              </w:rPr>
              <m:t>.,x,z</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f</m:t>
            </m:r>
          </m:sub>
          <m:sup/>
          <m:e>
            <m:sSub>
              <m:sSubPr>
                <m:ctrlPr>
                  <w:rPr>
                    <w:rFonts w:ascii="Cambria Math" w:hAnsi="Cambria Math"/>
                    <w:i/>
                  </w:rPr>
                </m:ctrlPr>
              </m:sSubPr>
              <m:e>
                <m:r>
                  <w:rPr>
                    <w:rFonts w:ascii="Cambria Math" w:hAnsi="Cambria Math"/>
                  </w:rPr>
                  <m:t>F</m:t>
                </m:r>
              </m:e>
              <m:sub>
                <m:r>
                  <w:rPr>
                    <w:rFonts w:ascii="Cambria Math" w:hAnsi="Cambria Math"/>
                  </w:rPr>
                  <m:t>f,x,z</m:t>
                </m:r>
              </m:sub>
            </m:sSub>
          </m:e>
        </m:nary>
      </m:oMath>
      <w:r w:rsidRPr="0015116B">
        <w:rPr>
          <w:rFonts w:eastAsiaTheme="minorEastAsia"/>
        </w:rPr>
        <w:t xml:space="preserve"> is the total fishing mortality</w:t>
      </w:r>
      <w:r w:rsidR="00F6292B" w:rsidRPr="0015116B">
        <w:rPr>
          <w:rFonts w:eastAsiaTheme="minorEastAsia"/>
        </w:rPr>
        <w:t xml:space="preserve"> </w:t>
      </w:r>
      <w:r w:rsidR="009A48C8" w:rsidRPr="0015116B">
        <w:rPr>
          <w:rFonts w:eastAsiaTheme="minorEastAsia"/>
        </w:rPr>
        <w:t>by</w:t>
      </w:r>
      <w:r w:rsidR="00F6292B" w:rsidRPr="0015116B">
        <w:rPr>
          <w:rFonts w:eastAsiaTheme="minorEastAsia"/>
        </w:rPr>
        <w:t xml:space="preserve"> sex</w:t>
      </w:r>
      <w:r w:rsidR="009A48C8" w:rsidRPr="0015116B">
        <w:rPr>
          <w:rFonts w:eastAsiaTheme="minorEastAsia"/>
        </w:rPr>
        <w:t xml:space="preserve"> on</w:t>
      </w:r>
      <w:r w:rsidR="00F6292B" w:rsidRPr="0015116B">
        <w:rPr>
          <w:rFonts w:eastAsiaTheme="minorEastAsia"/>
        </w:rPr>
        <w:t xml:space="preserve"> crab </w:t>
      </w:r>
      <w:r w:rsidR="009A48C8" w:rsidRPr="0015116B">
        <w:rPr>
          <w:rFonts w:eastAsiaTheme="minorEastAsia"/>
        </w:rPr>
        <w:t>in</w:t>
      </w:r>
      <w:r w:rsidR="00F6292B" w:rsidRPr="0015116B">
        <w:rPr>
          <w:rFonts w:eastAsiaTheme="minorEastAsia"/>
        </w:rPr>
        <w:t xml:space="preserve"> size</w:t>
      </w:r>
      <w:r w:rsidR="009A48C8" w:rsidRPr="0015116B">
        <w:rPr>
          <w:rFonts w:eastAsiaTheme="minorEastAsia"/>
        </w:rPr>
        <w:t xml:space="preserve"> bin</w:t>
      </w:r>
      <w:r w:rsidR="00F6292B" w:rsidRPr="0015116B">
        <w:rPr>
          <w:rFonts w:eastAsiaTheme="minorEastAsia"/>
        </w:rPr>
        <w:t xml:space="preserve"> </w:t>
      </w:r>
      <w:r w:rsidR="00F6292B" w:rsidRPr="0015116B">
        <w:rPr>
          <w:rFonts w:eastAsiaTheme="minorEastAsia"/>
          <w:i/>
        </w:rPr>
        <w:t>z</w:t>
      </w:r>
      <w:r w:rsidR="00F6292B" w:rsidRPr="0015116B">
        <w:rPr>
          <w:rFonts w:eastAsiaTheme="minorEastAsia"/>
        </w:rPr>
        <w:t xml:space="preserve">, </w:t>
      </w:r>
      <w:proofErr w:type="spellStart"/>
      <w:r w:rsidR="00F6292B" w:rsidRPr="0015116B">
        <w:rPr>
          <w:rFonts w:eastAsiaTheme="minorEastAsia"/>
          <w:i/>
        </w:rPr>
        <w:t>w</w:t>
      </w:r>
      <w:r w:rsidR="00F6292B" w:rsidRPr="0015116B">
        <w:rPr>
          <w:rFonts w:eastAsiaTheme="minorEastAsia"/>
          <w:i/>
          <w:vertAlign w:val="subscript"/>
        </w:rPr>
        <w:t>x,z</w:t>
      </w:r>
      <w:proofErr w:type="spellEnd"/>
      <w:r w:rsidR="00F6292B" w:rsidRPr="0015116B">
        <w:rPr>
          <w:rFonts w:eastAsiaTheme="minorEastAsia"/>
        </w:rPr>
        <w:t xml:space="preserve"> is the </w:t>
      </w:r>
      <w:r w:rsidR="009A48C8" w:rsidRPr="0015116B">
        <w:rPr>
          <w:rFonts w:eastAsiaTheme="minorEastAsia"/>
        </w:rPr>
        <w:t xml:space="preserve">mean </w:t>
      </w:r>
      <w:r w:rsidR="00F6292B" w:rsidRPr="0015116B">
        <w:rPr>
          <w:rFonts w:eastAsiaTheme="minorEastAsia"/>
        </w:rPr>
        <w:t xml:space="preserve">weight of crab </w:t>
      </w:r>
      <w:r w:rsidR="009A48C8" w:rsidRPr="0015116B">
        <w:rPr>
          <w:rFonts w:eastAsiaTheme="minorEastAsia"/>
        </w:rPr>
        <w:t>in</w:t>
      </w:r>
      <w:r w:rsidR="00F6292B" w:rsidRPr="0015116B">
        <w:rPr>
          <w:rFonts w:eastAsiaTheme="minorEastAsia"/>
        </w:rPr>
        <w:t xml:space="preserve"> size</w:t>
      </w:r>
      <w:r w:rsidR="009A48C8" w:rsidRPr="0015116B">
        <w:rPr>
          <w:rFonts w:eastAsiaTheme="minorEastAsia"/>
        </w:rPr>
        <w:t xml:space="preserve"> bin</w:t>
      </w:r>
      <w:r w:rsidR="00F6292B" w:rsidRPr="0015116B">
        <w:rPr>
          <w:rFonts w:eastAsiaTheme="minorEastAsia"/>
        </w:rPr>
        <w:t xml:space="preserve"> </w:t>
      </w:r>
      <w:r w:rsidR="00F6292B" w:rsidRPr="0015116B">
        <w:rPr>
          <w:rFonts w:eastAsiaTheme="minorEastAsia"/>
          <w:i/>
        </w:rPr>
        <w:t>z</w:t>
      </w:r>
      <w:r w:rsidR="009A48C8" w:rsidRPr="0015116B">
        <w:rPr>
          <w:rFonts w:eastAsiaTheme="minorEastAsia"/>
        </w:rPr>
        <w:t xml:space="preserve"> by sex</w:t>
      </w:r>
      <w:r w:rsidR="00F6292B" w:rsidRPr="0015116B">
        <w:rPr>
          <w:rFonts w:eastAsiaTheme="minorEastAsia"/>
        </w:rPr>
        <w:t xml:space="preserve">, </w:t>
      </w:r>
      <w:r w:rsidR="00F6292B" w:rsidRPr="0015116B">
        <w:rPr>
          <w:rFonts w:eastAsiaTheme="minorEastAsia"/>
          <w:i/>
        </w:rPr>
        <w:t>M</w:t>
      </w:r>
      <w:r w:rsidR="00F6292B" w:rsidRPr="0015116B">
        <w:rPr>
          <w:rFonts w:eastAsiaTheme="minorEastAsia"/>
          <w:i/>
          <w:vertAlign w:val="subscript"/>
        </w:rPr>
        <w:t>x</w:t>
      </w:r>
      <w:r w:rsidR="00F6292B" w:rsidRPr="0015116B">
        <w:rPr>
          <w:rFonts w:eastAsiaTheme="minorEastAsia"/>
        </w:rPr>
        <w:t xml:space="preserve"> is the sex-specific rate of natural mortality, </w:t>
      </w:r>
      <m:oMath>
        <m:r>
          <w:rPr>
            <w:rFonts w:ascii="Cambria Math" w:hAnsi="Cambria Math"/>
          </w:rPr>
          <m:t>δt</m:t>
        </m:r>
      </m:oMath>
      <w:r w:rsidR="00F6292B" w:rsidRPr="0015116B">
        <w:rPr>
          <w:rFonts w:eastAsiaTheme="minorEastAsia"/>
        </w:rPr>
        <w:t xml:space="preserve"> is the time from July 1 to </w:t>
      </w:r>
      <w:r w:rsidR="009A48C8" w:rsidRPr="0015116B">
        <w:rPr>
          <w:rFonts w:eastAsiaTheme="minorEastAsia"/>
        </w:rPr>
        <w:t xml:space="preserve">the </w:t>
      </w:r>
      <w:r w:rsidR="00F6292B" w:rsidRPr="0015116B">
        <w:rPr>
          <w:rFonts w:eastAsiaTheme="minorEastAsia"/>
        </w:rPr>
        <w:t xml:space="preserve">time of the fishery (0.625 </w:t>
      </w:r>
      <w:proofErr w:type="spellStart"/>
      <w:r w:rsidR="00F6292B" w:rsidRPr="0015116B">
        <w:rPr>
          <w:rFonts w:eastAsiaTheme="minorEastAsia"/>
        </w:rPr>
        <w:t>yr</w:t>
      </w:r>
      <w:proofErr w:type="spellEnd"/>
      <w:r w:rsidR="00F6292B" w:rsidRPr="0015116B">
        <w:rPr>
          <w:rFonts w:eastAsiaTheme="minorEastAsia"/>
        </w:rPr>
        <w:t xml:space="preserve">), and </w:t>
      </w:r>
      <w:proofErr w:type="spellStart"/>
      <w:r w:rsidR="00F6292B" w:rsidRPr="0015116B">
        <w:rPr>
          <w:rFonts w:eastAsiaTheme="minorEastAsia"/>
          <w:i/>
        </w:rPr>
        <w:t>N</w:t>
      </w:r>
      <w:r w:rsidR="00F6292B" w:rsidRPr="0015116B">
        <w:rPr>
          <w:rFonts w:eastAsiaTheme="minorEastAsia"/>
          <w:i/>
          <w:vertAlign w:val="subscript"/>
        </w:rPr>
        <w:t>x,z</w:t>
      </w:r>
      <w:proofErr w:type="spellEnd"/>
      <w:r w:rsidR="00F6292B" w:rsidRPr="0015116B">
        <w:rPr>
          <w:rFonts w:eastAsiaTheme="minorEastAsia"/>
        </w:rPr>
        <w:t xml:space="preserve"> is the numbers </w:t>
      </w:r>
      <w:r w:rsidR="009A48C8" w:rsidRPr="0015116B">
        <w:rPr>
          <w:rFonts w:eastAsiaTheme="minorEastAsia"/>
        </w:rPr>
        <w:t>by</w:t>
      </w:r>
      <w:r w:rsidR="00F6292B" w:rsidRPr="0015116B">
        <w:rPr>
          <w:rFonts w:eastAsiaTheme="minorEastAsia"/>
        </w:rPr>
        <w:t xml:space="preserve"> sex</w:t>
      </w:r>
      <w:r w:rsidR="009A48C8" w:rsidRPr="0015116B">
        <w:rPr>
          <w:rFonts w:eastAsiaTheme="minorEastAsia"/>
          <w:i/>
        </w:rPr>
        <w:t xml:space="preserve"> </w:t>
      </w:r>
      <w:r w:rsidR="009A48C8" w:rsidRPr="0015116B">
        <w:rPr>
          <w:rFonts w:eastAsiaTheme="minorEastAsia"/>
        </w:rPr>
        <w:t>in</w:t>
      </w:r>
      <w:r w:rsidR="00F6292B" w:rsidRPr="0015116B">
        <w:rPr>
          <w:rFonts w:eastAsiaTheme="minorEastAsia"/>
        </w:rPr>
        <w:t xml:space="preserve"> size</w:t>
      </w:r>
      <w:r w:rsidR="009A48C8" w:rsidRPr="0015116B">
        <w:rPr>
          <w:rFonts w:eastAsiaTheme="minorEastAsia"/>
        </w:rPr>
        <w:t xml:space="preserve"> bin</w:t>
      </w:r>
      <w:r w:rsidR="00F6292B" w:rsidRPr="0015116B">
        <w:rPr>
          <w:rFonts w:eastAsiaTheme="minorEastAsia"/>
        </w:rPr>
        <w:t xml:space="preserve"> </w:t>
      </w:r>
      <w:r w:rsidR="00F6292B" w:rsidRPr="0015116B">
        <w:rPr>
          <w:rFonts w:eastAsiaTheme="minorEastAsia"/>
          <w:i/>
        </w:rPr>
        <w:t>z</w:t>
      </w:r>
      <w:r w:rsidR="00F6292B" w:rsidRPr="0015116B">
        <w:rPr>
          <w:rFonts w:eastAsiaTheme="minorEastAsia"/>
        </w:rPr>
        <w:t xml:space="preserve"> on July 1, 20</w:t>
      </w:r>
      <w:r w:rsidR="00211B4B" w:rsidRPr="0015116B">
        <w:rPr>
          <w:rFonts w:eastAsiaTheme="minorEastAsia"/>
        </w:rPr>
        <w:t>20</w:t>
      </w:r>
      <w:r w:rsidR="00F6292B" w:rsidRPr="0015116B">
        <w:rPr>
          <w:rFonts w:eastAsiaTheme="minorEastAsia"/>
        </w:rPr>
        <w:t xml:space="preserve"> as estimated by the assessment model.</w:t>
      </w:r>
    </w:p>
    <w:p w14:paraId="1FD19D82" w14:textId="54194609" w:rsidR="00FD6165" w:rsidRPr="0015116B" w:rsidRDefault="00D03470" w:rsidP="004E483B">
      <w:r w:rsidRPr="0015116B">
        <w:t xml:space="preserve">Assessment </w:t>
      </w:r>
      <w:r w:rsidR="00F83127" w:rsidRPr="0015116B">
        <w:t xml:space="preserve">model </w:t>
      </w:r>
      <w:r w:rsidRPr="0015116B">
        <w:t xml:space="preserve">uncertainty was included in the calculation of OFL using </w:t>
      </w:r>
      <w:r w:rsidR="000B7333" w:rsidRPr="0015116B">
        <w:t>MCMC</w:t>
      </w:r>
      <w:r w:rsidRPr="0015116B">
        <w:t xml:space="preserve">. </w:t>
      </w:r>
      <w:r w:rsidR="000B7333" w:rsidRPr="0015116B">
        <w:t>Conceptually</w:t>
      </w:r>
      <w:r w:rsidRPr="0015116B">
        <w:t xml:space="preserve">, </w:t>
      </w:r>
      <w:r w:rsidR="000B7333" w:rsidRPr="0015116B">
        <w:t>a random draw from the assessment model’s joint posterior distribution for the estimated parameters was taken, and the</w:t>
      </w:r>
      <w:r w:rsidR="00F83127" w:rsidRPr="0015116B">
        <w:t xml:space="preserve"> </w:t>
      </w:r>
      <m:oMath>
        <m:acc>
          <m:accPr>
            <m:chr m:val="̅"/>
            <m:ctrlPr>
              <w:rPr>
                <w:rFonts w:ascii="Cambria Math" w:eastAsiaTheme="minorEastAsia" w:hAnsi="Cambria Math"/>
                <w:i/>
              </w:rPr>
            </m:ctrlPr>
          </m:accPr>
          <m:e>
            <m:r>
              <w:rPr>
                <w:rFonts w:ascii="Cambria Math" w:eastAsiaTheme="minorEastAsia" w:hAnsi="Cambria Math"/>
              </w:rPr>
              <m:t>R</m:t>
            </m:r>
          </m:e>
        </m:acc>
      </m:oMath>
      <w:r w:rsidR="00E44835" w:rsidRPr="0015116B">
        <w:t xml:space="preserve">, </w:t>
      </w:r>
      <w:r w:rsidR="00F83127" w:rsidRPr="0015116B">
        <w:t>B</w:t>
      </w:r>
      <w:r w:rsidR="00F83127" w:rsidRPr="0015116B">
        <w:rPr>
          <w:vertAlign w:val="subscript"/>
        </w:rPr>
        <w:t>0</w:t>
      </w:r>
      <w:r w:rsidR="00F83127" w:rsidRPr="0015116B">
        <w:t>, F</w:t>
      </w:r>
      <w:r w:rsidR="00F83127" w:rsidRPr="0015116B">
        <w:rPr>
          <w:vertAlign w:val="subscript"/>
        </w:rPr>
        <w:t>MSY</w:t>
      </w:r>
      <w:r w:rsidR="00F83127" w:rsidRPr="0015116B">
        <w:t>, B</w:t>
      </w:r>
      <w:r w:rsidR="00F83127" w:rsidRPr="0015116B">
        <w:rPr>
          <w:vertAlign w:val="subscript"/>
        </w:rPr>
        <w:t>MSY</w:t>
      </w:r>
      <w:r w:rsidR="00F83127" w:rsidRPr="0015116B">
        <w:t>,</w:t>
      </w:r>
      <w:r w:rsidR="000B7333" w:rsidRPr="0015116B">
        <w:t xml:space="preserve"> F</w:t>
      </w:r>
      <w:r w:rsidR="000B7333" w:rsidRPr="0015116B">
        <w:rPr>
          <w:vertAlign w:val="subscript"/>
        </w:rPr>
        <w:t>OFL</w:t>
      </w:r>
      <w:r w:rsidR="000B7333" w:rsidRPr="0015116B">
        <w:t>, OFL, and “current” MMB for 20</w:t>
      </w:r>
      <w:r w:rsidR="00211B4B" w:rsidRPr="0015116B">
        <w:t>20/21</w:t>
      </w:r>
      <w:r w:rsidR="000B7333" w:rsidRPr="0015116B">
        <w:t xml:space="preserve"> were calculated based on </w:t>
      </w:r>
      <w:r w:rsidR="00A869AD" w:rsidRPr="0015116B">
        <w:t xml:space="preserve">the </w:t>
      </w:r>
      <w:r w:rsidR="000B7333" w:rsidRPr="0015116B">
        <w:t>resulting parameter values</w:t>
      </w:r>
      <w:r w:rsidR="00F83127" w:rsidRPr="0015116B">
        <w:t>. T</w:t>
      </w:r>
      <w:r w:rsidR="000B7333" w:rsidRPr="0015116B">
        <w:t xml:space="preserve">his </w:t>
      </w:r>
      <w:r w:rsidR="00A869AD" w:rsidRPr="0015116B">
        <w:t>sh</w:t>
      </w:r>
      <w:r w:rsidR="00F83127" w:rsidRPr="0015116B">
        <w:t>ould be</w:t>
      </w:r>
      <w:r w:rsidR="000B7333" w:rsidRPr="0015116B">
        <w:t xml:space="preserve"> repeated a large number of times to approximate the distribution of OFL given the full model uncertainty. </w:t>
      </w:r>
      <w:r w:rsidR="00A14E97" w:rsidRPr="0015116B">
        <w:t>For this assessment</w:t>
      </w:r>
      <w:r w:rsidR="000B7333" w:rsidRPr="0015116B">
        <w:t xml:space="preserve">, </w:t>
      </w:r>
      <w:r w:rsidR="00A14E97" w:rsidRPr="0015116B">
        <w:t xml:space="preserve">four </w:t>
      </w:r>
      <w:r w:rsidR="000B7333" w:rsidRPr="0015116B">
        <w:t>chain</w:t>
      </w:r>
      <w:r w:rsidR="00A14E97" w:rsidRPr="0015116B">
        <w:t>s</w:t>
      </w:r>
      <w:r w:rsidR="000B7333" w:rsidRPr="0015116B">
        <w:t xml:space="preserve"> of </w:t>
      </w:r>
      <w:r w:rsidR="00211B4B" w:rsidRPr="0015116B">
        <w:t>1</w:t>
      </w:r>
      <w:r w:rsidR="000B7333" w:rsidRPr="0015116B">
        <w:t xml:space="preserve"> million MCMC steps </w:t>
      </w:r>
      <w:r w:rsidR="00A869AD" w:rsidRPr="0015116B">
        <w:t xml:space="preserve">each </w:t>
      </w:r>
      <w:r w:rsidR="000B7333" w:rsidRPr="0015116B">
        <w:t>w</w:t>
      </w:r>
      <w:r w:rsidR="00A14E97" w:rsidRPr="0015116B">
        <w:t>ere</w:t>
      </w:r>
      <w:r w:rsidR="000B7333" w:rsidRPr="0015116B">
        <w:t xml:space="preserve"> generated</w:t>
      </w:r>
      <w:r w:rsidR="00DF01BA" w:rsidRPr="0015116B">
        <w:t xml:space="preserve"> from the author’s preferred model (20.07)</w:t>
      </w:r>
      <w:r w:rsidR="000B7333" w:rsidRPr="0015116B">
        <w:t>, with the OFL and associated quantities calculated at each step. The chain</w:t>
      </w:r>
      <w:r w:rsidR="00A869AD" w:rsidRPr="0015116B">
        <w:t>s</w:t>
      </w:r>
      <w:r w:rsidR="000B7333" w:rsidRPr="0015116B">
        <w:t xml:space="preserve"> w</w:t>
      </w:r>
      <w:r w:rsidR="00A869AD" w:rsidRPr="0015116B">
        <w:t>ere</w:t>
      </w:r>
      <w:r w:rsidR="000B7333" w:rsidRPr="0015116B">
        <w:t xml:space="preserve"> initialized from the converged model state using a “burn in” of </w:t>
      </w:r>
      <w:r w:rsidR="00A14E97" w:rsidRPr="0015116B">
        <w:t>2</w:t>
      </w:r>
      <w:r w:rsidR="000B7333" w:rsidRPr="0015116B">
        <w:t>00</w:t>
      </w:r>
      <w:r w:rsidR="00E44835" w:rsidRPr="0015116B">
        <w:t>,000</w:t>
      </w:r>
      <w:r w:rsidR="000B7333" w:rsidRPr="0015116B">
        <w:t xml:space="preserve"> steps and subsequently thinned by a factor of</w:t>
      </w:r>
      <w:r w:rsidR="00211B4B" w:rsidRPr="0015116B">
        <w:t xml:space="preserve"> 2</w:t>
      </w:r>
      <w:r w:rsidR="00F83127" w:rsidRPr="0015116B">
        <w:t>,</w:t>
      </w:r>
      <w:r w:rsidR="000B7333" w:rsidRPr="0015116B">
        <w:t xml:space="preserve">000 to reduce serial autocorrelation in the MCMC sampling. This resulted in about </w:t>
      </w:r>
      <w:r w:rsidR="00211B4B" w:rsidRPr="0015116B">
        <w:t>1,6</w:t>
      </w:r>
      <w:r w:rsidR="000B7333" w:rsidRPr="0015116B">
        <w:t>00 MCMC samples with which to characterize the distribution of the OFL</w:t>
      </w:r>
      <w:r w:rsidR="00292C09" w:rsidRPr="0015116B">
        <w:t>.</w:t>
      </w:r>
    </w:p>
    <w:p w14:paraId="15DC4E59" w14:textId="663ED4A3" w:rsidR="004E483B" w:rsidRPr="0015116B" w:rsidRDefault="00FD6165" w:rsidP="004E483B">
      <w:r w:rsidRPr="0015116B">
        <w:t>However, trace plots</w:t>
      </w:r>
      <w:r w:rsidR="00DF01BA" w:rsidRPr="0015116B">
        <w:t xml:space="preserve"> </w:t>
      </w:r>
      <w:r w:rsidRPr="0015116B">
        <w:t>for the OFL and related quantities</w:t>
      </w:r>
      <w:r w:rsidR="00DF01BA" w:rsidRPr="0015116B">
        <w:t xml:space="preserve"> (Figures 6</w:t>
      </w:r>
      <w:r w:rsidR="00C775E9" w:rsidRPr="0015116B">
        <w:t>3</w:t>
      </w:r>
      <w:r w:rsidR="00DF01BA" w:rsidRPr="0015116B">
        <w:t xml:space="preserve"> and 6</w:t>
      </w:r>
      <w:r w:rsidR="00C775E9" w:rsidRPr="0015116B">
        <w:t>4</w:t>
      </w:r>
      <w:r w:rsidR="00DF01BA" w:rsidRPr="0015116B">
        <w:t>)</w:t>
      </w:r>
      <w:r w:rsidR="00EE1F7B" w:rsidRPr="0015116B">
        <w:t xml:space="preserve"> </w:t>
      </w:r>
      <w:r w:rsidR="00DF01BA" w:rsidRPr="0015116B">
        <w:t>indicate that the chains failed to achieve sufficient mixing, with subsequent samples in each chain highly autocorrelated</w:t>
      </w:r>
      <w:r w:rsidR="00FF3215" w:rsidRPr="0015116B">
        <w:t xml:space="preserve"> when they should be independent. This may reflect the absence of a NMFS survey this year on model stability. Certainly, the mixing characteristics were as bad—actually much worse—or Scenario 19.03(2020) (Figures 6</w:t>
      </w:r>
      <w:r w:rsidR="00C775E9" w:rsidRPr="0015116B">
        <w:t>1</w:t>
      </w:r>
      <w:r w:rsidR="00FF3215" w:rsidRPr="0015116B">
        <w:t xml:space="preserve"> and 6</w:t>
      </w:r>
      <w:r w:rsidR="00C775E9" w:rsidRPr="0015116B">
        <w:t>2</w:t>
      </w:r>
      <w:r w:rsidR="00FF3215" w:rsidRPr="0015116B">
        <w:t>).</w:t>
      </w:r>
      <w:r w:rsidR="00DF01BA" w:rsidRPr="0015116B">
        <w:t xml:space="preserve"> </w:t>
      </w:r>
      <w:r w:rsidR="00994683" w:rsidRPr="0015116B">
        <w:rPr>
          <w:b/>
        </w:rPr>
        <w:t>Despite the poor mixing characteristics of the MCMC sampling, t</w:t>
      </w:r>
      <w:r w:rsidR="00EE1F7B" w:rsidRPr="0015116B">
        <w:rPr>
          <w:b/>
        </w:rPr>
        <w:t xml:space="preserve">he </w:t>
      </w:r>
      <w:r w:rsidR="000B7333" w:rsidRPr="0015116B">
        <w:rPr>
          <w:b/>
        </w:rPr>
        <w:t xml:space="preserve">median value of </w:t>
      </w:r>
      <w:r w:rsidR="00994683" w:rsidRPr="0015116B">
        <w:rPr>
          <w:b/>
        </w:rPr>
        <w:t>across all chains</w:t>
      </w:r>
      <w:r w:rsidR="000B7333" w:rsidRPr="0015116B">
        <w:rPr>
          <w:b/>
        </w:rPr>
        <w:t xml:space="preserve"> was taken as the OFL for 20</w:t>
      </w:r>
      <w:r w:rsidR="00211B4B" w:rsidRPr="0015116B">
        <w:rPr>
          <w:b/>
        </w:rPr>
        <w:t>20/21</w:t>
      </w:r>
      <w:r w:rsidR="000B7333" w:rsidRPr="0015116B">
        <w:rPr>
          <w:b/>
        </w:rPr>
        <w:t xml:space="preserve">. </w:t>
      </w:r>
      <w:r w:rsidR="00994683" w:rsidRPr="0015116B">
        <w:rPr>
          <w:b/>
        </w:rPr>
        <w:t>The median tends to be insensitive to outliers, and thus may perform better than, for example, a mean, under these circumstances. As such, t</w:t>
      </w:r>
      <w:r w:rsidR="000B7333" w:rsidRPr="0015116B">
        <w:rPr>
          <w:b/>
        </w:rPr>
        <w:t>he</w:t>
      </w:r>
      <w:r w:rsidR="00EE1F7B" w:rsidRPr="0015116B">
        <w:rPr>
          <w:b/>
        </w:rPr>
        <w:t xml:space="preserve"> OFL for 20</w:t>
      </w:r>
      <w:r w:rsidR="00211B4B" w:rsidRPr="0015116B">
        <w:rPr>
          <w:b/>
        </w:rPr>
        <w:t>20/21</w:t>
      </w:r>
      <w:r w:rsidR="00EE1F7B" w:rsidRPr="0015116B">
        <w:rPr>
          <w:b/>
        </w:rPr>
        <w:t xml:space="preserve"> from the author’s preferred </w:t>
      </w:r>
      <w:r w:rsidR="00994683" w:rsidRPr="0015116B">
        <w:rPr>
          <w:b/>
        </w:rPr>
        <w:t>scenario</w:t>
      </w:r>
      <w:r w:rsidR="00EE1F7B" w:rsidRPr="0015116B">
        <w:rPr>
          <w:b/>
        </w:rPr>
        <w:t xml:space="preserve"> (</w:t>
      </w:r>
      <w:r w:rsidR="00994683" w:rsidRPr="0015116B">
        <w:rPr>
          <w:b/>
        </w:rPr>
        <w:t>20.07</w:t>
      </w:r>
      <w:r w:rsidR="00EE1F7B" w:rsidRPr="0015116B">
        <w:rPr>
          <w:b/>
        </w:rPr>
        <w:t xml:space="preserve">) is </w:t>
      </w:r>
      <w:r w:rsidR="00994683" w:rsidRPr="0015116B">
        <w:rPr>
          <w:b/>
        </w:rPr>
        <w:t>20.88</w:t>
      </w:r>
      <w:r w:rsidR="00EE1F7B" w:rsidRPr="0015116B">
        <w:rPr>
          <w:b/>
        </w:rPr>
        <w:t xml:space="preserve"> thousand t</w:t>
      </w:r>
      <w:r w:rsidR="00F55448" w:rsidRPr="0015116B">
        <w:t xml:space="preserve"> (</w:t>
      </w:r>
      <w:r w:rsidR="009B2C20" w:rsidRPr="0015116B">
        <w:t>Fig</w:t>
      </w:r>
      <w:r w:rsidR="00F8280C" w:rsidRPr="0015116B">
        <w:t>ure</w:t>
      </w:r>
      <w:r w:rsidR="00F55448" w:rsidRPr="0015116B">
        <w:t xml:space="preserve"> </w:t>
      </w:r>
      <w:r w:rsidR="002E58CE" w:rsidRPr="0015116B">
        <w:t>6</w:t>
      </w:r>
      <w:r w:rsidR="00C775E9" w:rsidRPr="0015116B">
        <w:t>6</w:t>
      </w:r>
      <w:r w:rsidR="00F55448" w:rsidRPr="0015116B">
        <w:t>)</w:t>
      </w:r>
      <w:r w:rsidR="00EE1F7B" w:rsidRPr="0015116B">
        <w:rPr>
          <w:b/>
        </w:rPr>
        <w:t>.</w:t>
      </w:r>
    </w:p>
    <w:p w14:paraId="559436B2" w14:textId="567D83F0" w:rsidR="00246DFD" w:rsidRPr="0015116B" w:rsidRDefault="00F83127" w:rsidP="004E483B">
      <w:r w:rsidRPr="0015116B">
        <w:lastRenderedPageBreak/>
        <w:t>T</w:t>
      </w:r>
      <w:r w:rsidR="00246DFD" w:rsidRPr="0015116B">
        <w:t>he B</w:t>
      </w:r>
      <w:r w:rsidR="00246DFD" w:rsidRPr="0015116B">
        <w:rPr>
          <w:vertAlign w:val="subscript"/>
        </w:rPr>
        <w:t>MSY</w:t>
      </w:r>
      <w:r w:rsidR="00246DFD" w:rsidRPr="0015116B">
        <w:t xml:space="preserve"> proxy</w:t>
      </w:r>
      <w:r w:rsidRPr="0015116B">
        <w:t>,</w:t>
      </w:r>
      <w:r w:rsidR="00246DFD" w:rsidRPr="0015116B">
        <w:t xml:space="preserve"> B</w:t>
      </w:r>
      <w:r w:rsidR="00246DFD" w:rsidRPr="0015116B">
        <w:rPr>
          <w:vertAlign w:val="subscript"/>
        </w:rPr>
        <w:t>35%</w:t>
      </w:r>
      <w:r w:rsidR="00246DFD" w:rsidRPr="0015116B">
        <w:t xml:space="preserve">, </w:t>
      </w:r>
      <w:r w:rsidRPr="0015116B">
        <w:t xml:space="preserve">from the author’s preferred model is </w:t>
      </w:r>
      <w:r w:rsidR="00994683" w:rsidRPr="0015116B">
        <w:t>36.62</w:t>
      </w:r>
      <w:r w:rsidRPr="0015116B">
        <w:t xml:space="preserve"> thousand t, </w:t>
      </w:r>
      <w:r w:rsidR="009D1071" w:rsidRPr="0015116B">
        <w:t xml:space="preserve">so </w:t>
      </w:r>
      <w:r w:rsidR="00C23C62" w:rsidRPr="0015116B">
        <w:t>MSST = 0.5 B</w:t>
      </w:r>
      <w:r w:rsidR="00C23C62" w:rsidRPr="0015116B">
        <w:rPr>
          <w:vertAlign w:val="subscript"/>
        </w:rPr>
        <w:t>MSY</w:t>
      </w:r>
      <w:r w:rsidR="00C23C62" w:rsidRPr="0015116B">
        <w:t xml:space="preserve"> = </w:t>
      </w:r>
      <w:r w:rsidR="00994683" w:rsidRPr="0015116B">
        <w:t>18.31</w:t>
      </w:r>
      <w:r w:rsidR="00C23C62" w:rsidRPr="0015116B">
        <w:t xml:space="preserve"> thousand t. Because current</w:t>
      </w:r>
      <w:r w:rsidR="00E44835" w:rsidRPr="0015116B">
        <w:t xml:space="preserve"> projected</w:t>
      </w:r>
      <w:r w:rsidR="00C23C62" w:rsidRPr="0015116B">
        <w:t xml:space="preserve"> </w:t>
      </w:r>
      <w:r w:rsidR="00C23C62" w:rsidRPr="0015116B">
        <w:rPr>
          <w:i/>
        </w:rPr>
        <w:t>B</w:t>
      </w:r>
      <w:r w:rsidR="00C23C62" w:rsidRPr="0015116B">
        <w:t xml:space="preserve"> = </w:t>
      </w:r>
      <w:r w:rsidR="00A14E97" w:rsidRPr="0015116B">
        <w:t>3</w:t>
      </w:r>
      <w:r w:rsidR="00994683" w:rsidRPr="0015116B">
        <w:t>5.31</w:t>
      </w:r>
      <w:r w:rsidR="00C23C62" w:rsidRPr="0015116B">
        <w:t xml:space="preserve"> thousand t &gt; MSST, </w:t>
      </w:r>
      <w:r w:rsidR="00C23C62" w:rsidRPr="0015116B">
        <w:rPr>
          <w:b/>
        </w:rPr>
        <w:t>the stock is not overfished</w:t>
      </w:r>
      <w:r w:rsidR="00C23C62" w:rsidRPr="0015116B">
        <w:t xml:space="preserve">. </w:t>
      </w:r>
      <w:r w:rsidR="00AF1FFB" w:rsidRPr="0015116B">
        <w:t xml:space="preserve">However, because current projected </w:t>
      </w:r>
      <w:r w:rsidR="00AF1FFB" w:rsidRPr="0015116B">
        <w:rPr>
          <w:i/>
        </w:rPr>
        <w:t>B</w:t>
      </w:r>
      <w:r w:rsidR="00AF1FFB" w:rsidRPr="0015116B">
        <w:t xml:space="preserve"> &lt; B</w:t>
      </w:r>
      <w:r w:rsidR="00AF1FFB" w:rsidRPr="0015116B">
        <w:rPr>
          <w:vertAlign w:val="subscript"/>
        </w:rPr>
        <w:t>MSY</w:t>
      </w:r>
      <w:r w:rsidR="00AF1FFB" w:rsidRPr="0015116B">
        <w:t xml:space="preserve">, the </w:t>
      </w:r>
      <w:r w:rsidR="00AF1FFB" w:rsidRPr="0015116B">
        <w:rPr>
          <w:b/>
          <w:bCs/>
        </w:rPr>
        <w:t>stock falls into Tier 3b</w:t>
      </w:r>
      <w:r w:rsidR="00AF1FFB" w:rsidRPr="0015116B">
        <w:t xml:space="preserve">. </w:t>
      </w:r>
      <w:r w:rsidR="00C23C62" w:rsidRPr="0015116B">
        <w:t>The population state (directed F vs. MMB) is plotted for each year from 1965</w:t>
      </w:r>
      <w:r w:rsidRPr="0015116B">
        <w:t>/66</w:t>
      </w:r>
      <w:r w:rsidR="00C23C62" w:rsidRPr="0015116B">
        <w:t>-20</w:t>
      </w:r>
      <w:r w:rsidR="00994683" w:rsidRPr="0015116B">
        <w:t>19</w:t>
      </w:r>
      <w:r w:rsidRPr="0015116B">
        <w:t>/</w:t>
      </w:r>
      <w:r w:rsidR="00994683" w:rsidRPr="0015116B">
        <w:t>20</w:t>
      </w:r>
      <w:r w:rsidR="00C23C62" w:rsidRPr="0015116B">
        <w:t xml:space="preserve"> in Fig</w:t>
      </w:r>
      <w:r w:rsidRPr="0015116B">
        <w:t>ure</w:t>
      </w:r>
      <w:r w:rsidR="00C23C62" w:rsidRPr="0015116B">
        <w:t xml:space="preserve"> </w:t>
      </w:r>
      <w:r w:rsidR="002E58CE" w:rsidRPr="0015116B">
        <w:t>6</w:t>
      </w:r>
      <w:r w:rsidR="00C775E9" w:rsidRPr="0015116B">
        <w:t>7</w:t>
      </w:r>
      <w:r w:rsidR="001117D7" w:rsidRPr="0015116B">
        <w:t xml:space="preserve"> </w:t>
      </w:r>
      <w:r w:rsidR="009D1071" w:rsidRPr="0015116B">
        <w:t>against the</w:t>
      </w:r>
      <w:r w:rsidR="00C23C62" w:rsidRPr="0015116B">
        <w:t xml:space="preserve"> Tier 3 harvest control rule.</w:t>
      </w:r>
    </w:p>
    <w:p w14:paraId="32031BAA" w14:textId="77777777" w:rsidR="00DB1C2A" w:rsidRPr="0015116B" w:rsidRDefault="00DB1C2A" w:rsidP="00DB1C2A">
      <w:pPr>
        <w:pStyle w:val="Heading2"/>
      </w:pPr>
      <w:r w:rsidRPr="0015116B">
        <w:t>2. ABC calculation</w:t>
      </w:r>
    </w:p>
    <w:p w14:paraId="3C4909CC" w14:textId="77777777" w:rsidR="000D7C72" w:rsidRPr="0015116B" w:rsidRDefault="000D7C72" w:rsidP="000D7C72">
      <w:r w:rsidRPr="0015116B">
        <w:t xml:space="preserve">Amendments 38 and 39 to the </w:t>
      </w:r>
      <w:r w:rsidR="00A524ED" w:rsidRPr="0015116B">
        <w:t>Fishery Management P</w:t>
      </w:r>
      <w:r w:rsidRPr="0015116B">
        <w:t>lan (NPFMC 2010) established methods for the Council to set Annual Catch Limits (ACLs). The Magnuson-Stevens Act requires that ACLs be established based upon an acceptable biological catch (ABC) control rule that accounts for scientific uncertainty in the OFL such that ACL=ABC and the total allowable catch (TAC) and guideline harvest levels (GHLs) be set below the ABC so as not to exceed the ACL. ABCs must be recommended annually by the Council’s SSC.</w:t>
      </w:r>
    </w:p>
    <w:p w14:paraId="3CC5F778" w14:textId="59DDE530" w:rsidR="005C157E" w:rsidRPr="0015116B" w:rsidRDefault="000D7C72" w:rsidP="005C6218">
      <w:r w:rsidRPr="0015116B">
        <w:t xml:space="preserve">Two methods for establishing the ABC control rule are: 1) a constant buffer where the ABC is set by applying a multiplier to the OFL to meet a specified buffer below the OFL; and 2) a variable buffer where the ABC is set based on a specified percentile (P*) of the distribution of the OFL that accounts for uncertainty in the OFL. P* is the probability that ABC would exceed the OFL and overfishing occur. In 2010, the NPFMC prescribed that ABCs for BSAI crab stocks be established at P*=0.49 (following </w:t>
      </w:r>
      <w:r w:rsidR="00DB1C2A" w:rsidRPr="0015116B">
        <w:t>M</w:t>
      </w:r>
      <w:r w:rsidRPr="0015116B">
        <w:t xml:space="preserve">ethod 2). Thus, annual ACL=ABC levels should be established such that the risk of </w:t>
      </w:r>
      <w:proofErr w:type="spellStart"/>
      <w:r w:rsidRPr="0015116B">
        <w:t>ovefishing</w:t>
      </w:r>
      <w:proofErr w:type="spellEnd"/>
      <w:r w:rsidRPr="0015116B">
        <w:t xml:space="preserve">, P[ABC&gt;OFL], is 49%. </w:t>
      </w:r>
      <w:r w:rsidR="000D7612" w:rsidRPr="0015116B">
        <w:t>In</w:t>
      </w:r>
      <w:r w:rsidRPr="0015116B">
        <w:t xml:space="preserve"> 201</w:t>
      </w:r>
      <w:r w:rsidR="000D7612" w:rsidRPr="0015116B">
        <w:t>4</w:t>
      </w:r>
      <w:r w:rsidRPr="0015116B">
        <w:t xml:space="preserve">, however, the SSC adopted a buffer of </w:t>
      </w:r>
      <w:r w:rsidR="00452EBA" w:rsidRPr="0015116B">
        <w:t>2</w:t>
      </w:r>
      <w:r w:rsidRPr="0015116B">
        <w:t xml:space="preserve">0% </w:t>
      </w:r>
      <w:r w:rsidR="00DB1C2A" w:rsidRPr="0015116B">
        <w:t xml:space="preserve">on OFL </w:t>
      </w:r>
      <w:r w:rsidRPr="0015116B">
        <w:t xml:space="preserve">for </w:t>
      </w:r>
      <w:r w:rsidR="00452EBA" w:rsidRPr="0015116B">
        <w:t>the Tanner crab stock</w:t>
      </w:r>
      <w:r w:rsidR="00A524ED" w:rsidRPr="0015116B">
        <w:t xml:space="preserve"> </w:t>
      </w:r>
      <w:r w:rsidR="00DB1C2A" w:rsidRPr="0015116B">
        <w:t>for calculating ABC</w:t>
      </w:r>
      <w:r w:rsidRPr="0015116B">
        <w:t>.</w:t>
      </w:r>
      <w:r w:rsidR="004F519F" w:rsidRPr="0015116B">
        <w:t xml:space="preserve"> Here, ABCs are provided based on both methods. However, because determining the P* ABC relies on an uncertainty distribution for the OFL derived from the MCMC results, it’s validity seems highly dubious this year. </w:t>
      </w:r>
    </w:p>
    <w:p w14:paraId="61E7C231" w14:textId="517F4D5D" w:rsidR="00EC45EC" w:rsidRPr="0015116B" w:rsidRDefault="009D1071" w:rsidP="004E483B">
      <w:r w:rsidRPr="0015116B">
        <w:t xml:space="preserve">For the author’s preferred </w:t>
      </w:r>
      <w:r w:rsidR="007B5A61" w:rsidRPr="0015116B">
        <w:t>scenario</w:t>
      </w:r>
      <w:r w:rsidR="00DD376D" w:rsidRPr="0015116B">
        <w:t xml:space="preserve">, </w:t>
      </w:r>
      <w:r w:rsidR="004F519F" w:rsidRPr="0015116B">
        <w:t>20.07</w:t>
      </w:r>
      <w:r w:rsidR="00DD376D" w:rsidRPr="0015116B">
        <w:t>,</w:t>
      </w:r>
      <w:r w:rsidRPr="0015116B">
        <w:t xml:space="preserve"> the P* </w:t>
      </w:r>
      <w:r w:rsidR="00DD376D" w:rsidRPr="0015116B">
        <w:t>ABC (</w:t>
      </w:r>
      <w:proofErr w:type="spellStart"/>
      <w:r w:rsidRPr="0015116B">
        <w:t>ABC</w:t>
      </w:r>
      <w:r w:rsidR="00F665C5" w:rsidRPr="0015116B">
        <w:rPr>
          <w:vertAlign w:val="subscript"/>
        </w:rPr>
        <w:t>max</w:t>
      </w:r>
      <w:proofErr w:type="spellEnd"/>
      <w:r w:rsidR="00DD376D" w:rsidRPr="0015116B">
        <w:t xml:space="preserve">) </w:t>
      </w:r>
      <w:r w:rsidRPr="0015116B">
        <w:t xml:space="preserve">is </w:t>
      </w:r>
      <w:r w:rsidR="0024332D" w:rsidRPr="0015116B">
        <w:t>2</w:t>
      </w:r>
      <w:r w:rsidR="004F519F" w:rsidRPr="0015116B">
        <w:t>0.87</w:t>
      </w:r>
      <w:r w:rsidRPr="0015116B">
        <w:t xml:space="preserve"> thousand t while the </w:t>
      </w:r>
      <w:r w:rsidR="00452EBA" w:rsidRPr="0015116B">
        <w:t>2</w:t>
      </w:r>
      <w:r w:rsidRPr="0015116B">
        <w:t xml:space="preserve">0% Buffer ABC is </w:t>
      </w:r>
      <w:r w:rsidR="004F519F" w:rsidRPr="0015116B">
        <w:t>16.70</w:t>
      </w:r>
      <w:r w:rsidRPr="0015116B">
        <w:t xml:space="preserve"> thousand t.</w:t>
      </w:r>
      <w:r w:rsidR="00CC4F08" w:rsidRPr="0015116B">
        <w:t xml:space="preserve"> </w:t>
      </w:r>
      <w:r w:rsidR="00AB3364" w:rsidRPr="0015116B">
        <w:t>As noted, the value for the P* ABC is questionable given the poor MCMC performance. In addition, t</w:t>
      </w:r>
      <w:r w:rsidR="00CC4F08" w:rsidRPr="0015116B">
        <w:t xml:space="preserve">he author </w:t>
      </w:r>
      <w:r w:rsidR="00F665C5" w:rsidRPr="0015116B">
        <w:t>remains</w:t>
      </w:r>
      <w:r w:rsidR="00CC4F08" w:rsidRPr="0015116B">
        <w:t xml:space="preserve"> concerned that </w:t>
      </w:r>
      <w:r w:rsidR="00452EBA" w:rsidRPr="0015116B">
        <w:t xml:space="preserve">the </w:t>
      </w:r>
      <w:r w:rsidR="005C6218" w:rsidRPr="0015116B">
        <w:t>OFL calculation</w:t>
      </w:r>
      <w:r w:rsidR="00452EBA" w:rsidRPr="0015116B">
        <w:t>, based on F</w:t>
      </w:r>
      <w:r w:rsidR="00452EBA" w:rsidRPr="0015116B">
        <w:rPr>
          <w:vertAlign w:val="subscript"/>
        </w:rPr>
        <w:t>35%</w:t>
      </w:r>
      <w:r w:rsidR="00452EBA" w:rsidRPr="0015116B">
        <w:t xml:space="preserve"> as a proxy for F</w:t>
      </w:r>
      <w:r w:rsidR="00452EBA" w:rsidRPr="0015116B">
        <w:rPr>
          <w:vertAlign w:val="subscript"/>
        </w:rPr>
        <w:t>MSY</w:t>
      </w:r>
      <w:r w:rsidR="00452EBA" w:rsidRPr="0015116B">
        <w:t>, is overly optimistic regarding</w:t>
      </w:r>
      <w:r w:rsidR="00CC4F08" w:rsidRPr="0015116B">
        <w:t xml:space="preserve"> the actual productivi</w:t>
      </w:r>
      <w:r w:rsidR="00F665C5" w:rsidRPr="0015116B">
        <w:t xml:space="preserve">ty of the stock. </w:t>
      </w:r>
      <w:r w:rsidR="005C6218" w:rsidRPr="0015116B">
        <w:t>F</w:t>
      </w:r>
      <w:r w:rsidR="00F665C5" w:rsidRPr="0015116B">
        <w:t>ishery-related mortality similar to the</w:t>
      </w:r>
      <w:r w:rsidR="005C6218" w:rsidRPr="0015116B">
        <w:t xml:space="preserve"> P*</w:t>
      </w:r>
      <w:r w:rsidR="00F665C5" w:rsidRPr="0015116B">
        <w:t xml:space="preserve"> ABC l</w:t>
      </w:r>
      <w:r w:rsidR="005C6218" w:rsidRPr="0015116B">
        <w:t>evel</w:t>
      </w:r>
      <w:r w:rsidR="00F665C5" w:rsidRPr="0015116B">
        <w:t xml:space="preserve"> ha</w:t>
      </w:r>
      <w:r w:rsidR="00BC75F6" w:rsidRPr="0015116B">
        <w:t>s</w:t>
      </w:r>
      <w:r w:rsidR="00F665C5" w:rsidRPr="0015116B">
        <w:t xml:space="preserve"> occurred only in the latter half of the 1970s and in 1992/93, </w:t>
      </w:r>
      <w:r w:rsidR="00B85CE6" w:rsidRPr="0015116B">
        <w:t>coincident with</w:t>
      </w:r>
      <w:r w:rsidR="00F665C5" w:rsidRPr="0015116B">
        <w:t xml:space="preserve"> collapses in stock biomass to low levels. This suggests that F</w:t>
      </w:r>
      <w:r w:rsidR="00F665C5" w:rsidRPr="0015116B">
        <w:rPr>
          <w:vertAlign w:val="subscript"/>
        </w:rPr>
        <w:t>35%</w:t>
      </w:r>
      <w:r w:rsidR="00F665C5" w:rsidRPr="0015116B">
        <w:t xml:space="preserve"> may not be a realistic proxy for F</w:t>
      </w:r>
      <w:r w:rsidR="00452EBA" w:rsidRPr="0015116B">
        <w:rPr>
          <w:vertAlign w:val="subscript"/>
        </w:rPr>
        <w:t>MSY</w:t>
      </w:r>
      <w:r w:rsidR="00EE1F7B" w:rsidRPr="0015116B">
        <w:t xml:space="preserve"> and/or that MMB may not be a good proxy for reproductive success</w:t>
      </w:r>
      <w:r w:rsidR="00F665C5" w:rsidRPr="0015116B">
        <w:t xml:space="preserve">, as </w:t>
      </w:r>
      <w:r w:rsidR="00EE1F7B" w:rsidRPr="0015116B">
        <w:t>are</w:t>
      </w:r>
      <w:r w:rsidR="00F665C5" w:rsidRPr="0015116B">
        <w:t xml:space="preserve"> current</w:t>
      </w:r>
      <w:r w:rsidR="00452EBA" w:rsidRPr="0015116B">
        <w:t>ly</w:t>
      </w:r>
      <w:r w:rsidR="00F665C5" w:rsidRPr="0015116B">
        <w:t xml:space="preserve"> assum</w:t>
      </w:r>
      <w:r w:rsidR="00452EBA" w:rsidRPr="0015116B">
        <w:t>ed</w:t>
      </w:r>
      <w:r w:rsidR="00F665C5" w:rsidRPr="0015116B">
        <w:t xml:space="preserve"> for this stock. </w:t>
      </w:r>
      <w:r w:rsidR="0024332D" w:rsidRPr="0015116B">
        <w:t xml:space="preserve">In addition, the estimates of survey catchability for this stock remain problematic and contribute to this year’s inflated OFL recommendation (relative to last year’s) despite a continued decline in survey biomass across the last few years. </w:t>
      </w:r>
      <w:r w:rsidR="00BC75F6" w:rsidRPr="0015116B">
        <w:t>Given this uncertainty concerning the stock</w:t>
      </w:r>
      <w:r w:rsidR="00EE1F7B" w:rsidRPr="0015116B">
        <w:t xml:space="preserve">, </w:t>
      </w:r>
      <w:r w:rsidR="00EE1F7B" w:rsidRPr="0015116B">
        <w:rPr>
          <w:b/>
        </w:rPr>
        <w:t>the author recommend</w:t>
      </w:r>
      <w:r w:rsidR="00DF1E0F" w:rsidRPr="0015116B">
        <w:rPr>
          <w:b/>
        </w:rPr>
        <w:t xml:space="preserve">s </w:t>
      </w:r>
      <w:r w:rsidR="00452EBA" w:rsidRPr="0015116B">
        <w:rPr>
          <w:b/>
        </w:rPr>
        <w:t>using the</w:t>
      </w:r>
      <w:r w:rsidR="00BC75F6" w:rsidRPr="0015116B">
        <w:rPr>
          <w:b/>
        </w:rPr>
        <w:t xml:space="preserve"> </w:t>
      </w:r>
      <w:r w:rsidR="00452EBA" w:rsidRPr="0015116B">
        <w:rPr>
          <w:b/>
        </w:rPr>
        <w:t xml:space="preserve">20% buffer </w:t>
      </w:r>
      <w:r w:rsidR="005C6218" w:rsidRPr="0015116B">
        <w:rPr>
          <w:b/>
        </w:rPr>
        <w:t xml:space="preserve">previously </w:t>
      </w:r>
      <w:r w:rsidR="00452EBA" w:rsidRPr="0015116B">
        <w:rPr>
          <w:b/>
        </w:rPr>
        <w:t xml:space="preserve">adopted by the SSC for this stock to calculate </w:t>
      </w:r>
      <w:r w:rsidR="00BC75F6" w:rsidRPr="0015116B">
        <w:rPr>
          <w:b/>
        </w:rPr>
        <w:t xml:space="preserve">ABC. Consequently, </w:t>
      </w:r>
      <w:r w:rsidR="00DF1E0F" w:rsidRPr="0015116B">
        <w:rPr>
          <w:b/>
        </w:rPr>
        <w:t xml:space="preserve">the </w:t>
      </w:r>
      <w:r w:rsidR="00BC75F6" w:rsidRPr="0015116B">
        <w:rPr>
          <w:b/>
        </w:rPr>
        <w:t xml:space="preserve">author’s </w:t>
      </w:r>
      <w:r w:rsidR="00DF1E0F" w:rsidRPr="0015116B">
        <w:rPr>
          <w:b/>
        </w:rPr>
        <w:t>recommended ABC</w:t>
      </w:r>
      <w:r w:rsidR="00EE1F7B" w:rsidRPr="0015116B">
        <w:rPr>
          <w:b/>
        </w:rPr>
        <w:t xml:space="preserve"> is </w:t>
      </w:r>
      <w:r w:rsidR="004F519F" w:rsidRPr="0015116B">
        <w:rPr>
          <w:b/>
        </w:rPr>
        <w:t>16.70</w:t>
      </w:r>
      <w:r w:rsidR="00BC75F6" w:rsidRPr="0015116B">
        <w:rPr>
          <w:b/>
        </w:rPr>
        <w:t xml:space="preserve"> thousand t</w:t>
      </w:r>
      <w:r w:rsidR="00EE1F7B" w:rsidRPr="0015116B">
        <w:t>.</w:t>
      </w:r>
    </w:p>
    <w:p w14:paraId="233ED69F" w14:textId="77777777" w:rsidR="0098451C" w:rsidRPr="0015116B" w:rsidRDefault="00E6693C" w:rsidP="00E6693C">
      <w:pPr>
        <w:pStyle w:val="Heading1"/>
      </w:pPr>
      <w:r w:rsidRPr="0015116B">
        <w:t xml:space="preserve">G. </w:t>
      </w:r>
      <w:r w:rsidR="0098451C" w:rsidRPr="0015116B">
        <w:t>Rebuilding Analyses</w:t>
      </w:r>
    </w:p>
    <w:p w14:paraId="3CBC4610" w14:textId="77777777" w:rsidR="0098451C" w:rsidRPr="0015116B" w:rsidRDefault="000132DB" w:rsidP="000132DB">
      <w:r w:rsidRPr="0015116B">
        <w:t>Tanner crab is not currently under a rebuilding plan. Consequently no rebuilding analyses were conducted.</w:t>
      </w:r>
    </w:p>
    <w:p w14:paraId="1DD8A569" w14:textId="77777777" w:rsidR="0098451C" w:rsidRPr="0015116B" w:rsidRDefault="00E6693C" w:rsidP="00E6693C">
      <w:pPr>
        <w:pStyle w:val="Heading1"/>
      </w:pPr>
      <w:r w:rsidRPr="0015116B">
        <w:t xml:space="preserve">H. </w:t>
      </w:r>
      <w:r w:rsidR="0098451C" w:rsidRPr="0015116B">
        <w:t>Data Gaps and Research Priorities</w:t>
      </w:r>
    </w:p>
    <w:p w14:paraId="1B4E7F91" w14:textId="6B660585" w:rsidR="00DF0C82" w:rsidRPr="0015116B" w:rsidRDefault="00DD376D" w:rsidP="00DF0C82">
      <w:r w:rsidRPr="0015116B">
        <w:t>I</w:t>
      </w:r>
      <w:r w:rsidR="00DF0C82" w:rsidRPr="0015116B">
        <w:t xml:space="preserve">nformation on growth-per-molt </w:t>
      </w:r>
      <w:r w:rsidR="00E255E5" w:rsidRPr="0015116B">
        <w:t>has been</w:t>
      </w:r>
      <w:r w:rsidR="00DF0C82" w:rsidRPr="0015116B">
        <w:t xml:space="preserve"> collected </w:t>
      </w:r>
      <w:r w:rsidR="00E255E5" w:rsidRPr="0015116B">
        <w:t>in</w:t>
      </w:r>
      <w:r w:rsidR="00DF0C82" w:rsidRPr="0015116B">
        <w:t xml:space="preserve"> the EBS </w:t>
      </w:r>
      <w:r w:rsidR="00E255E5" w:rsidRPr="0015116B">
        <w:t xml:space="preserve">on </w:t>
      </w:r>
      <w:r w:rsidR="00DF0C82" w:rsidRPr="0015116B">
        <w:t>Tanner crab</w:t>
      </w:r>
      <w:r w:rsidR="00F662B7" w:rsidRPr="0015116B">
        <w:t xml:space="preserve"> and incorporated into the assessment</w:t>
      </w:r>
      <w:r w:rsidR="00DF0C82" w:rsidRPr="0015116B">
        <w:t>.</w:t>
      </w:r>
      <w:r w:rsidR="00E255E5" w:rsidRPr="0015116B">
        <w:t xml:space="preserve"> </w:t>
      </w:r>
      <w:r w:rsidR="00DA3327" w:rsidRPr="0015116B">
        <w:t xml:space="preserve">It would be helpful to have more information on growth associated with the terminal molt, </w:t>
      </w:r>
      <w:r w:rsidR="00211B4B" w:rsidRPr="0015116B">
        <w:t xml:space="preserve">because it seems likely this </w:t>
      </w:r>
      <w:r w:rsidR="00DA3327" w:rsidRPr="0015116B">
        <w:t>has different characteristics than previous molts. Additionally, m</w:t>
      </w:r>
      <w:r w:rsidRPr="0015116B">
        <w:t>ore d</w:t>
      </w:r>
      <w:r w:rsidR="00DF0C82" w:rsidRPr="0015116B">
        <w:t xml:space="preserve">ata </w:t>
      </w:r>
      <w:r w:rsidRPr="0015116B">
        <w:t>regarding</w:t>
      </w:r>
      <w:r w:rsidR="00DF0C82" w:rsidRPr="0015116B">
        <w:t xml:space="preserve"> temperature-dependent effects on molting frequency would be helpful to assess potential impacts of the EBS cold pool on the stock</w:t>
      </w:r>
      <w:r w:rsidR="00DA3327" w:rsidRPr="0015116B">
        <w:t xml:space="preserve"> and potentially improve recruitment estimates</w:t>
      </w:r>
      <w:r w:rsidR="00DF0C82" w:rsidRPr="0015116B">
        <w:t>.</w:t>
      </w:r>
      <w:r w:rsidR="00EE1F7B" w:rsidRPr="0015116B">
        <w:t xml:space="preserve"> </w:t>
      </w:r>
      <w:r w:rsidRPr="0015116B">
        <w:t xml:space="preserve">Information on temperature-dependent changes in crab movement and survey catchability would also </w:t>
      </w:r>
      <w:r w:rsidR="005C6218" w:rsidRPr="0015116B">
        <w:t>b</w:t>
      </w:r>
      <w:r w:rsidRPr="0015116B">
        <w:t xml:space="preserve">e of value. </w:t>
      </w:r>
      <w:r w:rsidR="00EE1F7B" w:rsidRPr="0015116B">
        <w:t xml:space="preserve">In addition, it would be worthwhile to develop a “better” index of reproductive potential than MMB </w:t>
      </w:r>
      <w:r w:rsidRPr="0015116B">
        <w:t>that can be calculated in the assessment model</w:t>
      </w:r>
      <w:r w:rsidR="00A42545" w:rsidRPr="0015116B">
        <w:t xml:space="preserve">, as well as </w:t>
      </w:r>
      <w:r w:rsidR="00EE1F7B" w:rsidRPr="0015116B">
        <w:t xml:space="preserve">to revisit the issue of MSY proxies for this stock. </w:t>
      </w:r>
    </w:p>
    <w:p w14:paraId="690464AE" w14:textId="52CB26FE" w:rsidR="00E255E5" w:rsidRPr="0015116B" w:rsidRDefault="00E255E5" w:rsidP="00DF0C82">
      <w:r w:rsidRPr="0015116B">
        <w:lastRenderedPageBreak/>
        <w:t xml:space="preserve">The characterization of fisheries in the assessment model needs to be carefully reconsidered. How, and whether or not, the </w:t>
      </w:r>
      <w:r w:rsidR="007B5A61" w:rsidRPr="0015116B">
        <w:t>differences in the directed fishery in areas e</w:t>
      </w:r>
      <w:r w:rsidRPr="0015116B">
        <w:t xml:space="preserve">ast </w:t>
      </w:r>
      <w:r w:rsidR="007B5A61" w:rsidRPr="0015116B">
        <w:t>and w</w:t>
      </w:r>
      <w:r w:rsidRPr="0015116B">
        <w:t>est 166</w:t>
      </w:r>
      <w:r w:rsidRPr="0015116B">
        <w:rPr>
          <w:vertAlign w:val="superscript"/>
        </w:rPr>
        <w:t>o</w:t>
      </w:r>
      <w:r w:rsidRPr="0015116B">
        <w:t xml:space="preserve">W </w:t>
      </w:r>
      <w:r w:rsidR="007B5A61" w:rsidRPr="0015116B">
        <w:t>longitude</w:t>
      </w:r>
      <w:r w:rsidRPr="0015116B">
        <w:t xml:space="preserve"> should be explicitly represented in the assessment model </w:t>
      </w:r>
      <w:r w:rsidR="00AB3364" w:rsidRPr="0015116B">
        <w:t>need to</w:t>
      </w:r>
      <w:r w:rsidRPr="0015116B">
        <w:t xml:space="preserve"> be addressed. </w:t>
      </w:r>
      <w:r w:rsidR="007B5A61" w:rsidRPr="0015116B">
        <w:t>T</w:t>
      </w:r>
      <w:r w:rsidR="00F662B7" w:rsidRPr="0015116B">
        <w:t>he question of whether or not</w:t>
      </w:r>
      <w:r w:rsidRPr="0015116B">
        <w:t xml:space="preserve"> bycatch in the groundfish fisheries should be split into pot- and trawl-related components should be </w:t>
      </w:r>
      <w:r w:rsidR="00F662B7" w:rsidRPr="0015116B">
        <w:t>re</w:t>
      </w:r>
      <w:r w:rsidR="007B5A61" w:rsidRPr="0015116B">
        <w:t>visited</w:t>
      </w:r>
      <w:r w:rsidRPr="0015116B">
        <w:t xml:space="preserve">. </w:t>
      </w:r>
      <w:r w:rsidR="007B5A61" w:rsidRPr="0015116B">
        <w:t xml:space="preserve">Also, the appropriate weight for male maturity ogives based on NMFS survey data in the model likelihood needs to be </w:t>
      </w:r>
      <w:r w:rsidR="00A42545" w:rsidRPr="0015116B">
        <w:t xml:space="preserve">further </w:t>
      </w:r>
      <w:r w:rsidR="007B5A61" w:rsidRPr="0015116B">
        <w:t>explored.</w:t>
      </w:r>
    </w:p>
    <w:p w14:paraId="10DDD9D9" w14:textId="5B7C22DE" w:rsidR="003907AD" w:rsidRPr="0015116B" w:rsidRDefault="00A42545" w:rsidP="00DF0C82">
      <w:r w:rsidRPr="0015116B">
        <w:t>I</w:t>
      </w:r>
      <w:r w:rsidR="00F662B7" w:rsidRPr="0015116B">
        <w:t xml:space="preserve">ncorporating the BSFRF </w:t>
      </w:r>
      <w:r w:rsidR="003907AD" w:rsidRPr="0015116B">
        <w:t xml:space="preserve">side-by-side (SBS) </w:t>
      </w:r>
      <w:r w:rsidR="00F662B7" w:rsidRPr="0015116B">
        <w:t>surveys into the assessment</w:t>
      </w:r>
      <w:r w:rsidR="003907AD" w:rsidRPr="0015116B">
        <w:t xml:space="preserve"> in the best way possible is also a matter for further exploration.</w:t>
      </w:r>
      <w:r w:rsidR="00340DA6" w:rsidRPr="0015116B">
        <w:t xml:space="preserve"> </w:t>
      </w:r>
      <w:r w:rsidR="005A4C79" w:rsidRPr="0015116B">
        <w:t xml:space="preserve">Further catch ratio analysis using the SBS survey data outside the model (similar to what Somerton et al, </w:t>
      </w:r>
      <w:r w:rsidR="002B0AE1" w:rsidRPr="0015116B">
        <w:t>2013</w:t>
      </w:r>
      <w:r w:rsidR="005A4C79" w:rsidRPr="0015116B">
        <w:t xml:space="preserve">, did for snow crab) may </w:t>
      </w:r>
      <w:r w:rsidR="00985167" w:rsidRPr="0015116B">
        <w:t xml:space="preserve">eventually </w:t>
      </w:r>
      <w:r w:rsidR="005A4C79" w:rsidRPr="0015116B">
        <w:t>provide year-specific estimates of (or priors on) NMFS survey selectivity</w:t>
      </w:r>
      <w:r w:rsidR="00985167" w:rsidRPr="0015116B">
        <w:t xml:space="preserve"> that account for variations in stock abundance across different depths and benthic substrates</w:t>
      </w:r>
      <w:r w:rsidR="005A4C79" w:rsidRPr="0015116B">
        <w:t>.</w:t>
      </w:r>
    </w:p>
    <w:p w14:paraId="2D80B006" w14:textId="01ACFB98" w:rsidR="00DF0C82" w:rsidRPr="0015116B" w:rsidRDefault="00340DA6" w:rsidP="00DF0C82">
      <w:r w:rsidRPr="0015116B">
        <w:t xml:space="preserve">Development of a </w:t>
      </w:r>
      <w:r w:rsidR="00DD376D" w:rsidRPr="0015116B">
        <w:t xml:space="preserve">Gmacs version of the Tanner crab model </w:t>
      </w:r>
      <w:r w:rsidR="00A42545" w:rsidRPr="0015116B">
        <w:t>is also a priority</w:t>
      </w:r>
      <w:r w:rsidR="005A4C79" w:rsidRPr="0015116B">
        <w:t xml:space="preserve"> and </w:t>
      </w:r>
      <w:r w:rsidR="00985167" w:rsidRPr="0015116B">
        <w:t>can</w:t>
      </w:r>
      <w:r w:rsidR="005A4C79" w:rsidRPr="0015116B">
        <w:t xml:space="preserve"> proceed now that</w:t>
      </w:r>
      <w:r w:rsidR="003907AD" w:rsidRPr="0015116B">
        <w:t xml:space="preserve"> </w:t>
      </w:r>
      <w:r w:rsidR="005A4C79" w:rsidRPr="0015116B">
        <w:t xml:space="preserve">a </w:t>
      </w:r>
      <w:r w:rsidR="00DA3327" w:rsidRPr="0015116B">
        <w:t xml:space="preserve">Gmacs </w:t>
      </w:r>
      <w:r w:rsidR="005A4C79" w:rsidRPr="0015116B">
        <w:t xml:space="preserve">model for </w:t>
      </w:r>
      <w:r w:rsidR="003907AD" w:rsidRPr="0015116B">
        <w:t>snow crab</w:t>
      </w:r>
      <w:r w:rsidR="005A4C79" w:rsidRPr="0015116B">
        <w:t xml:space="preserve"> has been developed</w:t>
      </w:r>
      <w:r w:rsidR="00DD376D" w:rsidRPr="0015116B">
        <w:t>.</w:t>
      </w:r>
      <w:r w:rsidR="00985167" w:rsidRPr="0015116B">
        <w:t xml:space="preserve"> Further model development needs to continue the effort to eliminate parameters at bounds</w:t>
      </w:r>
      <w:r w:rsidR="0046082B" w:rsidRPr="0015116B">
        <w:t>.</w:t>
      </w:r>
    </w:p>
    <w:p w14:paraId="3CEDA18F" w14:textId="77777777" w:rsidR="0098451C" w:rsidRPr="0015116B" w:rsidRDefault="00E6693C" w:rsidP="00804CF4">
      <w:pPr>
        <w:pStyle w:val="Heading1"/>
      </w:pPr>
      <w:r w:rsidRPr="0015116B">
        <w:t xml:space="preserve">I. </w:t>
      </w:r>
      <w:r w:rsidR="0098451C" w:rsidRPr="0015116B">
        <w:t>Ecosystem Considerations</w:t>
      </w:r>
    </w:p>
    <w:p w14:paraId="035BBA74" w14:textId="0C2D8069" w:rsidR="00146260" w:rsidRPr="0015116B" w:rsidRDefault="00F02EDA" w:rsidP="000132DB">
      <w:r w:rsidRPr="0015116B">
        <w:t xml:space="preserve">Mature male biomass is currently used as the “currency” of Tanner crab spawning biomass for assessment purposes. However, its relationship to </w:t>
      </w:r>
      <w:r w:rsidR="0040071A" w:rsidRPr="0015116B">
        <w:t xml:space="preserve">stock-level </w:t>
      </w:r>
      <w:r w:rsidRPr="0015116B">
        <w:t>rates</w:t>
      </w:r>
      <w:r w:rsidR="0040071A" w:rsidRPr="0015116B">
        <w:t xml:space="preserve"> of egg production, </w:t>
      </w:r>
      <w:r w:rsidR="00BC7DB3" w:rsidRPr="0015116B">
        <w:t>a better</w:t>
      </w:r>
      <w:r w:rsidR="0040071A" w:rsidRPr="0015116B">
        <w:t xml:space="preserve"> measure of stock-level reproductive capacity, is unclear.</w:t>
      </w:r>
      <w:r w:rsidR="00E255E5" w:rsidRPr="0015116B">
        <w:t xml:space="preserve"> Thus, use of MMB to reflect Tanner crab reproductive potential may be misleading as to stock health.</w:t>
      </w:r>
      <w:r w:rsidR="0040071A" w:rsidRPr="0015116B">
        <w:t xml:space="preserve"> Nor is it likely that mature female biomass has a clear relationship to annual egg production. For Tanner crab, t</w:t>
      </w:r>
      <w:r w:rsidR="00146260" w:rsidRPr="0015116B">
        <w:t xml:space="preserve">he fraction of barren mature females by shell condition </w:t>
      </w:r>
      <w:r w:rsidR="004F1C88" w:rsidRPr="0015116B">
        <w:t xml:space="preserve">appears to vary </w:t>
      </w:r>
      <w:r w:rsidR="00BC7DB3" w:rsidRPr="0015116B">
        <w:t>at</w:t>
      </w:r>
      <w:r w:rsidR="004F1C88" w:rsidRPr="0015116B">
        <w:t xml:space="preserve"> decadal time scale</w:t>
      </w:r>
      <w:r w:rsidR="00BC7DB3" w:rsidRPr="0015116B">
        <w:t>s</w:t>
      </w:r>
      <w:r w:rsidR="004F1C88" w:rsidRPr="0015116B">
        <w:t xml:space="preserve"> (</w:t>
      </w:r>
      <w:r w:rsidR="00E255E5" w:rsidRPr="0015116B">
        <w:t xml:space="preserve">Rugolo and </w:t>
      </w:r>
      <w:proofErr w:type="spellStart"/>
      <w:r w:rsidR="00E255E5" w:rsidRPr="0015116B">
        <w:t>Turnock</w:t>
      </w:r>
      <w:proofErr w:type="spellEnd"/>
      <w:r w:rsidR="00E255E5" w:rsidRPr="0015116B">
        <w:t>, 2012</w:t>
      </w:r>
      <w:r w:rsidR="004F1C88" w:rsidRPr="0015116B">
        <w:t>)</w:t>
      </w:r>
      <w:r w:rsidRPr="0015116B">
        <w:t>, suggesting a climatic driver</w:t>
      </w:r>
      <w:r w:rsidR="004F1C88" w:rsidRPr="0015116B">
        <w:t>.</w:t>
      </w:r>
    </w:p>
    <w:p w14:paraId="710C9CE6" w14:textId="77777777" w:rsidR="0098451C" w:rsidRPr="0015116B" w:rsidRDefault="000132DB" w:rsidP="000132DB">
      <w:pPr>
        <w:pStyle w:val="Heading2"/>
      </w:pPr>
      <w:r w:rsidRPr="0015116B">
        <w:t>1</w:t>
      </w:r>
      <w:r w:rsidR="00E6693C" w:rsidRPr="0015116B">
        <w:t xml:space="preserve">. </w:t>
      </w:r>
      <w:r w:rsidR="0098451C" w:rsidRPr="0015116B">
        <w:t>Ecosystem Effects on Stock</w:t>
      </w:r>
    </w:p>
    <w:p w14:paraId="0BEC1C91" w14:textId="17780E8D" w:rsidR="002372FE" w:rsidRPr="0015116B" w:rsidRDefault="00C35C02" w:rsidP="002372FE">
      <w:r w:rsidRPr="0015116B">
        <w:t xml:space="preserve">Time series trends in prey availability or abundance are generally unknown for Tanner crab because typical survey gear is not quantitative for Tanner crab prey. </w:t>
      </w:r>
      <w:r w:rsidR="002372FE" w:rsidRPr="0015116B">
        <w:t xml:space="preserve">On the other hand, </w:t>
      </w:r>
      <w:r w:rsidRPr="0015116B">
        <w:t>Pacific cod (</w:t>
      </w:r>
      <w:proofErr w:type="spellStart"/>
      <w:r w:rsidRPr="0015116B">
        <w:rPr>
          <w:i/>
        </w:rPr>
        <w:t>Gadus</w:t>
      </w:r>
      <w:proofErr w:type="spellEnd"/>
      <w:r w:rsidRPr="0015116B">
        <w:rPr>
          <w:i/>
        </w:rPr>
        <w:t xml:space="preserve"> macrocephalus</w:t>
      </w:r>
      <w:r w:rsidRPr="0015116B">
        <w:t>) is thought to account for a substantial fraction of annual mortality on Tanner crab (Aydin</w:t>
      </w:r>
      <w:r w:rsidR="007169E5" w:rsidRPr="0015116B">
        <w:t xml:space="preserve"> et al.,</w:t>
      </w:r>
      <w:r w:rsidRPr="0015116B">
        <w:t xml:space="preserve"> 2007). Total P. cod biomass is estimated to have been slowly declining from 1990 to 2008, during the time frame of a collapse in the Tanner crab stock, but has been increasing rather rapidly since 2008 (Thompson</w:t>
      </w:r>
      <w:r w:rsidR="007169E5" w:rsidRPr="0015116B">
        <w:t xml:space="preserve"> and </w:t>
      </w:r>
      <w:proofErr w:type="spellStart"/>
      <w:r w:rsidR="007169E5" w:rsidRPr="0015116B">
        <w:t>Lauth</w:t>
      </w:r>
      <w:proofErr w:type="spellEnd"/>
      <w:r w:rsidRPr="0015116B">
        <w:t xml:space="preserve">, 2012). This </w:t>
      </w:r>
      <w:r w:rsidR="002372FE" w:rsidRPr="0015116B">
        <w:t>suggests</w:t>
      </w:r>
      <w:r w:rsidRPr="0015116B">
        <w:t xml:space="preserve"> </w:t>
      </w:r>
      <w:r w:rsidR="002372FE" w:rsidRPr="0015116B">
        <w:t>that the rates of “natural mortality” used in the stock assessment for the period post-1980 may be underestimates (and increasingly biased low if the trend in P.</w:t>
      </w:r>
      <w:r w:rsidR="00252610" w:rsidRPr="0015116B">
        <w:t xml:space="preserve"> </w:t>
      </w:r>
      <w:r w:rsidR="002372FE" w:rsidRPr="0015116B">
        <w:t>cod abundance continues).</w:t>
      </w:r>
      <w:r w:rsidR="000E77E5" w:rsidRPr="0015116B">
        <w:t xml:space="preserve"> </w:t>
      </w:r>
      <w:r w:rsidR="002372FE" w:rsidRPr="0015116B">
        <w:t>This trend is definitely one of potential concern.</w:t>
      </w:r>
    </w:p>
    <w:p w14:paraId="7C10A7A3" w14:textId="77777777" w:rsidR="002372FE" w:rsidRPr="0015116B" w:rsidRDefault="002372FE" w:rsidP="002372FE">
      <w:pPr>
        <w:pStyle w:val="Heading2"/>
      </w:pPr>
      <w:r w:rsidRPr="0015116B">
        <w:t xml:space="preserve">2. Effects of Tanner crab fishery on ecosystem </w:t>
      </w:r>
    </w:p>
    <w:p w14:paraId="25FC0490" w14:textId="41231E6F" w:rsidR="000E2054" w:rsidRPr="0015116B" w:rsidRDefault="009D1071" w:rsidP="002372FE">
      <w:r w:rsidRPr="0015116B">
        <w:t>P</w:t>
      </w:r>
      <w:r w:rsidR="003F2DB9" w:rsidRPr="0015116B">
        <w:t xml:space="preserve">otential effects of </w:t>
      </w:r>
      <w:r w:rsidRPr="0015116B">
        <w:t>the</w:t>
      </w:r>
      <w:r w:rsidR="003F2DB9" w:rsidRPr="0015116B">
        <w:t xml:space="preserve"> Tanner crab fishery on the ecosystem are considered in the following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2344"/>
        <w:gridCol w:w="2344"/>
        <w:gridCol w:w="2330"/>
      </w:tblGrid>
      <w:tr w:rsidR="004C01A4" w:rsidRPr="0015116B" w14:paraId="6EC1DA99" w14:textId="77777777" w:rsidTr="0073240E">
        <w:tc>
          <w:tcPr>
            <w:tcW w:w="9576" w:type="dxa"/>
            <w:gridSpan w:val="4"/>
            <w:tcBorders>
              <w:top w:val="double" w:sz="4" w:space="0" w:color="auto"/>
              <w:bottom w:val="double" w:sz="4" w:space="0" w:color="auto"/>
            </w:tcBorders>
          </w:tcPr>
          <w:p w14:paraId="5047D4F7" w14:textId="77777777" w:rsidR="004C01A4" w:rsidRPr="0015116B" w:rsidRDefault="004C01A4" w:rsidP="004C01A4">
            <w:pPr>
              <w:autoSpaceDE w:val="0"/>
              <w:autoSpaceDN w:val="0"/>
              <w:adjustRightInd w:val="0"/>
              <w:spacing w:after="0"/>
              <w:rPr>
                <w:rFonts w:ascii="TimesNewRomanPSMT" w:hAnsi="TimesNewRomanPSMT" w:cs="TimesNewRomanPSMT"/>
                <w:b/>
                <w:sz w:val="20"/>
                <w:szCs w:val="20"/>
              </w:rPr>
            </w:pPr>
            <w:r w:rsidRPr="0015116B">
              <w:rPr>
                <w:rFonts w:ascii="TimesNewRomanPSMT" w:hAnsi="TimesNewRomanPSMT" w:cs="TimesNewRomanPSMT"/>
                <w:b/>
                <w:sz w:val="20"/>
                <w:szCs w:val="20"/>
              </w:rPr>
              <w:t>Effects of Tanner crab fishery on ecosystem</w:t>
            </w:r>
          </w:p>
        </w:tc>
      </w:tr>
      <w:tr w:rsidR="004C01A4" w:rsidRPr="0015116B" w14:paraId="61E30312" w14:textId="77777777" w:rsidTr="0073240E">
        <w:tc>
          <w:tcPr>
            <w:tcW w:w="2394" w:type="dxa"/>
            <w:tcBorders>
              <w:top w:val="double" w:sz="4" w:space="0" w:color="auto"/>
              <w:bottom w:val="double" w:sz="4" w:space="0" w:color="auto"/>
            </w:tcBorders>
          </w:tcPr>
          <w:p w14:paraId="1DEC1BBE" w14:textId="77777777" w:rsidR="004C01A4" w:rsidRPr="0015116B" w:rsidRDefault="004C01A4" w:rsidP="0073240E">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Indicator</w:t>
            </w:r>
          </w:p>
        </w:tc>
        <w:tc>
          <w:tcPr>
            <w:tcW w:w="2394" w:type="dxa"/>
            <w:tcBorders>
              <w:top w:val="double" w:sz="4" w:space="0" w:color="auto"/>
              <w:bottom w:val="double" w:sz="4" w:space="0" w:color="auto"/>
            </w:tcBorders>
          </w:tcPr>
          <w:p w14:paraId="05F0FAC1" w14:textId="77777777" w:rsidR="004C01A4" w:rsidRPr="0015116B" w:rsidRDefault="004C01A4" w:rsidP="0073240E">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Observation</w:t>
            </w:r>
          </w:p>
        </w:tc>
        <w:tc>
          <w:tcPr>
            <w:tcW w:w="2394" w:type="dxa"/>
            <w:tcBorders>
              <w:top w:val="double" w:sz="4" w:space="0" w:color="auto"/>
              <w:bottom w:val="double" w:sz="4" w:space="0" w:color="auto"/>
            </w:tcBorders>
          </w:tcPr>
          <w:p w14:paraId="08D07078" w14:textId="77777777" w:rsidR="004C01A4" w:rsidRPr="0015116B" w:rsidRDefault="004C01A4" w:rsidP="0073240E">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Interpretation</w:t>
            </w:r>
          </w:p>
        </w:tc>
        <w:tc>
          <w:tcPr>
            <w:tcW w:w="2394" w:type="dxa"/>
            <w:tcBorders>
              <w:top w:val="double" w:sz="4" w:space="0" w:color="auto"/>
              <w:bottom w:val="double" w:sz="4" w:space="0" w:color="auto"/>
            </w:tcBorders>
          </w:tcPr>
          <w:p w14:paraId="3F776178" w14:textId="77777777" w:rsidR="004C01A4" w:rsidRPr="0015116B" w:rsidRDefault="004C01A4" w:rsidP="0073240E">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Evaluation</w:t>
            </w:r>
          </w:p>
        </w:tc>
      </w:tr>
      <w:tr w:rsidR="004C01A4" w:rsidRPr="0015116B" w14:paraId="73282D70" w14:textId="77777777" w:rsidTr="00CB2BB8">
        <w:tc>
          <w:tcPr>
            <w:tcW w:w="9576" w:type="dxa"/>
            <w:gridSpan w:val="4"/>
            <w:tcBorders>
              <w:top w:val="double" w:sz="4" w:space="0" w:color="auto"/>
            </w:tcBorders>
            <w:vAlign w:val="center"/>
          </w:tcPr>
          <w:p w14:paraId="5CF9B882" w14:textId="77777777" w:rsidR="004C01A4" w:rsidRPr="0015116B" w:rsidRDefault="004C01A4" w:rsidP="00CB2BB8">
            <w:pPr>
              <w:autoSpaceDE w:val="0"/>
              <w:autoSpaceDN w:val="0"/>
              <w:adjustRightInd w:val="0"/>
              <w:spacing w:after="0"/>
              <w:rPr>
                <w:rFonts w:ascii="TimesNewRomanPSMT" w:hAnsi="TimesNewRomanPSMT" w:cs="TimesNewRomanPSMT"/>
                <w:i/>
                <w:sz w:val="20"/>
                <w:szCs w:val="20"/>
              </w:rPr>
            </w:pPr>
            <w:r w:rsidRPr="0015116B">
              <w:rPr>
                <w:rFonts w:ascii="TimesNewRomanPSMT" w:hAnsi="TimesNewRomanPSMT" w:cs="TimesNewRomanPSMT"/>
                <w:i/>
                <w:sz w:val="20"/>
                <w:szCs w:val="20"/>
              </w:rPr>
              <w:t>Fishery contribution to bycatch</w:t>
            </w:r>
          </w:p>
        </w:tc>
      </w:tr>
      <w:tr w:rsidR="004C01A4" w:rsidRPr="0015116B" w14:paraId="5A7FC88D" w14:textId="77777777" w:rsidTr="00CB2BB8">
        <w:tc>
          <w:tcPr>
            <w:tcW w:w="2394" w:type="dxa"/>
            <w:tcMar>
              <w:left w:w="216" w:type="dxa"/>
              <w:right w:w="115" w:type="dxa"/>
            </w:tcMar>
            <w:vAlign w:val="center"/>
          </w:tcPr>
          <w:p w14:paraId="67641633" w14:textId="77777777" w:rsidR="004C01A4" w:rsidRPr="0015116B" w:rsidRDefault="009A40B3"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Prohibited species</w:t>
            </w:r>
          </w:p>
        </w:tc>
        <w:tc>
          <w:tcPr>
            <w:tcW w:w="2394" w:type="dxa"/>
            <w:vAlign w:val="center"/>
          </w:tcPr>
          <w:p w14:paraId="05B48DC1" w14:textId="01964857" w:rsidR="004C01A4" w:rsidRPr="0015116B" w:rsidRDefault="009D1071"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salmon are unlikely to be trapped inside a pot when it is pulled</w:t>
            </w:r>
            <w:r w:rsidR="002B4DAC" w:rsidRPr="0015116B">
              <w:rPr>
                <w:rFonts w:ascii="TimesNewRomanPSMT" w:hAnsi="TimesNewRomanPSMT" w:cs="TimesNewRomanPSMT"/>
                <w:sz w:val="20"/>
                <w:szCs w:val="20"/>
              </w:rPr>
              <w:t>, although halibut can be</w:t>
            </w:r>
          </w:p>
        </w:tc>
        <w:tc>
          <w:tcPr>
            <w:tcW w:w="2394" w:type="dxa"/>
            <w:vAlign w:val="center"/>
          </w:tcPr>
          <w:p w14:paraId="7AAED5D0" w14:textId="7D61F304" w:rsidR="004C01A4" w:rsidRPr="0015116B" w:rsidRDefault="00B15E34"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unlikely to have substantial effects</w:t>
            </w:r>
            <w:r w:rsidR="002B4DAC" w:rsidRPr="0015116B">
              <w:rPr>
                <w:rFonts w:ascii="TimesNewRomanPSMT" w:hAnsi="TimesNewRomanPSMT" w:cs="TimesNewRomanPSMT"/>
                <w:sz w:val="20"/>
                <w:szCs w:val="20"/>
              </w:rPr>
              <w:t xml:space="preserve"> at the stock level</w:t>
            </w:r>
          </w:p>
        </w:tc>
        <w:tc>
          <w:tcPr>
            <w:tcW w:w="2394" w:type="dxa"/>
            <w:vAlign w:val="center"/>
          </w:tcPr>
          <w:p w14:paraId="204D8F51" w14:textId="77777777" w:rsidR="004C01A4" w:rsidRPr="0015116B" w:rsidRDefault="00FD5090"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minimal to none</w:t>
            </w:r>
          </w:p>
        </w:tc>
      </w:tr>
      <w:tr w:rsidR="009A40B3" w:rsidRPr="0015116B" w14:paraId="37073996" w14:textId="77777777" w:rsidTr="00CB2BB8">
        <w:tc>
          <w:tcPr>
            <w:tcW w:w="2394" w:type="dxa"/>
            <w:tcMar>
              <w:left w:w="216" w:type="dxa"/>
              <w:right w:w="115" w:type="dxa"/>
            </w:tcMar>
            <w:vAlign w:val="center"/>
          </w:tcPr>
          <w:p w14:paraId="733DB6EA" w14:textId="77777777" w:rsidR="009A40B3" w:rsidRPr="0015116B" w:rsidRDefault="009A40B3"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Forage (including herring, Atka mackerel, cod and pollock)</w:t>
            </w:r>
          </w:p>
        </w:tc>
        <w:tc>
          <w:tcPr>
            <w:tcW w:w="2394" w:type="dxa"/>
            <w:vAlign w:val="center"/>
          </w:tcPr>
          <w:p w14:paraId="219F2C37" w14:textId="77777777" w:rsidR="009A40B3" w:rsidRPr="0015116B" w:rsidRDefault="003F2DB9" w:rsidP="00FD5090">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Forage fish are unlikely to be trapped inside a pot when it is pulled</w:t>
            </w:r>
          </w:p>
        </w:tc>
        <w:tc>
          <w:tcPr>
            <w:tcW w:w="2394" w:type="dxa"/>
            <w:vAlign w:val="center"/>
          </w:tcPr>
          <w:p w14:paraId="72700189" w14:textId="77777777" w:rsidR="009A40B3" w:rsidRPr="0015116B" w:rsidRDefault="00B15E34"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unlikely to have substantial effects</w:t>
            </w:r>
          </w:p>
        </w:tc>
        <w:tc>
          <w:tcPr>
            <w:tcW w:w="2394" w:type="dxa"/>
            <w:vAlign w:val="center"/>
          </w:tcPr>
          <w:p w14:paraId="4DF7D084" w14:textId="77777777" w:rsidR="009A40B3" w:rsidRPr="0015116B" w:rsidRDefault="00FD5090"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minimal to none</w:t>
            </w:r>
          </w:p>
        </w:tc>
      </w:tr>
      <w:tr w:rsidR="009A40B3" w:rsidRPr="0015116B" w14:paraId="641B5048" w14:textId="77777777" w:rsidTr="00CB2BB8">
        <w:tc>
          <w:tcPr>
            <w:tcW w:w="2394" w:type="dxa"/>
            <w:tcMar>
              <w:left w:w="216" w:type="dxa"/>
              <w:right w:w="115" w:type="dxa"/>
            </w:tcMar>
            <w:vAlign w:val="center"/>
          </w:tcPr>
          <w:p w14:paraId="2B38FCF8" w14:textId="77777777" w:rsidR="009A40B3" w:rsidRPr="0015116B" w:rsidRDefault="009A40B3"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HAPC biota</w:t>
            </w:r>
          </w:p>
        </w:tc>
        <w:tc>
          <w:tcPr>
            <w:tcW w:w="2394" w:type="dxa"/>
            <w:vAlign w:val="center"/>
          </w:tcPr>
          <w:p w14:paraId="444D88E4" w14:textId="34272F91" w:rsidR="009A40B3" w:rsidRPr="0015116B" w:rsidRDefault="009D1071" w:rsidP="009D1071">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crab pots have a very small footprint on the bottom</w:t>
            </w:r>
          </w:p>
        </w:tc>
        <w:tc>
          <w:tcPr>
            <w:tcW w:w="2394" w:type="dxa"/>
            <w:vAlign w:val="center"/>
          </w:tcPr>
          <w:p w14:paraId="6D8961A6" w14:textId="7D04C5AD" w:rsidR="009A40B3" w:rsidRPr="0015116B" w:rsidRDefault="00FD5090" w:rsidP="002B4DAC">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 xml:space="preserve">unlikely </w:t>
            </w:r>
            <w:r w:rsidR="00B15E34" w:rsidRPr="0015116B">
              <w:rPr>
                <w:rFonts w:ascii="TimesNewRomanPSMT" w:hAnsi="TimesNewRomanPSMT" w:cs="TimesNewRomanPSMT"/>
                <w:sz w:val="20"/>
                <w:szCs w:val="20"/>
              </w:rPr>
              <w:t xml:space="preserve">to </w:t>
            </w:r>
            <w:r w:rsidR="002B4DAC" w:rsidRPr="0015116B">
              <w:rPr>
                <w:rFonts w:ascii="TimesNewRomanPSMT" w:hAnsi="TimesNewRomanPSMT" w:cs="TimesNewRomanPSMT"/>
                <w:sz w:val="20"/>
                <w:szCs w:val="20"/>
              </w:rPr>
              <w:t xml:space="preserve">be </w:t>
            </w:r>
            <w:r w:rsidR="00B15E34" w:rsidRPr="0015116B">
              <w:rPr>
                <w:rFonts w:ascii="TimesNewRomanPSMT" w:hAnsi="TimesNewRomanPSMT" w:cs="TimesNewRomanPSMT"/>
                <w:sz w:val="20"/>
                <w:szCs w:val="20"/>
              </w:rPr>
              <w:t>hav</w:t>
            </w:r>
            <w:r w:rsidR="002B4DAC" w:rsidRPr="0015116B">
              <w:rPr>
                <w:rFonts w:ascii="TimesNewRomanPSMT" w:hAnsi="TimesNewRomanPSMT" w:cs="TimesNewRomanPSMT"/>
                <w:sz w:val="20"/>
                <w:szCs w:val="20"/>
              </w:rPr>
              <w:t>ing</w:t>
            </w:r>
            <w:r w:rsidR="00B15E34" w:rsidRPr="0015116B">
              <w:rPr>
                <w:rFonts w:ascii="TimesNewRomanPSMT" w:hAnsi="TimesNewRomanPSMT" w:cs="TimesNewRomanPSMT"/>
                <w:sz w:val="20"/>
                <w:szCs w:val="20"/>
              </w:rPr>
              <w:t xml:space="preserve"> substantial effects</w:t>
            </w:r>
            <w:r w:rsidR="002B4DAC" w:rsidRPr="0015116B">
              <w:rPr>
                <w:rFonts w:ascii="TimesNewRomanPSMT" w:hAnsi="TimesNewRomanPSMT" w:cs="TimesNewRomanPSMT"/>
                <w:sz w:val="20"/>
                <w:szCs w:val="20"/>
              </w:rPr>
              <w:t xml:space="preserve"> post-rationalization</w:t>
            </w:r>
          </w:p>
        </w:tc>
        <w:tc>
          <w:tcPr>
            <w:tcW w:w="2394" w:type="dxa"/>
            <w:vAlign w:val="center"/>
          </w:tcPr>
          <w:p w14:paraId="4A7420CE" w14:textId="77777777" w:rsidR="009A40B3" w:rsidRPr="0015116B" w:rsidRDefault="00FD5090"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minimal to none</w:t>
            </w:r>
          </w:p>
        </w:tc>
      </w:tr>
      <w:tr w:rsidR="009A40B3" w:rsidRPr="0015116B" w14:paraId="25A4D3A5" w14:textId="77777777" w:rsidTr="00CB2BB8">
        <w:tc>
          <w:tcPr>
            <w:tcW w:w="2394" w:type="dxa"/>
            <w:tcMar>
              <w:left w:w="216" w:type="dxa"/>
              <w:right w:w="115" w:type="dxa"/>
            </w:tcMar>
            <w:vAlign w:val="center"/>
          </w:tcPr>
          <w:p w14:paraId="06E3C502" w14:textId="77777777" w:rsidR="009A40B3" w:rsidRPr="0015116B" w:rsidRDefault="009A40B3"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lastRenderedPageBreak/>
              <w:t>Marine mammals and birds</w:t>
            </w:r>
          </w:p>
        </w:tc>
        <w:tc>
          <w:tcPr>
            <w:tcW w:w="2394" w:type="dxa"/>
            <w:vAlign w:val="center"/>
          </w:tcPr>
          <w:p w14:paraId="6B0991F3" w14:textId="4B6996AE" w:rsidR="009A40B3" w:rsidRPr="0015116B" w:rsidRDefault="009D1071"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crab pots are unlikely to attract birds given the depths at which they are fished</w:t>
            </w:r>
          </w:p>
        </w:tc>
        <w:tc>
          <w:tcPr>
            <w:tcW w:w="2394" w:type="dxa"/>
            <w:vAlign w:val="center"/>
          </w:tcPr>
          <w:p w14:paraId="69310844" w14:textId="77777777" w:rsidR="009A40B3" w:rsidRPr="0015116B" w:rsidRDefault="00B15E34"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unlikely to have substantial effects</w:t>
            </w:r>
          </w:p>
        </w:tc>
        <w:tc>
          <w:tcPr>
            <w:tcW w:w="2394" w:type="dxa"/>
            <w:vAlign w:val="center"/>
          </w:tcPr>
          <w:p w14:paraId="1917159C" w14:textId="77777777" w:rsidR="009A40B3" w:rsidRPr="0015116B" w:rsidRDefault="00FD5090"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minimal to none</w:t>
            </w:r>
          </w:p>
        </w:tc>
      </w:tr>
      <w:tr w:rsidR="009A40B3" w:rsidRPr="0015116B" w14:paraId="0C47F01C" w14:textId="77777777" w:rsidTr="00CB2BB8">
        <w:tc>
          <w:tcPr>
            <w:tcW w:w="2394" w:type="dxa"/>
            <w:tcMar>
              <w:left w:w="216" w:type="dxa"/>
              <w:right w:w="115" w:type="dxa"/>
            </w:tcMar>
            <w:vAlign w:val="center"/>
          </w:tcPr>
          <w:p w14:paraId="3F582FD7" w14:textId="77777777" w:rsidR="009A40B3" w:rsidRPr="0015116B" w:rsidRDefault="009A40B3"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Sensitive non-target species</w:t>
            </w:r>
          </w:p>
        </w:tc>
        <w:tc>
          <w:tcPr>
            <w:tcW w:w="2394" w:type="dxa"/>
            <w:vAlign w:val="center"/>
          </w:tcPr>
          <w:p w14:paraId="35302F36" w14:textId="77777777" w:rsidR="009A40B3" w:rsidRPr="0015116B" w:rsidRDefault="00BD3891"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Non-targets are unlikely to be trapped in crab pot gear in substantial numbers</w:t>
            </w:r>
          </w:p>
        </w:tc>
        <w:tc>
          <w:tcPr>
            <w:tcW w:w="2394" w:type="dxa"/>
            <w:vAlign w:val="center"/>
          </w:tcPr>
          <w:p w14:paraId="148FF7DF" w14:textId="77777777" w:rsidR="009A40B3" w:rsidRPr="0015116B" w:rsidRDefault="00B15E34"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unlikely to have substantial effects</w:t>
            </w:r>
          </w:p>
        </w:tc>
        <w:tc>
          <w:tcPr>
            <w:tcW w:w="2394" w:type="dxa"/>
            <w:vAlign w:val="center"/>
          </w:tcPr>
          <w:p w14:paraId="7224E3E6" w14:textId="77777777" w:rsidR="009A40B3" w:rsidRPr="0015116B" w:rsidRDefault="00FD5090"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minimal to none</w:t>
            </w:r>
          </w:p>
        </w:tc>
      </w:tr>
      <w:tr w:rsidR="009A40B3" w:rsidRPr="0015116B" w14:paraId="36F8024B" w14:textId="77777777" w:rsidTr="00CB2BB8">
        <w:trPr>
          <w:trHeight w:val="252"/>
        </w:trPr>
        <w:tc>
          <w:tcPr>
            <w:tcW w:w="2394" w:type="dxa"/>
            <w:vAlign w:val="center"/>
          </w:tcPr>
          <w:p w14:paraId="3ED317E5" w14:textId="77777777" w:rsidR="009A40B3" w:rsidRPr="0015116B" w:rsidRDefault="009A40B3" w:rsidP="00CB2BB8">
            <w:pPr>
              <w:autoSpaceDE w:val="0"/>
              <w:autoSpaceDN w:val="0"/>
              <w:adjustRightInd w:val="0"/>
              <w:spacing w:after="0"/>
              <w:rPr>
                <w:rFonts w:ascii="TimesNewRomanPSMT" w:hAnsi="TimesNewRomanPSMT" w:cs="TimesNewRomanPSMT"/>
                <w:i/>
                <w:sz w:val="20"/>
                <w:szCs w:val="20"/>
              </w:rPr>
            </w:pPr>
            <w:r w:rsidRPr="0015116B">
              <w:rPr>
                <w:rFonts w:ascii="TimesNewRomanPSMT" w:hAnsi="TimesNewRomanPSMT" w:cs="TimesNewRomanPSMT"/>
                <w:i/>
                <w:sz w:val="20"/>
                <w:szCs w:val="20"/>
              </w:rPr>
              <w:t>Fishery concentration in space and time</w:t>
            </w:r>
          </w:p>
        </w:tc>
        <w:tc>
          <w:tcPr>
            <w:tcW w:w="2394" w:type="dxa"/>
            <w:vAlign w:val="center"/>
          </w:tcPr>
          <w:p w14:paraId="43488F19" w14:textId="778B0ECE" w:rsidR="009A40B3" w:rsidRPr="0015116B" w:rsidRDefault="00B15E34" w:rsidP="002B4DAC">
            <w:pPr>
              <w:autoSpaceDE w:val="0"/>
              <w:autoSpaceDN w:val="0"/>
              <w:adjustRightInd w:val="0"/>
              <w:spacing w:after="0"/>
              <w:rPr>
                <w:rFonts w:ascii="TimesNewRomanPSMT" w:hAnsi="TimesNewRomanPSMT" w:cs="TimesNewRomanPSMT"/>
                <w:i/>
                <w:sz w:val="20"/>
                <w:szCs w:val="20"/>
              </w:rPr>
            </w:pPr>
            <w:r w:rsidRPr="0015116B">
              <w:rPr>
                <w:rFonts w:ascii="TimesNewRomanPSMT" w:hAnsi="TimesNewRomanPSMT" w:cs="TimesNewRomanPSMT"/>
                <w:sz w:val="20"/>
                <w:szCs w:val="20"/>
              </w:rPr>
              <w:t>substantially reduced in time</w:t>
            </w:r>
            <w:r w:rsidR="002B4DAC" w:rsidRPr="0015116B">
              <w:rPr>
                <w:rFonts w:ascii="TimesNewRomanPSMT" w:hAnsi="TimesNewRomanPSMT" w:cs="TimesNewRomanPSMT"/>
                <w:sz w:val="20"/>
                <w:szCs w:val="20"/>
              </w:rPr>
              <w:t xml:space="preserve"> following rationalization of the fishery</w:t>
            </w:r>
          </w:p>
        </w:tc>
        <w:tc>
          <w:tcPr>
            <w:tcW w:w="2394" w:type="dxa"/>
            <w:vAlign w:val="center"/>
          </w:tcPr>
          <w:p w14:paraId="51A682EE" w14:textId="27AF1698" w:rsidR="009A40B3" w:rsidRPr="0015116B" w:rsidRDefault="002B4DAC" w:rsidP="002B4DAC">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unlikely to be having substantial effects</w:t>
            </w:r>
          </w:p>
        </w:tc>
        <w:tc>
          <w:tcPr>
            <w:tcW w:w="2394" w:type="dxa"/>
            <w:vAlign w:val="center"/>
          </w:tcPr>
          <w:p w14:paraId="7BF9BDEC" w14:textId="05E53AB9" w:rsidR="009A40B3" w:rsidRPr="0015116B" w:rsidRDefault="00F32E3A" w:rsidP="009D1071">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 xml:space="preserve">probably </w:t>
            </w:r>
            <w:r w:rsidR="003F2DB9" w:rsidRPr="0015116B">
              <w:rPr>
                <w:rFonts w:ascii="TimesNewRomanPSMT" w:hAnsi="TimesNewRomanPSMT" w:cs="TimesNewRomanPSMT"/>
                <w:sz w:val="20"/>
                <w:szCs w:val="20"/>
              </w:rPr>
              <w:t>of little</w:t>
            </w:r>
            <w:r w:rsidRPr="0015116B">
              <w:rPr>
                <w:rFonts w:ascii="TimesNewRomanPSMT" w:hAnsi="TimesNewRomanPSMT" w:cs="TimesNewRomanPSMT"/>
                <w:sz w:val="20"/>
                <w:szCs w:val="20"/>
              </w:rPr>
              <w:t xml:space="preserve"> concern</w:t>
            </w:r>
          </w:p>
        </w:tc>
      </w:tr>
      <w:tr w:rsidR="009A40B3" w:rsidRPr="0015116B" w14:paraId="0B0F445E" w14:textId="77777777" w:rsidTr="00CB2BB8">
        <w:trPr>
          <w:trHeight w:val="252"/>
        </w:trPr>
        <w:tc>
          <w:tcPr>
            <w:tcW w:w="2394" w:type="dxa"/>
            <w:vAlign w:val="center"/>
          </w:tcPr>
          <w:p w14:paraId="637CBEF3" w14:textId="77777777" w:rsidR="009A40B3" w:rsidRPr="0015116B" w:rsidRDefault="009A40B3" w:rsidP="00CB2BB8">
            <w:pPr>
              <w:autoSpaceDE w:val="0"/>
              <w:autoSpaceDN w:val="0"/>
              <w:adjustRightInd w:val="0"/>
              <w:spacing w:after="0"/>
              <w:rPr>
                <w:rFonts w:ascii="TimesNewRomanPSMT" w:hAnsi="TimesNewRomanPSMT" w:cs="TimesNewRomanPSMT"/>
                <w:i/>
                <w:sz w:val="20"/>
                <w:szCs w:val="20"/>
              </w:rPr>
            </w:pPr>
            <w:r w:rsidRPr="0015116B">
              <w:rPr>
                <w:rFonts w:ascii="TimesNewRomanPSMT" w:hAnsi="TimesNewRomanPSMT" w:cs="TimesNewRomanPSMT"/>
                <w:i/>
                <w:sz w:val="20"/>
                <w:szCs w:val="20"/>
              </w:rPr>
              <w:t>Fishery effects on amount of large size target fish</w:t>
            </w:r>
          </w:p>
        </w:tc>
        <w:tc>
          <w:tcPr>
            <w:tcW w:w="2394" w:type="dxa"/>
            <w:vAlign w:val="center"/>
          </w:tcPr>
          <w:p w14:paraId="43B669F6" w14:textId="77777777" w:rsidR="009A40B3" w:rsidRPr="0015116B" w:rsidRDefault="00BD3891" w:rsidP="00BD3891">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Fishery selectively removes large males</w:t>
            </w:r>
          </w:p>
        </w:tc>
        <w:tc>
          <w:tcPr>
            <w:tcW w:w="2394" w:type="dxa"/>
            <w:vAlign w:val="center"/>
          </w:tcPr>
          <w:p w14:paraId="480BDB9B" w14:textId="77777777" w:rsidR="009A40B3" w:rsidRPr="0015116B" w:rsidRDefault="00BD3891"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May impact stock reproductive potential as large males can mate with a wider range of females</w:t>
            </w:r>
          </w:p>
        </w:tc>
        <w:tc>
          <w:tcPr>
            <w:tcW w:w="2394" w:type="dxa"/>
            <w:vAlign w:val="center"/>
          </w:tcPr>
          <w:p w14:paraId="09F4AFF7" w14:textId="7577898F" w:rsidR="009A40B3" w:rsidRPr="0015116B" w:rsidRDefault="00B15E34" w:rsidP="009D1071">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possible concern</w:t>
            </w:r>
          </w:p>
        </w:tc>
      </w:tr>
      <w:tr w:rsidR="009A40B3" w:rsidRPr="0015116B" w14:paraId="2AE0315F" w14:textId="77777777" w:rsidTr="00CB2BB8">
        <w:trPr>
          <w:trHeight w:val="252"/>
        </w:trPr>
        <w:tc>
          <w:tcPr>
            <w:tcW w:w="2394" w:type="dxa"/>
            <w:vAlign w:val="center"/>
          </w:tcPr>
          <w:p w14:paraId="63BE6F03" w14:textId="77777777" w:rsidR="009A40B3" w:rsidRPr="0015116B" w:rsidRDefault="009A40B3" w:rsidP="00CB2BB8">
            <w:pPr>
              <w:autoSpaceDE w:val="0"/>
              <w:autoSpaceDN w:val="0"/>
              <w:adjustRightInd w:val="0"/>
              <w:spacing w:after="0"/>
              <w:rPr>
                <w:rFonts w:ascii="TimesNewRomanPSMT" w:hAnsi="TimesNewRomanPSMT" w:cs="TimesNewRomanPSMT"/>
                <w:i/>
                <w:sz w:val="20"/>
                <w:szCs w:val="20"/>
              </w:rPr>
            </w:pPr>
            <w:r w:rsidRPr="0015116B">
              <w:rPr>
                <w:rFonts w:ascii="TimesNewRomanPSMT" w:hAnsi="TimesNewRomanPSMT" w:cs="TimesNewRomanPSMT"/>
                <w:i/>
                <w:sz w:val="20"/>
                <w:szCs w:val="20"/>
              </w:rPr>
              <w:t>Fishery contribution to discards and offal production</w:t>
            </w:r>
          </w:p>
        </w:tc>
        <w:tc>
          <w:tcPr>
            <w:tcW w:w="2394" w:type="dxa"/>
            <w:vAlign w:val="center"/>
          </w:tcPr>
          <w:p w14:paraId="1BB5AE05" w14:textId="03028643" w:rsidR="009A40B3" w:rsidRPr="0015116B" w:rsidRDefault="00B15E34" w:rsidP="002B4DAC">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 xml:space="preserve">discarded crab suffer </w:t>
            </w:r>
            <w:r w:rsidR="009D1071" w:rsidRPr="0015116B">
              <w:rPr>
                <w:rFonts w:ascii="TimesNewRomanPSMT" w:hAnsi="TimesNewRomanPSMT" w:cs="TimesNewRomanPSMT"/>
                <w:sz w:val="20"/>
                <w:szCs w:val="20"/>
              </w:rPr>
              <w:t>some</w:t>
            </w:r>
            <w:r w:rsidRPr="0015116B">
              <w:rPr>
                <w:rFonts w:ascii="TimesNewRomanPSMT" w:hAnsi="TimesNewRomanPSMT" w:cs="TimesNewRomanPSMT"/>
                <w:sz w:val="20"/>
                <w:szCs w:val="20"/>
              </w:rPr>
              <w:t xml:space="preserve"> mortality</w:t>
            </w:r>
          </w:p>
        </w:tc>
        <w:tc>
          <w:tcPr>
            <w:tcW w:w="2394" w:type="dxa"/>
            <w:vAlign w:val="center"/>
          </w:tcPr>
          <w:p w14:paraId="23E1A6D2" w14:textId="77777777" w:rsidR="009A40B3" w:rsidRPr="0015116B" w:rsidRDefault="00BD3891"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May impact female spawning biomass and numbers recruiting to the fishery</w:t>
            </w:r>
          </w:p>
        </w:tc>
        <w:tc>
          <w:tcPr>
            <w:tcW w:w="2394" w:type="dxa"/>
            <w:vAlign w:val="center"/>
          </w:tcPr>
          <w:p w14:paraId="22C99830" w14:textId="3897EAC5" w:rsidR="009A40B3" w:rsidRPr="0015116B" w:rsidRDefault="00B15E34" w:rsidP="009D1071">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possible concern</w:t>
            </w:r>
          </w:p>
        </w:tc>
      </w:tr>
      <w:tr w:rsidR="009A40B3" w:rsidRPr="0015116B" w14:paraId="46B8BEE1" w14:textId="77777777" w:rsidTr="00CB2BB8">
        <w:trPr>
          <w:trHeight w:val="252"/>
        </w:trPr>
        <w:tc>
          <w:tcPr>
            <w:tcW w:w="2394" w:type="dxa"/>
            <w:vAlign w:val="center"/>
          </w:tcPr>
          <w:p w14:paraId="75D2CB5F" w14:textId="77777777" w:rsidR="009A40B3" w:rsidRPr="0015116B" w:rsidRDefault="009A40B3" w:rsidP="00CB2BB8">
            <w:pPr>
              <w:autoSpaceDE w:val="0"/>
              <w:autoSpaceDN w:val="0"/>
              <w:adjustRightInd w:val="0"/>
              <w:spacing w:after="0"/>
              <w:rPr>
                <w:rFonts w:ascii="TimesNewRomanPSMT" w:hAnsi="TimesNewRomanPSMT" w:cs="TimesNewRomanPSMT"/>
                <w:i/>
                <w:sz w:val="20"/>
                <w:szCs w:val="20"/>
              </w:rPr>
            </w:pPr>
            <w:r w:rsidRPr="0015116B">
              <w:rPr>
                <w:rFonts w:ascii="TimesNewRomanPSMT" w:hAnsi="TimesNewRomanPSMT" w:cs="TimesNewRomanPSMT"/>
                <w:i/>
                <w:sz w:val="20"/>
                <w:szCs w:val="20"/>
              </w:rPr>
              <w:t>Fishery effects on age-at-maturity and fecundity</w:t>
            </w:r>
          </w:p>
        </w:tc>
        <w:tc>
          <w:tcPr>
            <w:tcW w:w="2394" w:type="dxa"/>
            <w:vAlign w:val="center"/>
          </w:tcPr>
          <w:p w14:paraId="32D0EEC1" w14:textId="77777777" w:rsidR="009A40B3" w:rsidRPr="0015116B" w:rsidRDefault="00F929BF"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none</w:t>
            </w:r>
          </w:p>
        </w:tc>
        <w:tc>
          <w:tcPr>
            <w:tcW w:w="2394" w:type="dxa"/>
            <w:vAlign w:val="center"/>
          </w:tcPr>
          <w:p w14:paraId="146423AE" w14:textId="77777777" w:rsidR="009A40B3" w:rsidRPr="0015116B" w:rsidRDefault="00FD5090"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unknown</w:t>
            </w:r>
          </w:p>
        </w:tc>
        <w:tc>
          <w:tcPr>
            <w:tcW w:w="2394" w:type="dxa"/>
            <w:vAlign w:val="center"/>
          </w:tcPr>
          <w:p w14:paraId="60B97B36" w14:textId="66CD8516" w:rsidR="009A40B3" w:rsidRPr="0015116B" w:rsidRDefault="009D1071" w:rsidP="00CB2BB8">
            <w:pPr>
              <w:autoSpaceDE w:val="0"/>
              <w:autoSpaceDN w:val="0"/>
              <w:adjustRightInd w:val="0"/>
              <w:spacing w:after="0"/>
              <w:rPr>
                <w:rFonts w:ascii="TimesNewRomanPSMT" w:hAnsi="TimesNewRomanPSMT" w:cs="TimesNewRomanPSMT"/>
                <w:sz w:val="20"/>
                <w:szCs w:val="20"/>
              </w:rPr>
            </w:pPr>
            <w:r w:rsidRPr="0015116B">
              <w:rPr>
                <w:rFonts w:ascii="TimesNewRomanPSMT" w:hAnsi="TimesNewRomanPSMT" w:cs="TimesNewRomanPSMT"/>
                <w:sz w:val="20"/>
                <w:szCs w:val="20"/>
              </w:rPr>
              <w:t>possible concern</w:t>
            </w:r>
          </w:p>
        </w:tc>
      </w:tr>
    </w:tbl>
    <w:p w14:paraId="387F85AC" w14:textId="77777777" w:rsidR="000D6717" w:rsidRPr="0015116B" w:rsidRDefault="000D6717">
      <w:pPr>
        <w:spacing w:after="200" w:line="276" w:lineRule="auto"/>
        <w:rPr>
          <w:rFonts w:asciiTheme="minorHAnsi" w:eastAsiaTheme="majorEastAsia" w:hAnsiTheme="minorHAnsi" w:cstheme="majorBidi"/>
          <w:b/>
          <w:bCs/>
          <w:sz w:val="24"/>
          <w:szCs w:val="28"/>
        </w:rPr>
      </w:pPr>
      <w:r w:rsidRPr="0015116B">
        <w:br w:type="page"/>
      </w:r>
    </w:p>
    <w:p w14:paraId="0F37D95A" w14:textId="77777777" w:rsidR="000E2054" w:rsidRPr="0015116B" w:rsidRDefault="000E2054" w:rsidP="00E6693C">
      <w:pPr>
        <w:pStyle w:val="Heading1"/>
      </w:pPr>
      <w:r w:rsidRPr="0015116B">
        <w:lastRenderedPageBreak/>
        <w:t>J. Literature Cited</w:t>
      </w:r>
    </w:p>
    <w:p w14:paraId="6C99F835" w14:textId="35CAEDCD" w:rsidR="000D6717" w:rsidRPr="0015116B" w:rsidRDefault="00252610" w:rsidP="000D6717">
      <w:pPr>
        <w:autoSpaceDE w:val="0"/>
        <w:autoSpaceDN w:val="0"/>
        <w:adjustRightInd w:val="0"/>
        <w:spacing w:after="0"/>
        <w:ind w:left="360" w:hanging="360"/>
        <w:rPr>
          <w:rFonts w:eastAsia="Times New Roman" w:cs="Times New Roman"/>
        </w:rPr>
      </w:pPr>
      <w:r w:rsidRPr="0015116B">
        <w:rPr>
          <w:rFonts w:eastAsia="Times New Roman" w:cs="Times New Roman"/>
        </w:rPr>
        <w:t xml:space="preserve">Adams, A. E. and A. J. Paul. </w:t>
      </w:r>
      <w:r w:rsidR="000D6717" w:rsidRPr="0015116B">
        <w:rPr>
          <w:rFonts w:eastAsia="Times New Roman" w:cs="Times New Roman"/>
        </w:rPr>
        <w:t>1983.</w:t>
      </w:r>
      <w:r w:rsidR="000E77E5" w:rsidRPr="0015116B">
        <w:rPr>
          <w:rFonts w:eastAsia="Times New Roman" w:cs="Times New Roman"/>
        </w:rPr>
        <w:t xml:space="preserve"> </w:t>
      </w:r>
      <w:r w:rsidR="000D6717" w:rsidRPr="0015116B">
        <w:rPr>
          <w:rFonts w:eastAsia="Times New Roman" w:cs="Times New Roman"/>
        </w:rPr>
        <w:t xml:space="preserve">Male parent size, sperm storage and egg production in the Crab </w:t>
      </w:r>
      <w:r w:rsidR="000D6717" w:rsidRPr="0015116B">
        <w:rPr>
          <w:rFonts w:eastAsia="Times New Roman" w:cs="Times New Roman"/>
          <w:i/>
        </w:rPr>
        <w:t>Chionoecetes bairdi</w:t>
      </w:r>
      <w:r w:rsidR="000D6717" w:rsidRPr="0015116B">
        <w:rPr>
          <w:rFonts w:eastAsia="Times New Roman" w:cs="Times New Roman"/>
        </w:rPr>
        <w:t xml:space="preserve"> (DECAPODA, MAJIDAE). International Journal of Invertebrate Reproduction. 6:181-187.</w:t>
      </w:r>
    </w:p>
    <w:p w14:paraId="036A4209" w14:textId="654D5262" w:rsidR="00344C70" w:rsidRPr="0015116B" w:rsidRDefault="00344C70" w:rsidP="007169E5">
      <w:pPr>
        <w:autoSpaceDE w:val="0"/>
        <w:autoSpaceDN w:val="0"/>
        <w:adjustRightInd w:val="0"/>
        <w:spacing w:after="0"/>
        <w:ind w:left="360" w:hanging="360"/>
        <w:rPr>
          <w:rFonts w:eastAsia="Times New Roman" w:cs="Times New Roman"/>
        </w:rPr>
      </w:pPr>
      <w:r w:rsidRPr="0015116B">
        <w:rPr>
          <w:rFonts w:eastAsia="Times New Roman" w:cs="Times New Roman"/>
        </w:rPr>
        <w:t>ADF&amp;G (Alaska Department of Fish and Game). 2017b. Tanner crab harvest strategy substitute language. [In] Record Copy 8 (RC8) from Alaska Board of Fisheries May 2017 meeting.</w:t>
      </w:r>
    </w:p>
    <w:p w14:paraId="69D3F107" w14:textId="6951D521" w:rsidR="007169E5" w:rsidRPr="0015116B" w:rsidRDefault="007169E5" w:rsidP="007169E5">
      <w:pPr>
        <w:autoSpaceDE w:val="0"/>
        <w:autoSpaceDN w:val="0"/>
        <w:adjustRightInd w:val="0"/>
        <w:spacing w:after="0"/>
        <w:ind w:left="360" w:hanging="360"/>
        <w:rPr>
          <w:rFonts w:eastAsia="Times New Roman" w:cs="Times New Roman"/>
        </w:rPr>
      </w:pPr>
      <w:r w:rsidRPr="0015116B">
        <w:rPr>
          <w:rFonts w:eastAsia="Times New Roman" w:cs="Times New Roman"/>
        </w:rPr>
        <w:t xml:space="preserve">Aydin, K., S. </w:t>
      </w:r>
      <w:proofErr w:type="spellStart"/>
      <w:r w:rsidRPr="0015116B">
        <w:rPr>
          <w:rFonts w:eastAsia="Times New Roman" w:cs="Times New Roman"/>
        </w:rPr>
        <w:t>Gaichas</w:t>
      </w:r>
      <w:proofErr w:type="spellEnd"/>
      <w:r w:rsidRPr="0015116B">
        <w:rPr>
          <w:rFonts w:eastAsia="Times New Roman" w:cs="Times New Roman"/>
        </w:rPr>
        <w:t xml:space="preserve">, I. Ortiz, D. </w:t>
      </w:r>
      <w:proofErr w:type="spellStart"/>
      <w:r w:rsidRPr="0015116B">
        <w:rPr>
          <w:rFonts w:eastAsia="Times New Roman" w:cs="Times New Roman"/>
        </w:rPr>
        <w:t>Kinzey</w:t>
      </w:r>
      <w:proofErr w:type="spellEnd"/>
      <w:r w:rsidRPr="0015116B">
        <w:rPr>
          <w:rFonts w:eastAsia="Times New Roman" w:cs="Times New Roman"/>
        </w:rPr>
        <w:t>, and N. Friday. 2007. A comparison of the Bering Sea, Gulf of</w:t>
      </w:r>
      <w:r w:rsidR="000E77E5" w:rsidRPr="0015116B">
        <w:rPr>
          <w:rFonts w:eastAsia="Times New Roman" w:cs="Times New Roman"/>
        </w:rPr>
        <w:t xml:space="preserve"> </w:t>
      </w:r>
      <w:r w:rsidRPr="0015116B">
        <w:rPr>
          <w:rFonts w:eastAsia="Times New Roman" w:cs="Times New Roman"/>
        </w:rPr>
        <w:t>Alaska, and Aleutian Islands large marine ecosystems through food web modeling. NOAA Tech. Memo. NMFS-AFSC-178. 298 p.</w:t>
      </w:r>
    </w:p>
    <w:p w14:paraId="02D2896A"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Br</w:t>
      </w:r>
      <w:r w:rsidR="000E77E5" w:rsidRPr="0015116B">
        <w:rPr>
          <w:rFonts w:eastAsia="Times New Roman" w:cs="Times New Roman"/>
        </w:rPr>
        <w:t xml:space="preserve">own, R. B. and G. C. Powell. </w:t>
      </w:r>
      <w:r w:rsidRPr="0015116B">
        <w:rPr>
          <w:rFonts w:eastAsia="Times New Roman" w:cs="Times New Roman"/>
        </w:rPr>
        <w:t>1972.</w:t>
      </w:r>
      <w:r w:rsidR="000E77E5" w:rsidRPr="0015116B">
        <w:rPr>
          <w:rFonts w:eastAsia="Times New Roman" w:cs="Times New Roman"/>
        </w:rPr>
        <w:t xml:space="preserve"> </w:t>
      </w:r>
      <w:r w:rsidRPr="0015116B">
        <w:rPr>
          <w:rFonts w:eastAsia="Times New Roman" w:cs="Times New Roman"/>
        </w:rPr>
        <w:t xml:space="preserve">Size at maturity in the male Alaskan Tanner crab, </w:t>
      </w:r>
      <w:r w:rsidRPr="0015116B">
        <w:rPr>
          <w:rFonts w:eastAsia="Times New Roman" w:cs="Times New Roman"/>
          <w:i/>
        </w:rPr>
        <w:t>Chionoecetes bairdi</w:t>
      </w:r>
      <w:r w:rsidRPr="0015116B">
        <w:rPr>
          <w:rFonts w:eastAsia="Times New Roman" w:cs="Times New Roman"/>
        </w:rPr>
        <w:t>, as determined by chela allometry, reproductive tract weights, and size of precopulatory males. Journal of the Fisheries Research Board of Canada. 29:423-427.</w:t>
      </w:r>
    </w:p>
    <w:p w14:paraId="35F0AA22" w14:textId="11CA0B5A" w:rsidR="00121895" w:rsidRPr="0015116B" w:rsidRDefault="00121895" w:rsidP="000D6717">
      <w:pPr>
        <w:autoSpaceDE w:val="0"/>
        <w:autoSpaceDN w:val="0"/>
        <w:adjustRightInd w:val="0"/>
        <w:spacing w:after="0"/>
        <w:ind w:left="360" w:hanging="360"/>
        <w:rPr>
          <w:rFonts w:eastAsia="Times New Roman" w:cs="Times New Roman"/>
        </w:rPr>
      </w:pPr>
      <w:r w:rsidRPr="0015116B">
        <w:rPr>
          <w:rFonts w:eastAsia="Times New Roman" w:cs="Times New Roman"/>
        </w:rPr>
        <w:t xml:space="preserve">Bowers, F.R., M. </w:t>
      </w:r>
      <w:proofErr w:type="spellStart"/>
      <w:r w:rsidRPr="0015116B">
        <w:rPr>
          <w:rFonts w:eastAsia="Times New Roman" w:cs="Times New Roman"/>
        </w:rPr>
        <w:t>Schwenzfeier</w:t>
      </w:r>
      <w:proofErr w:type="spellEnd"/>
      <w:r w:rsidRPr="0015116B">
        <w:rPr>
          <w:rFonts w:eastAsia="Times New Roman" w:cs="Times New Roman"/>
        </w:rPr>
        <w:t xml:space="preserve">, S. Coleman, B. </w:t>
      </w:r>
      <w:proofErr w:type="spellStart"/>
      <w:r w:rsidRPr="0015116B">
        <w:rPr>
          <w:rFonts w:eastAsia="Times New Roman" w:cs="Times New Roman"/>
        </w:rPr>
        <w:t>Failor</w:t>
      </w:r>
      <w:proofErr w:type="spellEnd"/>
      <w:r w:rsidRPr="0015116B">
        <w:rPr>
          <w:rFonts w:eastAsia="Times New Roman" w:cs="Times New Roman"/>
        </w:rPr>
        <w:t>-Rounds, K. Milani, K. Herring, M. Salmon and M. Albert. 2008. Annual Management Report for the Commercial and Subsistence Shellfish Fisheries of the Aleutian Islands, Bering Sea and the Westward Regions Shellfish Observer Program, 2006/07. Fishery Management Report No. 08-02. 242 p.</w:t>
      </w:r>
    </w:p>
    <w:p w14:paraId="2102B45F" w14:textId="44DDD032" w:rsidR="002B4DAC" w:rsidRPr="0015116B" w:rsidRDefault="002B4DAC" w:rsidP="002B4DAC">
      <w:pPr>
        <w:autoSpaceDE w:val="0"/>
        <w:autoSpaceDN w:val="0"/>
        <w:adjustRightInd w:val="0"/>
        <w:spacing w:after="0"/>
        <w:ind w:left="360" w:hanging="360"/>
        <w:rPr>
          <w:rFonts w:eastAsia="Times New Roman" w:cs="Times New Roman"/>
        </w:rPr>
      </w:pPr>
      <w:r w:rsidRPr="0015116B">
        <w:rPr>
          <w:rFonts w:eastAsia="Times New Roman" w:cs="Times New Roman"/>
        </w:rPr>
        <w:t xml:space="preserve">Daly, B., C. Armistead and R. Foy. </w:t>
      </w:r>
      <w:r w:rsidR="008D363E" w:rsidRPr="0015116B">
        <w:rPr>
          <w:rFonts w:eastAsia="Times New Roman" w:cs="Times New Roman"/>
        </w:rPr>
        <w:t>2014</w:t>
      </w:r>
      <w:r w:rsidRPr="0015116B">
        <w:rPr>
          <w:rFonts w:eastAsia="Times New Roman" w:cs="Times New Roman"/>
        </w:rPr>
        <w:t>. The 2014 Eastern Bering Sea Continental Shelf Bottom Trawl Survey: Results for Commercial Crab Species. NOAA Technical Memorandum NMFS-AFSC-</w:t>
      </w:r>
      <w:r w:rsidR="008D363E" w:rsidRPr="0015116B">
        <w:rPr>
          <w:rFonts w:eastAsia="Times New Roman" w:cs="Times New Roman"/>
        </w:rPr>
        <w:t>282</w:t>
      </w:r>
      <w:r w:rsidRPr="0015116B">
        <w:rPr>
          <w:rFonts w:eastAsia="Times New Roman" w:cs="Times New Roman"/>
        </w:rPr>
        <w:t xml:space="preserve"> 172 p.</w:t>
      </w:r>
    </w:p>
    <w:p w14:paraId="5D1AB44A" w14:textId="54B71BCB" w:rsidR="008D363E" w:rsidRPr="0015116B" w:rsidRDefault="008D363E" w:rsidP="008D363E">
      <w:pPr>
        <w:autoSpaceDE w:val="0"/>
        <w:autoSpaceDN w:val="0"/>
        <w:adjustRightInd w:val="0"/>
        <w:spacing w:after="0"/>
        <w:ind w:left="360" w:hanging="360"/>
        <w:rPr>
          <w:rFonts w:eastAsia="Times New Roman" w:cs="Times New Roman"/>
        </w:rPr>
      </w:pPr>
      <w:r w:rsidRPr="0015116B">
        <w:rPr>
          <w:rFonts w:eastAsia="Times New Roman" w:cs="Times New Roman"/>
        </w:rPr>
        <w:t>Daly, B., C. Armistead and R. Foy. The 2015 Eastern Bering Sea Continental Shelf Bottom Trawl Survey: Results for Commercial Crab Species. NOAA Technical Memorandum NMFS-AFSC-XX 172 p.</w:t>
      </w:r>
    </w:p>
    <w:p w14:paraId="0FB214AA" w14:textId="56A45BB1" w:rsidR="00344C70" w:rsidRPr="0015116B" w:rsidRDefault="00344C70" w:rsidP="008D363E">
      <w:pPr>
        <w:autoSpaceDE w:val="0"/>
        <w:autoSpaceDN w:val="0"/>
        <w:adjustRightInd w:val="0"/>
        <w:spacing w:after="0"/>
        <w:ind w:left="360" w:hanging="360"/>
        <w:rPr>
          <w:rFonts w:eastAsia="Times New Roman" w:cs="Times New Roman"/>
        </w:rPr>
      </w:pPr>
      <w:r w:rsidRPr="0015116B">
        <w:rPr>
          <w:rFonts w:eastAsia="Times New Roman" w:cs="Times New Roman"/>
        </w:rPr>
        <w:t xml:space="preserve">Daly, B., Heller-Shipley, M., </w:t>
      </w:r>
      <w:proofErr w:type="spellStart"/>
      <w:r w:rsidRPr="0015116B">
        <w:rPr>
          <w:rFonts w:eastAsia="Times New Roman" w:cs="Times New Roman"/>
        </w:rPr>
        <w:t>Stichert</w:t>
      </w:r>
      <w:proofErr w:type="spellEnd"/>
      <w:r w:rsidRPr="0015116B">
        <w:rPr>
          <w:rFonts w:eastAsia="Times New Roman" w:cs="Times New Roman"/>
        </w:rPr>
        <w:t>, M., Stockhausen, W., Punt, A., &amp; Goodman, S. 2020. Recommended Harvest Strategy for Bering Sea Tanner Crab.</w:t>
      </w:r>
      <w:r w:rsidRPr="0015116B">
        <w:t xml:space="preserve"> </w:t>
      </w:r>
      <w:r w:rsidRPr="0015116B">
        <w:rPr>
          <w:rFonts w:eastAsia="Times New Roman" w:cs="Times New Roman"/>
        </w:rPr>
        <w:t>Alaska Department of Fish and Game, Fishery Manuscript Series No. 20-03, Anchorage.</w:t>
      </w:r>
    </w:p>
    <w:p w14:paraId="61EE6240" w14:textId="77777777" w:rsidR="000D6717" w:rsidRPr="0015116B" w:rsidRDefault="000D6717" w:rsidP="000D6717">
      <w:pPr>
        <w:spacing w:after="0"/>
        <w:ind w:left="360" w:hanging="360"/>
        <w:rPr>
          <w:rFonts w:eastAsia="Times New Roman" w:cs="Times New Roman"/>
        </w:rPr>
      </w:pPr>
      <w:r w:rsidRPr="0015116B">
        <w:rPr>
          <w:rFonts w:eastAsia="Times New Roman" w:cs="Times New Roman"/>
        </w:rPr>
        <w:t>Don</w:t>
      </w:r>
      <w:r w:rsidR="000E77E5" w:rsidRPr="0015116B">
        <w:rPr>
          <w:rFonts w:eastAsia="Times New Roman" w:cs="Times New Roman"/>
        </w:rPr>
        <w:t xml:space="preserve">aldson, W .E. and D. M. Hicks. 1977. </w:t>
      </w:r>
      <w:r w:rsidRPr="0015116B">
        <w:rPr>
          <w:rFonts w:eastAsia="Times New Roman" w:cs="Times New Roman"/>
        </w:rPr>
        <w:t>Technical report to industry on the Kodiak crab</w:t>
      </w:r>
      <w:r w:rsidR="000E77E5" w:rsidRPr="0015116B">
        <w:rPr>
          <w:rFonts w:eastAsia="Times New Roman" w:cs="Times New Roman"/>
        </w:rPr>
        <w:t xml:space="preserve"> </w:t>
      </w:r>
      <w:r w:rsidRPr="0015116B">
        <w:rPr>
          <w:rFonts w:eastAsia="Times New Roman" w:cs="Times New Roman"/>
        </w:rPr>
        <w:t>population surveys. Results, life history, information, and history of the fishery for Tanner crab. Alaska Dept. Fish and Game, Kodiak Tanner crab research. 46 p.</w:t>
      </w:r>
    </w:p>
    <w:p w14:paraId="113C1AAE"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 xml:space="preserve">Donaldson, </w:t>
      </w:r>
      <w:r w:rsidR="000E77E5" w:rsidRPr="0015116B">
        <w:rPr>
          <w:rFonts w:eastAsia="Times New Roman" w:cs="Times New Roman"/>
        </w:rPr>
        <w:t xml:space="preserve">W. E., and A. A. Adams. 1989. </w:t>
      </w:r>
      <w:r w:rsidRPr="0015116B">
        <w:rPr>
          <w:rFonts w:eastAsia="Times New Roman" w:cs="Times New Roman"/>
        </w:rPr>
        <w:t xml:space="preserve">Ethogram of behavior with emphasis on mating for the Tanner crab </w:t>
      </w:r>
      <w:r w:rsidRPr="0015116B">
        <w:rPr>
          <w:rFonts w:eastAsia="Times New Roman" w:cs="Times New Roman"/>
          <w:i/>
        </w:rPr>
        <w:t>Chionoecetes bairdi</w:t>
      </w:r>
      <w:r w:rsidRPr="0015116B">
        <w:rPr>
          <w:rFonts w:eastAsia="Times New Roman" w:cs="Times New Roman"/>
        </w:rPr>
        <w:t xml:space="preserve"> Rathbun. Journal of Crustacean Biology. 9:37-53.</w:t>
      </w:r>
    </w:p>
    <w:p w14:paraId="49D83F21"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Donaldson, W. E., R. T</w:t>
      </w:r>
      <w:r w:rsidR="000E77E5" w:rsidRPr="0015116B">
        <w:rPr>
          <w:rFonts w:eastAsia="Times New Roman" w:cs="Times New Roman"/>
        </w:rPr>
        <w:t xml:space="preserve">. Cooney, and J. R. </w:t>
      </w:r>
      <w:proofErr w:type="spellStart"/>
      <w:r w:rsidR="000E77E5" w:rsidRPr="0015116B">
        <w:rPr>
          <w:rFonts w:eastAsia="Times New Roman" w:cs="Times New Roman"/>
        </w:rPr>
        <w:t>Hilsinger</w:t>
      </w:r>
      <w:proofErr w:type="spellEnd"/>
      <w:r w:rsidR="000E77E5" w:rsidRPr="0015116B">
        <w:rPr>
          <w:rFonts w:eastAsia="Times New Roman" w:cs="Times New Roman"/>
        </w:rPr>
        <w:t xml:space="preserve">. 1981. </w:t>
      </w:r>
      <w:r w:rsidRPr="0015116B">
        <w:rPr>
          <w:rFonts w:eastAsia="Times New Roman" w:cs="Times New Roman"/>
        </w:rPr>
        <w:t>Growth, age, and size at maturity of</w:t>
      </w:r>
      <w:r w:rsidR="000E77E5" w:rsidRPr="0015116B">
        <w:rPr>
          <w:rFonts w:eastAsia="Times New Roman" w:cs="Times New Roman"/>
        </w:rPr>
        <w:t xml:space="preserve"> </w:t>
      </w:r>
      <w:r w:rsidRPr="0015116B">
        <w:rPr>
          <w:rFonts w:eastAsia="Times New Roman" w:cs="Times New Roman"/>
        </w:rPr>
        <w:t xml:space="preserve">Tanner crab </w:t>
      </w:r>
      <w:r w:rsidRPr="0015116B">
        <w:rPr>
          <w:rFonts w:eastAsia="Times New Roman" w:cs="Times New Roman"/>
          <w:i/>
        </w:rPr>
        <w:t>Chionoecetes bairdi</w:t>
      </w:r>
      <w:r w:rsidRPr="0015116B">
        <w:rPr>
          <w:rFonts w:eastAsia="Times New Roman" w:cs="Times New Roman"/>
        </w:rPr>
        <w:t xml:space="preserve"> M. J. Rathbun, in the northern Gulf of Alaska. </w:t>
      </w:r>
      <w:proofErr w:type="spellStart"/>
      <w:r w:rsidRPr="0015116B">
        <w:rPr>
          <w:rFonts w:eastAsia="Times New Roman" w:cs="Times New Roman"/>
        </w:rPr>
        <w:t>Crustaceana</w:t>
      </w:r>
      <w:proofErr w:type="spellEnd"/>
      <w:r w:rsidRPr="0015116B">
        <w:rPr>
          <w:rFonts w:eastAsia="Times New Roman" w:cs="Times New Roman"/>
        </w:rPr>
        <w:t>. 40:286-302.</w:t>
      </w:r>
    </w:p>
    <w:p w14:paraId="396A91A9" w14:textId="73A20AAA" w:rsidR="000D6717" w:rsidRPr="0015116B" w:rsidRDefault="000D6717" w:rsidP="000D6717">
      <w:pPr>
        <w:spacing w:after="0"/>
        <w:ind w:left="360" w:hanging="360"/>
        <w:rPr>
          <w:rFonts w:eastAsia="Times New Roman" w:cs="Times New Roman"/>
        </w:rPr>
      </w:pPr>
      <w:r w:rsidRPr="0015116B">
        <w:rPr>
          <w:rFonts w:eastAsia="Times New Roman" w:cs="Times New Roman"/>
        </w:rPr>
        <w:t xml:space="preserve">Haynes, E., J. F. </w:t>
      </w:r>
      <w:proofErr w:type="spellStart"/>
      <w:r w:rsidRPr="0015116B">
        <w:rPr>
          <w:rFonts w:eastAsia="Times New Roman" w:cs="Times New Roman"/>
        </w:rPr>
        <w:t>Karinen</w:t>
      </w:r>
      <w:proofErr w:type="spellEnd"/>
      <w:r w:rsidRPr="0015116B">
        <w:rPr>
          <w:rFonts w:eastAsia="Times New Roman" w:cs="Times New Roman"/>
        </w:rPr>
        <w:t>, J. Wa</w:t>
      </w:r>
      <w:r w:rsidR="000E77E5" w:rsidRPr="0015116B">
        <w:rPr>
          <w:rFonts w:eastAsia="Times New Roman" w:cs="Times New Roman"/>
        </w:rPr>
        <w:t xml:space="preserve">tson, and D. J. Hopson. 1976. </w:t>
      </w:r>
      <w:r w:rsidRPr="0015116B">
        <w:rPr>
          <w:rFonts w:eastAsia="Times New Roman" w:cs="Times New Roman"/>
        </w:rPr>
        <w:t xml:space="preserve">Relation of number of eggs and egg length to carapace width in the brachyuran crabs </w:t>
      </w:r>
      <w:r w:rsidRPr="0015116B">
        <w:rPr>
          <w:rFonts w:eastAsia="Times New Roman" w:cs="Times New Roman"/>
          <w:i/>
        </w:rPr>
        <w:t>Chionoecetes ba</w:t>
      </w:r>
      <w:r w:rsidR="0094747C" w:rsidRPr="0015116B">
        <w:rPr>
          <w:rFonts w:eastAsia="Times New Roman" w:cs="Times New Roman"/>
          <w:i/>
        </w:rPr>
        <w:t>ir</w:t>
      </w:r>
      <w:r w:rsidRPr="0015116B">
        <w:rPr>
          <w:rFonts w:eastAsia="Times New Roman" w:cs="Times New Roman"/>
          <w:i/>
        </w:rPr>
        <w:t>di</w:t>
      </w:r>
      <w:r w:rsidRPr="0015116B">
        <w:rPr>
          <w:rFonts w:eastAsia="Times New Roman" w:cs="Times New Roman"/>
        </w:rPr>
        <w:t xml:space="preserve"> and </w:t>
      </w:r>
      <w:r w:rsidRPr="0015116B">
        <w:rPr>
          <w:rFonts w:eastAsia="Times New Roman" w:cs="Times New Roman"/>
          <w:i/>
        </w:rPr>
        <w:t>C. opilio</w:t>
      </w:r>
      <w:r w:rsidRPr="0015116B">
        <w:rPr>
          <w:rFonts w:eastAsia="Times New Roman" w:cs="Times New Roman"/>
        </w:rPr>
        <w:t xml:space="preserve"> from the southeastern Bering Sea and </w:t>
      </w:r>
      <w:r w:rsidRPr="0015116B">
        <w:rPr>
          <w:rFonts w:eastAsia="Times New Roman" w:cs="Times New Roman"/>
          <w:i/>
        </w:rPr>
        <w:t>C. opilio</w:t>
      </w:r>
      <w:r w:rsidRPr="0015116B">
        <w:rPr>
          <w:rFonts w:eastAsia="Times New Roman" w:cs="Times New Roman"/>
        </w:rPr>
        <w:t xml:space="preserve"> from the Gulf of St. Lawrence. J. Fish. Res. Board Can. 33:2592-2595. </w:t>
      </w:r>
    </w:p>
    <w:p w14:paraId="4862C87A" w14:textId="77777777" w:rsidR="000D6717" w:rsidRPr="0015116B" w:rsidRDefault="000E77E5" w:rsidP="000D6717">
      <w:pPr>
        <w:autoSpaceDE w:val="0"/>
        <w:autoSpaceDN w:val="0"/>
        <w:adjustRightInd w:val="0"/>
        <w:spacing w:after="0"/>
        <w:ind w:left="360" w:hanging="360"/>
        <w:rPr>
          <w:rFonts w:eastAsia="Times New Roman" w:cs="Times New Roman"/>
          <w:i/>
        </w:rPr>
      </w:pPr>
      <w:proofErr w:type="spellStart"/>
      <w:r w:rsidRPr="0015116B">
        <w:rPr>
          <w:rFonts w:eastAsia="Times New Roman" w:cs="Times New Roman"/>
        </w:rPr>
        <w:t>Hilsinger</w:t>
      </w:r>
      <w:proofErr w:type="spellEnd"/>
      <w:r w:rsidRPr="0015116B">
        <w:rPr>
          <w:rFonts w:eastAsia="Times New Roman" w:cs="Times New Roman"/>
        </w:rPr>
        <w:t xml:space="preserve">, J. R. 1976. </w:t>
      </w:r>
      <w:r w:rsidR="000D6717" w:rsidRPr="0015116B">
        <w:rPr>
          <w:rFonts w:eastAsia="Times New Roman" w:cs="Times New Roman"/>
        </w:rPr>
        <w:t xml:space="preserve">Aspects of the reproductive biology of female snow crabs, </w:t>
      </w:r>
      <w:r w:rsidR="000D6717" w:rsidRPr="0015116B">
        <w:rPr>
          <w:rFonts w:eastAsia="Times New Roman" w:cs="Times New Roman"/>
          <w:i/>
        </w:rPr>
        <w:t>Chionoecetes bairdi</w:t>
      </w:r>
      <w:r w:rsidR="000D6717" w:rsidRPr="0015116B">
        <w:rPr>
          <w:rFonts w:eastAsia="Times New Roman" w:cs="Times New Roman"/>
        </w:rPr>
        <w:t>, from Prince William Sound and the adjacent Gulf of Alaska. Marine Science Communications. 2:201-225.</w:t>
      </w:r>
    </w:p>
    <w:p w14:paraId="10B1C01F" w14:textId="77777777" w:rsidR="000D6717" w:rsidRPr="0015116B" w:rsidRDefault="000D6717" w:rsidP="000D6717">
      <w:pPr>
        <w:spacing w:after="0"/>
        <w:ind w:left="360" w:hanging="360"/>
        <w:rPr>
          <w:rFonts w:eastAsia="Times New Roman" w:cs="Times New Roman"/>
        </w:rPr>
      </w:pPr>
      <w:r w:rsidRPr="0015116B">
        <w:rPr>
          <w:rFonts w:eastAsia="Times New Roman" w:cs="Times New Roman"/>
        </w:rPr>
        <w:t>Hoenig, J. 1983.</w:t>
      </w:r>
      <w:r w:rsidR="000E77E5" w:rsidRPr="0015116B">
        <w:rPr>
          <w:rFonts w:eastAsia="Times New Roman" w:cs="Times New Roman"/>
        </w:rPr>
        <w:t xml:space="preserve"> </w:t>
      </w:r>
      <w:r w:rsidRPr="0015116B">
        <w:rPr>
          <w:rFonts w:eastAsia="Times New Roman" w:cs="Times New Roman"/>
        </w:rPr>
        <w:t>Empirical use of longevity data to estimate mortality rates.</w:t>
      </w:r>
      <w:r w:rsidR="000E77E5" w:rsidRPr="0015116B">
        <w:rPr>
          <w:rFonts w:eastAsia="Times New Roman" w:cs="Times New Roman"/>
        </w:rPr>
        <w:t xml:space="preserve"> </w:t>
      </w:r>
      <w:r w:rsidRPr="0015116B">
        <w:rPr>
          <w:rFonts w:eastAsia="Times New Roman" w:cs="Times New Roman"/>
        </w:rPr>
        <w:t>Fish. Bull. 82: 898-903.</w:t>
      </w:r>
    </w:p>
    <w:p w14:paraId="0E2429E6" w14:textId="4F188EE0" w:rsidR="000D6717" w:rsidRPr="0015116B" w:rsidRDefault="000D6717" w:rsidP="00415D4A">
      <w:pPr>
        <w:autoSpaceDE w:val="0"/>
        <w:autoSpaceDN w:val="0"/>
        <w:adjustRightInd w:val="0"/>
        <w:spacing w:after="0"/>
        <w:ind w:left="360" w:hanging="360"/>
        <w:rPr>
          <w:rFonts w:eastAsia="Times New Roman" w:cs="Times New Roman"/>
        </w:rPr>
      </w:pPr>
      <w:proofErr w:type="spellStart"/>
      <w:r w:rsidRPr="0015116B">
        <w:rPr>
          <w:rFonts w:eastAsia="Times New Roman" w:cs="Times New Roman"/>
        </w:rPr>
        <w:t>Hosie</w:t>
      </w:r>
      <w:proofErr w:type="spellEnd"/>
      <w:r w:rsidRPr="0015116B">
        <w:rPr>
          <w:rFonts w:eastAsia="Times New Roman" w:cs="Times New Roman"/>
        </w:rPr>
        <w:t xml:space="preserve">, M. J. and T. F. </w:t>
      </w:r>
      <w:proofErr w:type="spellStart"/>
      <w:r w:rsidRPr="0015116B">
        <w:rPr>
          <w:rFonts w:eastAsia="Times New Roman" w:cs="Times New Roman"/>
        </w:rPr>
        <w:t>Gaumer</w:t>
      </w:r>
      <w:proofErr w:type="spellEnd"/>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1974.</w:t>
      </w:r>
      <w:r w:rsidR="000E77E5" w:rsidRPr="0015116B">
        <w:rPr>
          <w:rFonts w:eastAsia="Times New Roman" w:cs="Times New Roman"/>
        </w:rPr>
        <w:t xml:space="preserve"> </w:t>
      </w:r>
      <w:r w:rsidRPr="0015116B">
        <w:rPr>
          <w:rFonts w:eastAsia="Times New Roman" w:cs="Times New Roman"/>
        </w:rPr>
        <w:t xml:space="preserve">Southern range extension of the Baird crab </w:t>
      </w:r>
      <w:r w:rsidRPr="0015116B">
        <w:rPr>
          <w:rFonts w:eastAsia="Times New Roman" w:cs="Times New Roman"/>
          <w:i/>
        </w:rPr>
        <w:t>(Chionoecetes</w:t>
      </w:r>
      <w:r w:rsidR="00415D4A" w:rsidRPr="0015116B">
        <w:rPr>
          <w:rFonts w:eastAsia="Times New Roman" w:cs="Times New Roman"/>
        </w:rPr>
        <w:t xml:space="preserve"> </w:t>
      </w:r>
      <w:r w:rsidRPr="0015116B">
        <w:rPr>
          <w:rFonts w:eastAsia="Times New Roman" w:cs="Times New Roman"/>
          <w:i/>
        </w:rPr>
        <w:t xml:space="preserve">bairdi </w:t>
      </w:r>
      <w:r w:rsidRPr="0015116B">
        <w:rPr>
          <w:rFonts w:eastAsia="Times New Roman" w:cs="Times New Roman"/>
        </w:rPr>
        <w:t>Rathbun). Calif. Fish and Game. 60:44-47.</w:t>
      </w:r>
    </w:p>
    <w:p w14:paraId="7C2DF78C" w14:textId="2166C41F" w:rsidR="000174B6" w:rsidRPr="0015116B" w:rsidRDefault="000174B6" w:rsidP="00415D4A">
      <w:pPr>
        <w:autoSpaceDE w:val="0"/>
        <w:autoSpaceDN w:val="0"/>
        <w:adjustRightInd w:val="0"/>
        <w:spacing w:after="0"/>
        <w:ind w:left="360" w:hanging="360"/>
        <w:rPr>
          <w:rFonts w:eastAsia="Times New Roman" w:cs="Times New Roman"/>
        </w:rPr>
      </w:pPr>
      <w:r w:rsidRPr="0015116B">
        <w:rPr>
          <w:rFonts w:eastAsia="Times New Roman" w:cs="Times New Roman"/>
        </w:rPr>
        <w:t>Johnson, G. M. 2019. Population genetics of Tanner crab (Chionoecetes bairdi) in Alaskan waters. Master’s thesis, University of Alaska Fairbanks.</w:t>
      </w:r>
    </w:p>
    <w:p w14:paraId="1C681EB8" w14:textId="77777777" w:rsidR="000D6717" w:rsidRPr="0015116B" w:rsidRDefault="000D6717" w:rsidP="000D6717">
      <w:pPr>
        <w:autoSpaceDE w:val="0"/>
        <w:autoSpaceDN w:val="0"/>
        <w:adjustRightInd w:val="0"/>
        <w:spacing w:after="0"/>
        <w:ind w:left="360" w:hanging="360"/>
        <w:rPr>
          <w:rFonts w:eastAsia="Times New Roman" w:cs="Times New Roman"/>
        </w:rPr>
      </w:pPr>
      <w:proofErr w:type="spellStart"/>
      <w:r w:rsidRPr="0015116B">
        <w:rPr>
          <w:rFonts w:eastAsia="Times New Roman" w:cs="Times New Roman"/>
        </w:rPr>
        <w:t>Karinen</w:t>
      </w:r>
      <w:proofErr w:type="spellEnd"/>
      <w:r w:rsidRPr="0015116B">
        <w:rPr>
          <w:rFonts w:eastAsia="Times New Roman" w:cs="Times New Roman"/>
        </w:rPr>
        <w:t>, J. F. and D. T. Hoopes.</w:t>
      </w:r>
      <w:r w:rsidR="000E77E5" w:rsidRPr="0015116B">
        <w:rPr>
          <w:rFonts w:eastAsia="Times New Roman" w:cs="Times New Roman"/>
        </w:rPr>
        <w:t xml:space="preserve"> </w:t>
      </w:r>
      <w:r w:rsidRPr="0015116B">
        <w:rPr>
          <w:rFonts w:eastAsia="Times New Roman" w:cs="Times New Roman"/>
        </w:rPr>
        <w:t>1971.</w:t>
      </w:r>
      <w:r w:rsidR="000E77E5" w:rsidRPr="0015116B">
        <w:rPr>
          <w:rFonts w:eastAsia="Times New Roman" w:cs="Times New Roman"/>
        </w:rPr>
        <w:t xml:space="preserve"> </w:t>
      </w:r>
      <w:r w:rsidRPr="0015116B">
        <w:rPr>
          <w:rFonts w:eastAsia="Times New Roman" w:cs="Times New Roman"/>
        </w:rPr>
        <w:t>Occurrence of Tanner crabs (</w:t>
      </w:r>
      <w:r w:rsidRPr="0015116B">
        <w:rPr>
          <w:rFonts w:eastAsia="Times New Roman" w:cs="Times New Roman"/>
          <w:i/>
        </w:rPr>
        <w:t>Chionoecetes</w:t>
      </w:r>
      <w:r w:rsidRPr="0015116B">
        <w:rPr>
          <w:rFonts w:eastAsia="Times New Roman" w:cs="Times New Roman"/>
        </w:rPr>
        <w:t xml:space="preserve"> sp.) in the eastern Bering Sea with characteristics intermediate between </w:t>
      </w:r>
      <w:r w:rsidRPr="0015116B">
        <w:rPr>
          <w:rFonts w:eastAsia="Times New Roman" w:cs="Times New Roman"/>
          <w:i/>
        </w:rPr>
        <w:t>C. bairdi</w:t>
      </w:r>
      <w:r w:rsidRPr="0015116B">
        <w:rPr>
          <w:rFonts w:eastAsia="Times New Roman" w:cs="Times New Roman"/>
        </w:rPr>
        <w:t xml:space="preserve"> and </w:t>
      </w:r>
      <w:r w:rsidRPr="0015116B">
        <w:rPr>
          <w:rFonts w:eastAsia="Times New Roman" w:cs="Times New Roman"/>
          <w:i/>
        </w:rPr>
        <w:t>C. opilio</w:t>
      </w:r>
      <w:r w:rsidRPr="0015116B">
        <w:rPr>
          <w:rFonts w:eastAsia="Times New Roman" w:cs="Times New Roman"/>
        </w:rPr>
        <w:t>. Proc. Natl. Shellfish Assoc. 61:8-9.</w:t>
      </w:r>
    </w:p>
    <w:p w14:paraId="616F3B3A"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Kon, T.</w:t>
      </w:r>
      <w:r w:rsidR="000E77E5" w:rsidRPr="0015116B">
        <w:rPr>
          <w:rFonts w:eastAsia="Times New Roman" w:cs="Times New Roman"/>
        </w:rPr>
        <w:t xml:space="preserve"> </w:t>
      </w:r>
      <w:r w:rsidRPr="0015116B">
        <w:rPr>
          <w:rFonts w:eastAsia="Times New Roman" w:cs="Times New Roman"/>
        </w:rPr>
        <w:t>1996.</w:t>
      </w:r>
      <w:r w:rsidR="000E77E5" w:rsidRPr="0015116B">
        <w:rPr>
          <w:rFonts w:eastAsia="Times New Roman" w:cs="Times New Roman"/>
        </w:rPr>
        <w:t xml:space="preserve"> </w:t>
      </w:r>
      <w:r w:rsidRPr="0015116B">
        <w:rPr>
          <w:rFonts w:eastAsia="Times New Roman" w:cs="Times New Roman"/>
        </w:rPr>
        <w:t xml:space="preserve">Overview of Tanner crab fisheries around the Japanese Archipelago, p. 13-24. </w:t>
      </w:r>
      <w:r w:rsidRPr="0015116B">
        <w:rPr>
          <w:rFonts w:eastAsia="Times New Roman" w:cs="Times New Roman"/>
          <w:i/>
        </w:rPr>
        <w:t>In</w:t>
      </w:r>
      <w:r w:rsidRPr="0015116B">
        <w:rPr>
          <w:rFonts w:eastAsia="Times New Roman" w:cs="Times New Roman"/>
        </w:rPr>
        <w:t xml:space="preserve"> High</w:t>
      </w:r>
    </w:p>
    <w:p w14:paraId="03401DBB"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 xml:space="preserve">Latitude Crabs: Biology, Management and Economics. Alaska Sea Grant Report, AK-SG-96-02, </w:t>
      </w:r>
      <w:proofErr w:type="spellStart"/>
      <w:r w:rsidRPr="0015116B">
        <w:rPr>
          <w:rFonts w:eastAsia="Times New Roman" w:cs="Times New Roman"/>
        </w:rPr>
        <w:t>Universityof</w:t>
      </w:r>
      <w:proofErr w:type="spellEnd"/>
      <w:r w:rsidRPr="0015116B">
        <w:rPr>
          <w:rFonts w:eastAsia="Times New Roman" w:cs="Times New Roman"/>
        </w:rPr>
        <w:t xml:space="preserve"> Alaska Fairbanks.</w:t>
      </w:r>
    </w:p>
    <w:p w14:paraId="4DC13380" w14:textId="77777777" w:rsidR="000D6717" w:rsidRPr="0015116B" w:rsidRDefault="000D6717" w:rsidP="000D6717">
      <w:pPr>
        <w:spacing w:after="0"/>
        <w:ind w:left="360" w:hanging="360"/>
        <w:rPr>
          <w:rFonts w:eastAsia="Times New Roman" w:cs="Times New Roman"/>
        </w:rPr>
      </w:pPr>
      <w:r w:rsidRPr="0015116B">
        <w:rPr>
          <w:rFonts w:eastAsia="Times New Roman" w:cs="Times New Roman"/>
          <w:bCs/>
        </w:rPr>
        <w:t>Martel, S and D. Stram.</w:t>
      </w:r>
      <w:r w:rsidR="000E77E5" w:rsidRPr="0015116B">
        <w:rPr>
          <w:rFonts w:eastAsia="Times New Roman" w:cs="Times New Roman"/>
          <w:bCs/>
        </w:rPr>
        <w:t xml:space="preserve"> </w:t>
      </w:r>
      <w:r w:rsidRPr="0015116B">
        <w:rPr>
          <w:rFonts w:eastAsia="Times New Roman" w:cs="Times New Roman"/>
          <w:bCs/>
        </w:rPr>
        <w:t>2011.</w:t>
      </w:r>
      <w:r w:rsidR="000E77E5" w:rsidRPr="0015116B">
        <w:rPr>
          <w:rFonts w:eastAsia="Times New Roman" w:cs="Times New Roman"/>
          <w:bCs/>
        </w:rPr>
        <w:t xml:space="preserve"> </w:t>
      </w:r>
      <w:r w:rsidRPr="0015116B">
        <w:rPr>
          <w:rFonts w:eastAsia="Times New Roman" w:cs="Times New Roman"/>
          <w:bCs/>
        </w:rPr>
        <w:t>Report on the North Pacific Fishery Management Council’s Crab Modeling Workshop, 16-18 February 2011, Alaska Fisheries Science Center, Seattle WA.</w:t>
      </w:r>
      <w:r w:rsidRPr="0015116B">
        <w:rPr>
          <w:rFonts w:eastAsia="Times New Roman" w:cs="Times New Roman"/>
        </w:rPr>
        <w:t xml:space="preserve"> </w:t>
      </w:r>
    </w:p>
    <w:p w14:paraId="07E1818F" w14:textId="77777777" w:rsidR="000D6717" w:rsidRPr="0015116B" w:rsidRDefault="000D6717" w:rsidP="000D6717">
      <w:pPr>
        <w:spacing w:after="0"/>
        <w:ind w:left="360" w:hanging="360"/>
        <w:rPr>
          <w:rFonts w:eastAsia="Times New Roman" w:cs="Times New Roman"/>
        </w:rPr>
      </w:pPr>
      <w:r w:rsidRPr="0015116B">
        <w:rPr>
          <w:rFonts w:eastAsia="Times New Roman" w:cs="Times New Roman"/>
        </w:rPr>
        <w:lastRenderedPageBreak/>
        <w:t>McLaughlin, P. A. and 39 coauthors.</w:t>
      </w:r>
      <w:r w:rsidR="000E77E5" w:rsidRPr="0015116B">
        <w:rPr>
          <w:rFonts w:eastAsia="Times New Roman" w:cs="Times New Roman"/>
        </w:rPr>
        <w:t xml:space="preserve"> </w:t>
      </w:r>
      <w:r w:rsidRPr="0015116B">
        <w:rPr>
          <w:rFonts w:eastAsia="Times New Roman" w:cs="Times New Roman"/>
        </w:rPr>
        <w:t>2005.</w:t>
      </w:r>
      <w:r w:rsidR="000E77E5" w:rsidRPr="0015116B">
        <w:rPr>
          <w:rFonts w:eastAsia="Times New Roman" w:cs="Times New Roman"/>
        </w:rPr>
        <w:t xml:space="preserve"> </w:t>
      </w:r>
      <w:r w:rsidRPr="0015116B">
        <w:rPr>
          <w:rFonts w:eastAsia="Times New Roman" w:cs="Times New Roman"/>
        </w:rPr>
        <w:t>Common and scientific names of aquatic invertebrates from the United States and Canada: crustaceans. American Fisheries Society Special Publication 31. 545 p.</w:t>
      </w:r>
    </w:p>
    <w:p w14:paraId="7133FD13"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Munk, J. E., S. A. Payne, and B. G. Stevens.</w:t>
      </w:r>
      <w:r w:rsidR="000E77E5" w:rsidRPr="0015116B">
        <w:rPr>
          <w:rFonts w:eastAsia="Times New Roman" w:cs="Times New Roman"/>
        </w:rPr>
        <w:t xml:space="preserve"> </w:t>
      </w:r>
      <w:r w:rsidRPr="0015116B">
        <w:rPr>
          <w:rFonts w:eastAsia="Times New Roman" w:cs="Times New Roman"/>
        </w:rPr>
        <w:t>1996.</w:t>
      </w:r>
      <w:r w:rsidR="000E77E5" w:rsidRPr="0015116B">
        <w:rPr>
          <w:rFonts w:eastAsia="Times New Roman" w:cs="Times New Roman"/>
        </w:rPr>
        <w:t xml:space="preserve"> </w:t>
      </w:r>
      <w:r w:rsidRPr="0015116B">
        <w:rPr>
          <w:rFonts w:eastAsia="Times New Roman" w:cs="Times New Roman"/>
        </w:rPr>
        <w:t>Timing and duration of the mating and molting season for shallow water Tanner crab (</w:t>
      </w:r>
      <w:r w:rsidRPr="0015116B">
        <w:rPr>
          <w:rFonts w:eastAsia="Times New Roman" w:cs="Times New Roman"/>
          <w:i/>
        </w:rPr>
        <w:t>Chionoecetes bairdi</w:t>
      </w:r>
      <w:r w:rsidRPr="0015116B">
        <w:rPr>
          <w:rFonts w:eastAsia="Times New Roman" w:cs="Times New Roman"/>
        </w:rPr>
        <w:t xml:space="preserve">), p. 341 (abstract only). </w:t>
      </w:r>
      <w:r w:rsidRPr="0015116B">
        <w:rPr>
          <w:rFonts w:eastAsia="Times New Roman" w:cs="Times New Roman"/>
          <w:i/>
        </w:rPr>
        <w:t>In</w:t>
      </w:r>
      <w:r w:rsidRPr="0015116B">
        <w:rPr>
          <w:rFonts w:eastAsia="Times New Roman" w:cs="Times New Roman"/>
        </w:rPr>
        <w:t xml:space="preserve"> High Latitude Crabs: Biology, Management and Economics. Alaska Sea Grant Report, AK-SG-96-02, University of Alaska Fairbanks. </w:t>
      </w:r>
    </w:p>
    <w:p w14:paraId="7280AF98" w14:textId="77777777" w:rsidR="000D6717" w:rsidRPr="0015116B" w:rsidRDefault="000D6717" w:rsidP="000D6717">
      <w:pPr>
        <w:autoSpaceDE w:val="0"/>
        <w:autoSpaceDN w:val="0"/>
        <w:adjustRightInd w:val="0"/>
        <w:spacing w:after="0"/>
        <w:ind w:left="360" w:hanging="360"/>
        <w:rPr>
          <w:rFonts w:eastAsia="Times New Roman" w:cs="Times New Roman"/>
        </w:rPr>
      </w:pPr>
      <w:proofErr w:type="spellStart"/>
      <w:r w:rsidRPr="0015116B">
        <w:rPr>
          <w:rFonts w:eastAsia="Times New Roman" w:cs="Times New Roman"/>
        </w:rPr>
        <w:t>Nevisi</w:t>
      </w:r>
      <w:proofErr w:type="spellEnd"/>
      <w:r w:rsidRPr="0015116B">
        <w:rPr>
          <w:rFonts w:eastAsia="Times New Roman" w:cs="Times New Roman"/>
        </w:rPr>
        <w:t xml:space="preserve">, A., J. M. </w:t>
      </w:r>
      <w:proofErr w:type="spellStart"/>
      <w:r w:rsidRPr="0015116B">
        <w:rPr>
          <w:rFonts w:eastAsia="Times New Roman" w:cs="Times New Roman"/>
        </w:rPr>
        <w:t>Orensanz</w:t>
      </w:r>
      <w:proofErr w:type="spellEnd"/>
      <w:r w:rsidRPr="0015116B">
        <w:rPr>
          <w:rFonts w:eastAsia="Times New Roman" w:cs="Times New Roman"/>
        </w:rPr>
        <w:t>, A. J. Paul, and D. A. Armstrong.</w:t>
      </w:r>
      <w:r w:rsidR="000E77E5" w:rsidRPr="0015116B">
        <w:rPr>
          <w:rFonts w:eastAsia="Times New Roman" w:cs="Times New Roman"/>
        </w:rPr>
        <w:t xml:space="preserve"> </w:t>
      </w:r>
      <w:r w:rsidRPr="0015116B">
        <w:rPr>
          <w:rFonts w:eastAsia="Times New Roman" w:cs="Times New Roman"/>
        </w:rPr>
        <w:t>1996.</w:t>
      </w:r>
      <w:r w:rsidR="000E77E5" w:rsidRPr="0015116B">
        <w:rPr>
          <w:rFonts w:eastAsia="Times New Roman" w:cs="Times New Roman"/>
        </w:rPr>
        <w:t xml:space="preserve"> </w:t>
      </w:r>
      <w:r w:rsidRPr="0015116B">
        <w:rPr>
          <w:rFonts w:eastAsia="Times New Roman" w:cs="Times New Roman"/>
        </w:rPr>
        <w:t xml:space="preserve">Radiometric estimation of shell age in </w:t>
      </w:r>
      <w:r w:rsidRPr="0015116B">
        <w:rPr>
          <w:rFonts w:eastAsia="Times New Roman" w:cs="Times New Roman"/>
          <w:i/>
        </w:rPr>
        <w:t>Chionoecetes</w:t>
      </w:r>
      <w:r w:rsidRPr="0015116B">
        <w:rPr>
          <w:rFonts w:eastAsia="Times New Roman" w:cs="Times New Roman"/>
        </w:rPr>
        <w:t xml:space="preserve"> spp. from the eastern Bering Sea, and its use to interpret shell condition indices: preliminary results, p. 389-396. </w:t>
      </w:r>
      <w:r w:rsidRPr="0015116B">
        <w:rPr>
          <w:rFonts w:eastAsia="Times New Roman" w:cs="Times New Roman"/>
          <w:i/>
        </w:rPr>
        <w:t>In</w:t>
      </w:r>
      <w:r w:rsidRPr="0015116B">
        <w:rPr>
          <w:rFonts w:eastAsia="Times New Roman" w:cs="Times New Roman"/>
        </w:rPr>
        <w:t xml:space="preserve"> High Latitude Crabs: Biology, Management and Economics. Alaska Sea Grant Report, AK-SG-96-02, University of Alaska Fairbanks.</w:t>
      </w:r>
    </w:p>
    <w:p w14:paraId="4DDD576C" w14:textId="173A01B6" w:rsidR="000D6717" w:rsidRPr="0015116B" w:rsidRDefault="000D6717" w:rsidP="000D6717">
      <w:pPr>
        <w:spacing w:after="0"/>
        <w:ind w:left="360" w:hanging="360"/>
        <w:rPr>
          <w:rFonts w:eastAsia="Times New Roman" w:cs="Times New Roman"/>
        </w:rPr>
      </w:pPr>
      <w:r w:rsidRPr="0015116B">
        <w:rPr>
          <w:rFonts w:eastAsia="Times New Roman" w:cs="Times New Roman"/>
        </w:rPr>
        <w:t>NMFS.</w:t>
      </w:r>
      <w:r w:rsidR="000E77E5" w:rsidRPr="0015116B">
        <w:rPr>
          <w:rFonts w:eastAsia="Times New Roman" w:cs="Times New Roman"/>
        </w:rPr>
        <w:t xml:space="preserve"> </w:t>
      </w:r>
      <w:r w:rsidRPr="0015116B">
        <w:rPr>
          <w:rFonts w:eastAsia="Times New Roman" w:cs="Times New Roman"/>
        </w:rPr>
        <w:t>2004.</w:t>
      </w:r>
      <w:r w:rsidR="000E77E5" w:rsidRPr="0015116B">
        <w:rPr>
          <w:rFonts w:eastAsia="Times New Roman" w:cs="Times New Roman"/>
        </w:rPr>
        <w:t xml:space="preserve"> </w:t>
      </w:r>
      <w:r w:rsidRPr="0015116B">
        <w:rPr>
          <w:rFonts w:eastAsia="Times New Roman" w:cs="Times New Roman"/>
        </w:rPr>
        <w:t xml:space="preserve">Final Environmental Impact Statement for Bering Sea and Aleutian Islands Crab </w:t>
      </w:r>
    </w:p>
    <w:p w14:paraId="3F6FB828" w14:textId="77777777" w:rsidR="000D6717" w:rsidRPr="0015116B" w:rsidRDefault="000D6717" w:rsidP="000D6717">
      <w:pPr>
        <w:spacing w:after="0"/>
        <w:ind w:left="360" w:hanging="360"/>
        <w:rPr>
          <w:rFonts w:eastAsia="Times New Roman" w:cs="Times New Roman"/>
        </w:rPr>
      </w:pPr>
      <w:r w:rsidRPr="0015116B">
        <w:rPr>
          <w:rFonts w:eastAsia="Times New Roman" w:cs="Times New Roman"/>
        </w:rPr>
        <w:tab/>
        <w:t>Fisheries. National Marine Fisheries Service, P.O. Box 21668, Juneau, AK 99802-1668.</w:t>
      </w:r>
    </w:p>
    <w:p w14:paraId="4B82417D" w14:textId="4A84A9F5"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NPFMC.</w:t>
      </w:r>
      <w:r w:rsidR="002D2662" w:rsidRPr="0015116B">
        <w:rPr>
          <w:rFonts w:eastAsia="Times New Roman" w:cs="Times New Roman"/>
        </w:rPr>
        <w:t xml:space="preserve"> 2011</w:t>
      </w:r>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Fishery Management Plan for the King and Tanner Crab Fisheries of the Bering Sea and Aleutian Islands. North Pacific Fishery Management Council, 605 W. 4th Avenue, Suite, 306, Anchorage, AK 99501.</w:t>
      </w:r>
    </w:p>
    <w:p w14:paraId="372CD985" w14:textId="77777777" w:rsidR="000D6717" w:rsidRPr="0015116B" w:rsidRDefault="000D6717" w:rsidP="000D6717">
      <w:pPr>
        <w:spacing w:after="0"/>
        <w:ind w:left="360" w:hanging="360"/>
        <w:rPr>
          <w:rFonts w:eastAsia="Times New Roman" w:cs="Times New Roman"/>
        </w:rPr>
      </w:pPr>
      <w:r w:rsidRPr="0015116B">
        <w:rPr>
          <w:rFonts w:eastAsia="Times New Roman" w:cs="Times New Roman"/>
        </w:rPr>
        <w:t>NPFMC.</w:t>
      </w:r>
      <w:r w:rsidR="000E77E5" w:rsidRPr="0015116B">
        <w:rPr>
          <w:rFonts w:eastAsia="Times New Roman" w:cs="Times New Roman"/>
        </w:rPr>
        <w:t xml:space="preserve"> </w:t>
      </w:r>
      <w:r w:rsidRPr="0015116B">
        <w:rPr>
          <w:rFonts w:eastAsia="Times New Roman" w:cs="Times New Roman"/>
        </w:rPr>
        <w:t>2007.</w:t>
      </w:r>
      <w:r w:rsidR="000E77E5" w:rsidRPr="0015116B">
        <w:rPr>
          <w:rFonts w:eastAsia="Times New Roman" w:cs="Times New Roman"/>
        </w:rPr>
        <w:t xml:space="preserve"> </w:t>
      </w:r>
      <w:r w:rsidRPr="0015116B">
        <w:rPr>
          <w:rFonts w:eastAsia="Times New Roman" w:cs="Times New Roman"/>
        </w:rPr>
        <w:t>Initial Review Draft Environmental Assessment, Amendment 24 to the Fishery Management Plan for Bering Sea and Aleutian Islands King and Tanner crabs to Revise Overfishing Definitions. North Pacific Fishery Management Council, 605 W. 4</w:t>
      </w:r>
      <w:r w:rsidRPr="0015116B">
        <w:rPr>
          <w:rFonts w:eastAsia="Times New Roman" w:cs="Times New Roman"/>
          <w:vertAlign w:val="superscript"/>
        </w:rPr>
        <w:t>th</w:t>
      </w:r>
      <w:r w:rsidRPr="0015116B">
        <w:rPr>
          <w:rFonts w:eastAsia="Times New Roman" w:cs="Times New Roman"/>
        </w:rPr>
        <w:t xml:space="preserve"> Avenue, 306, Anchorage, AK 99501.</w:t>
      </w:r>
    </w:p>
    <w:p w14:paraId="4EA1A77F"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Otto, R. S.</w:t>
      </w:r>
      <w:r w:rsidR="000E77E5" w:rsidRPr="0015116B">
        <w:rPr>
          <w:rFonts w:eastAsia="Times New Roman" w:cs="Times New Roman"/>
        </w:rPr>
        <w:t xml:space="preserve"> </w:t>
      </w:r>
      <w:r w:rsidRPr="0015116B">
        <w:rPr>
          <w:rFonts w:eastAsia="Times New Roman" w:cs="Times New Roman"/>
        </w:rPr>
        <w:t>1998.</w:t>
      </w:r>
      <w:r w:rsidR="000E77E5" w:rsidRPr="0015116B">
        <w:rPr>
          <w:rFonts w:eastAsia="Times New Roman" w:cs="Times New Roman"/>
        </w:rPr>
        <w:t xml:space="preserve"> </w:t>
      </w:r>
      <w:r w:rsidRPr="0015116B">
        <w:rPr>
          <w:rFonts w:eastAsia="Times New Roman" w:cs="Times New Roman"/>
        </w:rPr>
        <w:t xml:space="preserve">Assessment of the eastern Bering Sea snow crab, </w:t>
      </w:r>
      <w:r w:rsidRPr="0015116B">
        <w:rPr>
          <w:rFonts w:eastAsia="Times New Roman" w:cs="Times New Roman"/>
          <w:i/>
        </w:rPr>
        <w:t>Chionoecetes opilio</w:t>
      </w:r>
      <w:r w:rsidRPr="0015116B">
        <w:rPr>
          <w:rFonts w:eastAsia="Times New Roman" w:cs="Times New Roman"/>
        </w:rPr>
        <w:t xml:space="preserve">, stock under the terminal molting hypothesis, p. 109-124. </w:t>
      </w:r>
      <w:r w:rsidRPr="0015116B">
        <w:rPr>
          <w:rFonts w:eastAsia="Times New Roman" w:cs="Times New Roman"/>
          <w:i/>
        </w:rPr>
        <w:t>In</w:t>
      </w:r>
      <w:r w:rsidRPr="0015116B">
        <w:rPr>
          <w:rFonts w:eastAsia="Times New Roman" w:cs="Times New Roman"/>
        </w:rPr>
        <w:t xml:space="preserve"> G. S. Jamieson and A. Campbell, (editors), Proceedings of the North Pacific Symposium on Invertebrate Stock Assessment and Management. Canadian Special Publication of Fisheries and Aquatic Sciences.</w:t>
      </w:r>
    </w:p>
    <w:p w14:paraId="2AA3875C"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Paul, A. J.</w:t>
      </w:r>
      <w:r w:rsidR="000E77E5" w:rsidRPr="0015116B">
        <w:rPr>
          <w:rFonts w:eastAsia="Times New Roman" w:cs="Times New Roman"/>
        </w:rPr>
        <w:t xml:space="preserve"> </w:t>
      </w:r>
      <w:r w:rsidRPr="0015116B">
        <w:rPr>
          <w:rFonts w:eastAsia="Times New Roman" w:cs="Times New Roman"/>
        </w:rPr>
        <w:t>1982.</w:t>
      </w:r>
      <w:r w:rsidR="000E77E5" w:rsidRPr="0015116B">
        <w:rPr>
          <w:rFonts w:eastAsia="Times New Roman" w:cs="Times New Roman"/>
        </w:rPr>
        <w:t xml:space="preserve"> </w:t>
      </w:r>
      <w:r w:rsidRPr="0015116B">
        <w:rPr>
          <w:rFonts w:eastAsia="Times New Roman" w:cs="Times New Roman"/>
        </w:rPr>
        <w:t xml:space="preserve">Mating frequency and sperm storage as factors affecting egg production in multiparous </w:t>
      </w:r>
      <w:r w:rsidRPr="0015116B">
        <w:rPr>
          <w:rFonts w:eastAsia="Times New Roman" w:cs="Times New Roman"/>
          <w:i/>
        </w:rPr>
        <w:t>Chionoecetes bairdi,</w:t>
      </w:r>
      <w:r w:rsidRPr="0015116B">
        <w:rPr>
          <w:rFonts w:eastAsia="Times New Roman" w:cs="Times New Roman"/>
        </w:rPr>
        <w:t xml:space="preserve"> p. 273-281. </w:t>
      </w:r>
      <w:r w:rsidRPr="0015116B">
        <w:rPr>
          <w:rFonts w:eastAsia="Times New Roman" w:cs="Times New Roman"/>
          <w:i/>
        </w:rPr>
        <w:t>In</w:t>
      </w:r>
      <w:r w:rsidRPr="0015116B">
        <w:rPr>
          <w:rFonts w:eastAsia="Times New Roman" w:cs="Times New Roman"/>
        </w:rPr>
        <w:t xml:space="preserve"> B. </w:t>
      </w:r>
      <w:proofErr w:type="spellStart"/>
      <w:r w:rsidRPr="0015116B">
        <w:rPr>
          <w:rFonts w:eastAsia="Times New Roman" w:cs="Times New Roman"/>
        </w:rPr>
        <w:t>Melteff</w:t>
      </w:r>
      <w:proofErr w:type="spellEnd"/>
      <w:r w:rsidRPr="0015116B">
        <w:rPr>
          <w:rFonts w:eastAsia="Times New Roman" w:cs="Times New Roman"/>
        </w:rPr>
        <w:t xml:space="preserve"> (editor), Proceedings of the International Symposium on the Genus </w:t>
      </w:r>
      <w:r w:rsidRPr="0015116B">
        <w:rPr>
          <w:rFonts w:eastAsia="Times New Roman" w:cs="Times New Roman"/>
          <w:i/>
        </w:rPr>
        <w:t>Chionoecetes:</w:t>
      </w:r>
      <w:r w:rsidRPr="0015116B">
        <w:rPr>
          <w:rFonts w:eastAsia="Times New Roman" w:cs="Times New Roman"/>
        </w:rPr>
        <w:t xml:space="preserve"> Lowell Wakefield Symposium Series, Alaska Sea Grant Report, 82-10. University of Alaska Fairbanks.</w:t>
      </w:r>
    </w:p>
    <w:p w14:paraId="5E8C8E31"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Paul, A. J.</w:t>
      </w:r>
      <w:r w:rsidR="000E77E5" w:rsidRPr="0015116B">
        <w:rPr>
          <w:rFonts w:eastAsia="Times New Roman" w:cs="Times New Roman"/>
        </w:rPr>
        <w:t xml:space="preserve"> </w:t>
      </w:r>
      <w:r w:rsidRPr="0015116B">
        <w:rPr>
          <w:rFonts w:eastAsia="Times New Roman" w:cs="Times New Roman"/>
        </w:rPr>
        <w:t>1984.</w:t>
      </w:r>
      <w:r w:rsidR="000E77E5" w:rsidRPr="0015116B">
        <w:rPr>
          <w:rFonts w:eastAsia="Times New Roman" w:cs="Times New Roman"/>
        </w:rPr>
        <w:t xml:space="preserve"> </w:t>
      </w:r>
      <w:r w:rsidRPr="0015116B">
        <w:rPr>
          <w:rFonts w:eastAsia="Times New Roman" w:cs="Times New Roman"/>
        </w:rPr>
        <w:t xml:space="preserve">Mating frequency and viability of stored sperm in the Tanner crab </w:t>
      </w:r>
      <w:r w:rsidRPr="0015116B">
        <w:rPr>
          <w:rFonts w:eastAsia="Times New Roman" w:cs="Times New Roman"/>
          <w:i/>
        </w:rPr>
        <w:t>Chionoecetes bairdi</w:t>
      </w:r>
      <w:r w:rsidRPr="0015116B">
        <w:rPr>
          <w:rFonts w:eastAsia="Times New Roman" w:cs="Times New Roman"/>
        </w:rPr>
        <w:t xml:space="preserve"> (DECAPODA, MAJIDAE). Journal of Crustacean Biology. 4:375-381.</w:t>
      </w:r>
    </w:p>
    <w:p w14:paraId="5137C95D"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Paul, A. J. and J. M. Paul.</w:t>
      </w:r>
      <w:r w:rsidR="000E77E5" w:rsidRPr="0015116B">
        <w:rPr>
          <w:rFonts w:eastAsia="Times New Roman" w:cs="Times New Roman"/>
        </w:rPr>
        <w:t xml:space="preserve"> </w:t>
      </w:r>
      <w:r w:rsidRPr="0015116B">
        <w:rPr>
          <w:rFonts w:eastAsia="Times New Roman" w:cs="Times New Roman"/>
        </w:rPr>
        <w:t>1992.</w:t>
      </w:r>
      <w:r w:rsidR="000E77E5" w:rsidRPr="0015116B">
        <w:rPr>
          <w:rFonts w:eastAsia="Times New Roman" w:cs="Times New Roman"/>
        </w:rPr>
        <w:t xml:space="preserve"> </w:t>
      </w:r>
      <w:r w:rsidRPr="0015116B">
        <w:rPr>
          <w:rFonts w:eastAsia="Times New Roman" w:cs="Times New Roman"/>
        </w:rPr>
        <w:t xml:space="preserve">Second clutch viability of </w:t>
      </w:r>
      <w:r w:rsidRPr="0015116B">
        <w:rPr>
          <w:rFonts w:eastAsia="Times New Roman" w:cs="Times New Roman"/>
          <w:i/>
        </w:rPr>
        <w:t>Chionoecetes bairdi</w:t>
      </w:r>
      <w:r w:rsidRPr="0015116B">
        <w:rPr>
          <w:rFonts w:eastAsia="Times New Roman" w:cs="Times New Roman"/>
        </w:rPr>
        <w:t xml:space="preserve"> Rathbun (DECAPODA: MAJIDAE) inseminated only at the maturity molt. Journal of Crustacean Biology. 12:438-441.</w:t>
      </w:r>
    </w:p>
    <w:p w14:paraId="58B3E420"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Paul, A. J. and J. M. Paul.</w:t>
      </w:r>
      <w:r w:rsidR="000E77E5" w:rsidRPr="0015116B">
        <w:rPr>
          <w:rFonts w:eastAsia="Times New Roman" w:cs="Times New Roman"/>
        </w:rPr>
        <w:t xml:space="preserve"> </w:t>
      </w:r>
      <w:r w:rsidRPr="0015116B">
        <w:rPr>
          <w:rFonts w:eastAsia="Times New Roman" w:cs="Times New Roman"/>
        </w:rPr>
        <w:t>1996.</w:t>
      </w:r>
      <w:r w:rsidR="000E77E5" w:rsidRPr="0015116B">
        <w:rPr>
          <w:rFonts w:eastAsia="Times New Roman" w:cs="Times New Roman"/>
        </w:rPr>
        <w:t xml:space="preserve"> </w:t>
      </w:r>
      <w:r w:rsidRPr="0015116B">
        <w:rPr>
          <w:rFonts w:eastAsia="Times New Roman" w:cs="Times New Roman"/>
        </w:rPr>
        <w:t xml:space="preserve">Observations on mating of multiparous </w:t>
      </w:r>
      <w:r w:rsidRPr="0015116B">
        <w:rPr>
          <w:rFonts w:eastAsia="Times New Roman" w:cs="Times New Roman"/>
          <w:i/>
        </w:rPr>
        <w:t>Chionoecetes bairdi</w:t>
      </w:r>
      <w:r w:rsidRPr="0015116B">
        <w:rPr>
          <w:rFonts w:eastAsia="Times New Roman" w:cs="Times New Roman"/>
        </w:rPr>
        <w:t xml:space="preserve"> Rathbun (DECAPODA: MAJIDAE) held with different sizes of males and one-clawed males. Journal of Crustacean Biology. 16:295-299.</w:t>
      </w:r>
    </w:p>
    <w:p w14:paraId="69A9E636" w14:textId="3BCA6683" w:rsidR="002B4DAC" w:rsidRPr="0015116B" w:rsidRDefault="002B4DAC" w:rsidP="002B4DAC">
      <w:pPr>
        <w:spacing w:after="0"/>
        <w:ind w:left="360" w:hanging="360"/>
        <w:rPr>
          <w:rFonts w:eastAsia="Times New Roman" w:cs="Times New Roman"/>
        </w:rPr>
      </w:pPr>
      <w:r w:rsidRPr="0015116B">
        <w:rPr>
          <w:rFonts w:eastAsia="Times New Roman" w:cs="Times New Roman"/>
        </w:rPr>
        <w:t>Rathbun, M. J. 1924. New species and subspecies of spider crabs. Proceedings of U.S. Nat. Museum. 64:1-5.</w:t>
      </w:r>
    </w:p>
    <w:p w14:paraId="5ECB86F4" w14:textId="7FCBE55C" w:rsidR="009B65E3" w:rsidRPr="0015116B" w:rsidRDefault="009B65E3" w:rsidP="009B65E3">
      <w:pPr>
        <w:spacing w:after="0"/>
        <w:ind w:left="360" w:hanging="360"/>
        <w:rPr>
          <w:rFonts w:eastAsia="Times New Roman" w:cs="Times New Roman"/>
        </w:rPr>
      </w:pPr>
      <w:r w:rsidRPr="0015116B">
        <w:rPr>
          <w:rFonts w:eastAsia="Times New Roman" w:cs="Times New Roman"/>
        </w:rPr>
        <w:t>R Core Team. 2020.</w:t>
      </w:r>
      <w:r w:rsidRPr="0015116B">
        <w:t xml:space="preserve"> </w:t>
      </w:r>
      <w:r w:rsidRPr="0015116B">
        <w:rPr>
          <w:rFonts w:eastAsia="Times New Roman" w:cs="Times New Roman"/>
        </w:rPr>
        <w:t>R: A language and environment for statistical computing. R Foundation for Statistical Computing, Vienna, Austria. URL https://www.R-project.org/.</w:t>
      </w:r>
    </w:p>
    <w:p w14:paraId="5B1A5B9A" w14:textId="224E75D3" w:rsidR="000174B6" w:rsidRPr="0015116B" w:rsidRDefault="000174B6" w:rsidP="002B4DAC">
      <w:pPr>
        <w:spacing w:after="0"/>
        <w:ind w:left="360" w:hanging="360"/>
        <w:rPr>
          <w:rFonts w:eastAsia="Times New Roman" w:cs="Times New Roman"/>
        </w:rPr>
      </w:pPr>
      <w:proofErr w:type="spellStart"/>
      <w:r w:rsidRPr="0015116B">
        <w:rPr>
          <w:rFonts w:eastAsia="Times New Roman" w:cs="Times New Roman"/>
        </w:rPr>
        <w:t>Richar</w:t>
      </w:r>
      <w:proofErr w:type="spellEnd"/>
      <w:r w:rsidRPr="0015116B">
        <w:rPr>
          <w:rFonts w:eastAsia="Times New Roman" w:cs="Times New Roman"/>
        </w:rPr>
        <w:t xml:space="preserve">, J. I., G. H. Kruse, E. </w:t>
      </w:r>
      <w:proofErr w:type="spellStart"/>
      <w:r w:rsidRPr="0015116B">
        <w:rPr>
          <w:rFonts w:eastAsia="Times New Roman" w:cs="Times New Roman"/>
        </w:rPr>
        <w:t>Curchitser</w:t>
      </w:r>
      <w:proofErr w:type="spellEnd"/>
      <w:r w:rsidRPr="0015116B">
        <w:rPr>
          <w:rFonts w:eastAsia="Times New Roman" w:cs="Times New Roman"/>
        </w:rPr>
        <w:t>, and A. J. Hermann. 2015. Patterns in connectivity and retention of simulated Tanner crab (</w:t>
      </w:r>
      <w:r w:rsidRPr="0015116B">
        <w:rPr>
          <w:rFonts w:eastAsia="Times New Roman" w:cs="Times New Roman"/>
          <w:i/>
          <w:iCs/>
        </w:rPr>
        <w:t>Chionoecetes bairdi</w:t>
      </w:r>
      <w:r w:rsidRPr="0015116B">
        <w:rPr>
          <w:rFonts w:eastAsia="Times New Roman" w:cs="Times New Roman"/>
        </w:rPr>
        <w:t>) larvae in the eastern Bering Sea. Progress in Oceanography 138(B): 475-485.</w:t>
      </w:r>
    </w:p>
    <w:p w14:paraId="08437678" w14:textId="77777777" w:rsidR="00B61250" w:rsidRPr="0015116B" w:rsidRDefault="00B61250" w:rsidP="00B61250">
      <w:pPr>
        <w:spacing w:after="0"/>
        <w:ind w:left="360" w:hanging="360"/>
        <w:rPr>
          <w:rFonts w:eastAsia="Times New Roman" w:cs="Times New Roman"/>
        </w:rPr>
      </w:pPr>
      <w:proofErr w:type="spellStart"/>
      <w:r w:rsidRPr="0015116B">
        <w:rPr>
          <w:rFonts w:eastAsia="Times New Roman" w:cs="Times New Roman"/>
        </w:rPr>
        <w:t>Rodionov</w:t>
      </w:r>
      <w:proofErr w:type="spellEnd"/>
      <w:r w:rsidRPr="0015116B">
        <w:rPr>
          <w:rFonts w:eastAsia="Times New Roman" w:cs="Times New Roman"/>
        </w:rPr>
        <w:t>, S., and J. E. Overland. 2005. Application of a sequential regime shift detection method to the Bering Sea ecosystem. ICES Journal of Marine Science, 62: 328-332.</w:t>
      </w:r>
    </w:p>
    <w:p w14:paraId="638C0AD0"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 xml:space="preserve">Rugolo L,J. and B.J. </w:t>
      </w:r>
      <w:proofErr w:type="spellStart"/>
      <w:r w:rsidRPr="0015116B">
        <w:rPr>
          <w:rFonts w:eastAsia="Times New Roman" w:cs="Times New Roman"/>
        </w:rPr>
        <w:t>Turnock</w:t>
      </w:r>
      <w:proofErr w:type="spellEnd"/>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2010.</w:t>
      </w:r>
      <w:r w:rsidR="000E77E5" w:rsidRPr="0015116B">
        <w:rPr>
          <w:rFonts w:eastAsia="Times New Roman" w:cs="Times New Roman"/>
        </w:rPr>
        <w:t xml:space="preserve"> </w:t>
      </w:r>
      <w:r w:rsidRPr="0015116B">
        <w:rPr>
          <w:rFonts w:eastAsia="Times New Roman" w:cs="Times New Roman"/>
        </w:rPr>
        <w:t>2010 Stock Assessment and Fishery Evaluation Report for the Tanner Crab Fisheries</w:t>
      </w:r>
      <w:r w:rsidRPr="0015116B">
        <w:rPr>
          <w:rFonts w:eastAsia="Times New Roman" w:cs="Times New Roman"/>
          <w:b/>
          <w:bCs/>
        </w:rPr>
        <w:t xml:space="preserve"> </w:t>
      </w:r>
      <w:r w:rsidRPr="0015116B">
        <w:rPr>
          <w:rFonts w:eastAsia="Times New Roman" w:cs="Times New Roman"/>
        </w:rPr>
        <w:t>of the Bering Sea and Aleutian Islands Regions.</w:t>
      </w:r>
      <w:r w:rsidR="000E77E5" w:rsidRPr="0015116B">
        <w:rPr>
          <w:rFonts w:eastAsia="Times New Roman" w:cs="Times New Roman"/>
        </w:rPr>
        <w:t xml:space="preserve"> </w:t>
      </w:r>
      <w:r w:rsidRPr="0015116B">
        <w:rPr>
          <w:rFonts w:eastAsia="Times New Roman" w:cs="Times New Roman"/>
        </w:rPr>
        <w:t>Draft Report to the North Pacific Fishery Management Council, Crab Plan Team.</w:t>
      </w:r>
      <w:r w:rsidR="000E77E5" w:rsidRPr="0015116B">
        <w:rPr>
          <w:rFonts w:eastAsia="Times New Roman" w:cs="Times New Roman"/>
        </w:rPr>
        <w:t xml:space="preserve"> </w:t>
      </w:r>
      <w:r w:rsidRPr="0015116B">
        <w:rPr>
          <w:rFonts w:eastAsia="Times New Roman" w:cs="Times New Roman"/>
        </w:rPr>
        <w:t>61 p.</w:t>
      </w:r>
    </w:p>
    <w:p w14:paraId="0E87B318"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 xml:space="preserve">Rugolo, L.J. and B.J. </w:t>
      </w:r>
      <w:proofErr w:type="spellStart"/>
      <w:r w:rsidRPr="0015116B">
        <w:rPr>
          <w:rFonts w:eastAsia="Times New Roman" w:cs="Times New Roman"/>
        </w:rPr>
        <w:t>Turnock</w:t>
      </w:r>
      <w:proofErr w:type="spellEnd"/>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2011a.</w:t>
      </w:r>
      <w:r w:rsidR="000E77E5" w:rsidRPr="0015116B">
        <w:rPr>
          <w:rFonts w:eastAsia="Times New Roman" w:cs="Times New Roman"/>
        </w:rPr>
        <w:t xml:space="preserve"> </w:t>
      </w:r>
      <w:r w:rsidRPr="0015116B">
        <w:rPr>
          <w:rFonts w:eastAsia="Times New Roman" w:cs="Times New Roman"/>
        </w:rPr>
        <w:t>Length-Based Stock Assessment Model of eastern Bering Sea Tanner Crab.</w:t>
      </w:r>
      <w:r w:rsidR="000E77E5" w:rsidRPr="0015116B">
        <w:rPr>
          <w:rFonts w:eastAsia="Times New Roman" w:cs="Times New Roman"/>
        </w:rPr>
        <w:t xml:space="preserve"> </w:t>
      </w:r>
      <w:r w:rsidRPr="0015116B">
        <w:rPr>
          <w:rFonts w:eastAsia="Times New Roman" w:cs="Times New Roman"/>
        </w:rPr>
        <w:t>Report to Subgroup of NPFMC Crab Plan Team.</w:t>
      </w:r>
      <w:r w:rsidR="000E77E5" w:rsidRPr="0015116B">
        <w:rPr>
          <w:rFonts w:eastAsia="Times New Roman" w:cs="Times New Roman"/>
        </w:rPr>
        <w:t xml:space="preserve"> </w:t>
      </w:r>
      <w:r w:rsidRPr="0015116B">
        <w:rPr>
          <w:rFonts w:eastAsia="Times New Roman" w:cs="Times New Roman"/>
        </w:rPr>
        <w:t>61p.</w:t>
      </w:r>
    </w:p>
    <w:p w14:paraId="06EE57EB"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 xml:space="preserve">Rugolo L,J. and B.J. </w:t>
      </w:r>
      <w:proofErr w:type="spellStart"/>
      <w:r w:rsidRPr="0015116B">
        <w:rPr>
          <w:rFonts w:eastAsia="Times New Roman" w:cs="Times New Roman"/>
        </w:rPr>
        <w:t>Turnock</w:t>
      </w:r>
      <w:proofErr w:type="spellEnd"/>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2011b.</w:t>
      </w:r>
      <w:r w:rsidR="000E77E5" w:rsidRPr="0015116B">
        <w:rPr>
          <w:rFonts w:eastAsia="Times New Roman" w:cs="Times New Roman"/>
        </w:rPr>
        <w:t xml:space="preserve"> </w:t>
      </w:r>
      <w:r w:rsidRPr="0015116B">
        <w:rPr>
          <w:rFonts w:eastAsia="Times New Roman" w:cs="Times New Roman"/>
        </w:rPr>
        <w:t>2011 Stock Assessment and Fishery Evaluation Report for the Tanner Crab Fisheries</w:t>
      </w:r>
      <w:r w:rsidRPr="0015116B">
        <w:rPr>
          <w:rFonts w:eastAsia="Times New Roman" w:cs="Times New Roman"/>
          <w:b/>
          <w:bCs/>
        </w:rPr>
        <w:t xml:space="preserve"> </w:t>
      </w:r>
      <w:r w:rsidRPr="0015116B">
        <w:rPr>
          <w:rFonts w:eastAsia="Times New Roman" w:cs="Times New Roman"/>
        </w:rPr>
        <w:t>of the Bering Sea and Aleutian Islands Regions.</w:t>
      </w:r>
      <w:r w:rsidR="000E77E5" w:rsidRPr="0015116B">
        <w:rPr>
          <w:rFonts w:eastAsia="Times New Roman" w:cs="Times New Roman"/>
        </w:rPr>
        <w:t xml:space="preserve"> </w:t>
      </w:r>
      <w:r w:rsidRPr="0015116B">
        <w:rPr>
          <w:rFonts w:eastAsia="Times New Roman" w:cs="Times New Roman"/>
        </w:rPr>
        <w:t>Draft Report to the North Pacific Fishery Management Council, Crab Plan Team.</w:t>
      </w:r>
      <w:r w:rsidR="000E77E5" w:rsidRPr="0015116B">
        <w:rPr>
          <w:rFonts w:eastAsia="Times New Roman" w:cs="Times New Roman"/>
        </w:rPr>
        <w:t xml:space="preserve"> </w:t>
      </w:r>
      <w:r w:rsidRPr="0015116B">
        <w:rPr>
          <w:rFonts w:eastAsia="Times New Roman" w:cs="Times New Roman"/>
        </w:rPr>
        <w:t>70 p.</w:t>
      </w:r>
    </w:p>
    <w:p w14:paraId="6A01D83E"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lastRenderedPageBreak/>
        <w:t xml:space="preserve">Rugolo, L.J. and B.J. </w:t>
      </w:r>
      <w:proofErr w:type="spellStart"/>
      <w:r w:rsidRPr="0015116B">
        <w:rPr>
          <w:rFonts w:eastAsia="Times New Roman" w:cs="Times New Roman"/>
        </w:rPr>
        <w:t>Turnock</w:t>
      </w:r>
      <w:proofErr w:type="spellEnd"/>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2012</w:t>
      </w:r>
      <w:r w:rsidR="00F02EDA" w:rsidRPr="0015116B">
        <w:rPr>
          <w:rFonts w:eastAsia="Times New Roman" w:cs="Times New Roman"/>
        </w:rPr>
        <w:t>a</w:t>
      </w:r>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Length-Based Stock Assessment Model of eastern Bering Sea Tanner Crab.</w:t>
      </w:r>
      <w:r w:rsidR="000E77E5" w:rsidRPr="0015116B">
        <w:rPr>
          <w:rFonts w:eastAsia="Times New Roman" w:cs="Times New Roman"/>
        </w:rPr>
        <w:t xml:space="preserve"> </w:t>
      </w:r>
      <w:r w:rsidRPr="0015116B">
        <w:rPr>
          <w:rFonts w:eastAsia="Times New Roman" w:cs="Times New Roman"/>
        </w:rPr>
        <w:t>Report to Subgroup of NPFMC Crab Plan Team.</w:t>
      </w:r>
      <w:r w:rsidR="000E77E5" w:rsidRPr="0015116B">
        <w:rPr>
          <w:rFonts w:eastAsia="Times New Roman" w:cs="Times New Roman"/>
        </w:rPr>
        <w:t xml:space="preserve"> </w:t>
      </w:r>
      <w:r w:rsidRPr="0015116B">
        <w:rPr>
          <w:rFonts w:eastAsia="Times New Roman" w:cs="Times New Roman"/>
        </w:rPr>
        <w:t>69p.</w:t>
      </w:r>
    </w:p>
    <w:p w14:paraId="63D1A85A" w14:textId="77777777" w:rsidR="00F02EDA" w:rsidRPr="0015116B" w:rsidRDefault="00F02EDA" w:rsidP="00F02EDA">
      <w:pPr>
        <w:autoSpaceDE w:val="0"/>
        <w:autoSpaceDN w:val="0"/>
        <w:adjustRightInd w:val="0"/>
        <w:spacing w:after="0"/>
        <w:ind w:left="360" w:hanging="360"/>
        <w:rPr>
          <w:rFonts w:eastAsia="Times New Roman" w:cs="Times New Roman"/>
        </w:rPr>
      </w:pPr>
      <w:r w:rsidRPr="0015116B">
        <w:rPr>
          <w:rFonts w:eastAsia="Times New Roman" w:cs="Times New Roman"/>
        </w:rPr>
        <w:t xml:space="preserve">Rugolo L,J. and B.J. </w:t>
      </w:r>
      <w:proofErr w:type="spellStart"/>
      <w:r w:rsidRPr="0015116B">
        <w:rPr>
          <w:rFonts w:eastAsia="Times New Roman" w:cs="Times New Roman"/>
        </w:rPr>
        <w:t>Turnock</w:t>
      </w:r>
      <w:proofErr w:type="spellEnd"/>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2012</w:t>
      </w:r>
      <w:r w:rsidR="00514AD1" w:rsidRPr="0015116B">
        <w:rPr>
          <w:rFonts w:eastAsia="Times New Roman" w:cs="Times New Roman"/>
        </w:rPr>
        <w:t xml:space="preserve">b. </w:t>
      </w:r>
      <w:r w:rsidRPr="0015116B">
        <w:rPr>
          <w:rFonts w:eastAsia="Times New Roman" w:cs="Times New Roman"/>
        </w:rPr>
        <w:t>2012 Stock Assessment and Fishery Evaluation Report for the Tanner Crab Fisheries</w:t>
      </w:r>
      <w:r w:rsidRPr="0015116B">
        <w:rPr>
          <w:rFonts w:eastAsia="Times New Roman" w:cs="Times New Roman"/>
          <w:b/>
          <w:bCs/>
        </w:rPr>
        <w:t xml:space="preserve"> </w:t>
      </w:r>
      <w:r w:rsidRPr="0015116B">
        <w:rPr>
          <w:rFonts w:eastAsia="Times New Roman" w:cs="Times New Roman"/>
        </w:rPr>
        <w:t xml:space="preserve">of the Bering Sea and Aleutian Islands Regions. </w:t>
      </w:r>
      <w:r w:rsidR="00514AD1" w:rsidRPr="0015116B">
        <w:rPr>
          <w:rFonts w:eastAsia="Times New Roman" w:cs="Times New Roman"/>
        </w:rPr>
        <w:t>In:</w:t>
      </w:r>
      <w:r w:rsidR="000E77E5" w:rsidRPr="0015116B">
        <w:rPr>
          <w:rFonts w:eastAsia="Times New Roman" w:cs="Times New Roman"/>
        </w:rPr>
        <w:t xml:space="preserve"> </w:t>
      </w:r>
      <w:r w:rsidR="00514AD1" w:rsidRPr="0015116B">
        <w:rPr>
          <w:rFonts w:eastAsia="Times New Roman" w:cs="Times New Roman"/>
        </w:rPr>
        <w:t>Stock Assessment and Fishery Evaluation Report for the King and Tanner Crab Fisheries of the Bering Sea and Aleutian Islands: 2012 Crab SAFE</w:t>
      </w:r>
      <w:r w:rsidRPr="0015116B">
        <w:rPr>
          <w:rFonts w:eastAsia="Times New Roman" w:cs="Times New Roman"/>
        </w:rPr>
        <w:t xml:space="preserve">. </w:t>
      </w:r>
      <w:r w:rsidR="00514AD1" w:rsidRPr="0015116B">
        <w:rPr>
          <w:rFonts w:eastAsia="Times New Roman" w:cs="Times New Roman"/>
        </w:rPr>
        <w:t>North Pacific Fishery Management Council. Anchorage, AK. pp. 267-416.</w:t>
      </w:r>
    </w:p>
    <w:p w14:paraId="3FDC5B48" w14:textId="77777777" w:rsidR="000D6717" w:rsidRPr="0015116B" w:rsidRDefault="000D6717" w:rsidP="000D6717">
      <w:pPr>
        <w:autoSpaceDE w:val="0"/>
        <w:autoSpaceDN w:val="0"/>
        <w:adjustRightInd w:val="0"/>
        <w:spacing w:after="0"/>
        <w:ind w:left="360" w:hanging="360"/>
        <w:rPr>
          <w:rFonts w:eastAsia="Times New Roman" w:cs="Times New Roman"/>
        </w:rPr>
      </w:pPr>
      <w:proofErr w:type="spellStart"/>
      <w:r w:rsidRPr="0015116B">
        <w:rPr>
          <w:rFonts w:eastAsia="Times New Roman" w:cs="Times New Roman"/>
        </w:rPr>
        <w:t>Slizkin</w:t>
      </w:r>
      <w:proofErr w:type="spellEnd"/>
      <w:r w:rsidRPr="0015116B">
        <w:rPr>
          <w:rFonts w:eastAsia="Times New Roman" w:cs="Times New Roman"/>
        </w:rPr>
        <w:t>, A. G.</w:t>
      </w:r>
      <w:r w:rsidR="000E77E5" w:rsidRPr="0015116B">
        <w:rPr>
          <w:rFonts w:eastAsia="Times New Roman" w:cs="Times New Roman"/>
        </w:rPr>
        <w:t xml:space="preserve"> </w:t>
      </w:r>
      <w:r w:rsidRPr="0015116B">
        <w:rPr>
          <w:rFonts w:eastAsia="Times New Roman" w:cs="Times New Roman"/>
        </w:rPr>
        <w:t>1990.</w:t>
      </w:r>
      <w:r w:rsidR="000E77E5" w:rsidRPr="0015116B">
        <w:rPr>
          <w:rFonts w:eastAsia="Times New Roman" w:cs="Times New Roman"/>
        </w:rPr>
        <w:t xml:space="preserve"> </w:t>
      </w:r>
      <w:r w:rsidRPr="0015116B">
        <w:rPr>
          <w:rFonts w:eastAsia="Times New Roman" w:cs="Times New Roman"/>
        </w:rPr>
        <w:t xml:space="preserve">Tanner crabs </w:t>
      </w:r>
      <w:r w:rsidRPr="0015116B">
        <w:rPr>
          <w:rFonts w:eastAsia="Times New Roman" w:cs="Times New Roman"/>
          <w:i/>
        </w:rPr>
        <w:t>(Chionoecetes opilio</w:t>
      </w:r>
      <w:r w:rsidRPr="0015116B">
        <w:rPr>
          <w:rFonts w:eastAsia="Times New Roman" w:cs="Times New Roman"/>
        </w:rPr>
        <w:t xml:space="preserve">, </w:t>
      </w:r>
      <w:r w:rsidRPr="0015116B">
        <w:rPr>
          <w:rFonts w:eastAsia="Times New Roman" w:cs="Times New Roman"/>
          <w:i/>
        </w:rPr>
        <w:t>C. bairdi</w:t>
      </w:r>
      <w:r w:rsidRPr="0015116B">
        <w:rPr>
          <w:rFonts w:eastAsia="Times New Roman" w:cs="Times New Roman"/>
        </w:rPr>
        <w:t xml:space="preserve">) of the northwest Pacific: distribution, biological peculiarities, and population structure, p. 27-33. </w:t>
      </w:r>
      <w:r w:rsidRPr="0015116B">
        <w:rPr>
          <w:rFonts w:eastAsia="Times New Roman" w:cs="Times New Roman"/>
          <w:i/>
        </w:rPr>
        <w:t>In</w:t>
      </w:r>
      <w:r w:rsidRPr="0015116B">
        <w:rPr>
          <w:rFonts w:eastAsia="Times New Roman" w:cs="Times New Roman"/>
        </w:rPr>
        <w:t xml:space="preserve"> Proceedings of the International Symposium on King and Tanner Crabs. Lowell Wakefield Fisheries Symposium Series, Alaska Sea Grant College Program Report 90-04. University of Alaska Fairbanks.</w:t>
      </w:r>
    </w:p>
    <w:p w14:paraId="03A6AB6E" w14:textId="77777777" w:rsidR="000D6717" w:rsidRPr="0015116B" w:rsidRDefault="000D6717" w:rsidP="000D6717">
      <w:pPr>
        <w:spacing w:after="0"/>
        <w:ind w:left="360" w:hanging="360"/>
        <w:rPr>
          <w:rFonts w:eastAsia="Times New Roman" w:cs="Times New Roman"/>
        </w:rPr>
      </w:pPr>
      <w:r w:rsidRPr="0015116B">
        <w:rPr>
          <w:rFonts w:eastAsia="Times New Roman" w:cs="Times New Roman"/>
        </w:rPr>
        <w:t>Somerton, D. A.</w:t>
      </w:r>
      <w:r w:rsidR="000E77E5" w:rsidRPr="0015116B">
        <w:rPr>
          <w:rFonts w:eastAsia="Times New Roman" w:cs="Times New Roman"/>
        </w:rPr>
        <w:t xml:space="preserve"> </w:t>
      </w:r>
      <w:r w:rsidRPr="0015116B">
        <w:rPr>
          <w:rFonts w:eastAsia="Times New Roman" w:cs="Times New Roman"/>
        </w:rPr>
        <w:t>1980.</w:t>
      </w:r>
      <w:r w:rsidR="000E77E5" w:rsidRPr="0015116B">
        <w:rPr>
          <w:rFonts w:eastAsia="Times New Roman" w:cs="Times New Roman"/>
        </w:rPr>
        <w:t xml:space="preserve"> </w:t>
      </w:r>
      <w:r w:rsidRPr="0015116B">
        <w:rPr>
          <w:rFonts w:eastAsia="Times New Roman" w:cs="Times New Roman"/>
        </w:rPr>
        <w:t xml:space="preserve">A computer technique for estimating the size of sexual maturity in crabs. Can. J. Fish. </w:t>
      </w:r>
      <w:proofErr w:type="spellStart"/>
      <w:r w:rsidRPr="0015116B">
        <w:rPr>
          <w:rFonts w:eastAsia="Times New Roman" w:cs="Times New Roman"/>
        </w:rPr>
        <w:t>Aquat</w:t>
      </w:r>
      <w:proofErr w:type="spellEnd"/>
      <w:r w:rsidRPr="0015116B">
        <w:rPr>
          <w:rFonts w:eastAsia="Times New Roman" w:cs="Times New Roman"/>
        </w:rPr>
        <w:t>. Sci. 37:1488-1494.</w:t>
      </w:r>
    </w:p>
    <w:p w14:paraId="2C0B5F5F"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Somerton, D. A.</w:t>
      </w:r>
      <w:r w:rsidR="000E77E5" w:rsidRPr="0015116B">
        <w:rPr>
          <w:rFonts w:eastAsia="Times New Roman" w:cs="Times New Roman"/>
        </w:rPr>
        <w:t xml:space="preserve"> </w:t>
      </w:r>
      <w:r w:rsidRPr="0015116B">
        <w:rPr>
          <w:rFonts w:eastAsia="Times New Roman" w:cs="Times New Roman"/>
        </w:rPr>
        <w:t>1981a.</w:t>
      </w:r>
      <w:r w:rsidR="000E77E5" w:rsidRPr="0015116B">
        <w:rPr>
          <w:rFonts w:eastAsia="Times New Roman" w:cs="Times New Roman"/>
        </w:rPr>
        <w:t xml:space="preserve"> </w:t>
      </w:r>
      <w:r w:rsidRPr="0015116B">
        <w:rPr>
          <w:rFonts w:eastAsia="Times New Roman" w:cs="Times New Roman"/>
        </w:rPr>
        <w:t xml:space="preserve">Life history and population dynamics of two species of Tanner crab, </w:t>
      </w:r>
      <w:r w:rsidRPr="0015116B">
        <w:rPr>
          <w:rFonts w:eastAsia="Times New Roman" w:cs="Times New Roman"/>
          <w:i/>
        </w:rPr>
        <w:t>Chionoecetes bairdi</w:t>
      </w:r>
      <w:r w:rsidRPr="0015116B">
        <w:rPr>
          <w:rFonts w:eastAsia="Times New Roman" w:cs="Times New Roman"/>
        </w:rPr>
        <w:t xml:space="preserve"> and </w:t>
      </w:r>
      <w:r w:rsidRPr="0015116B">
        <w:rPr>
          <w:rFonts w:eastAsia="Times New Roman" w:cs="Times New Roman"/>
          <w:i/>
        </w:rPr>
        <w:t>C. opilio</w:t>
      </w:r>
      <w:r w:rsidRPr="0015116B">
        <w:rPr>
          <w:rFonts w:eastAsia="Times New Roman" w:cs="Times New Roman"/>
        </w:rPr>
        <w:t>, in the eastern Bering Sea with implications for the management of the commercial harvest, PhD Thesis, University of Washington, 220 p.</w:t>
      </w:r>
    </w:p>
    <w:p w14:paraId="4B569322"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Somerton, D. A.</w:t>
      </w:r>
      <w:r w:rsidR="000E77E5" w:rsidRPr="0015116B">
        <w:rPr>
          <w:rFonts w:eastAsia="Times New Roman" w:cs="Times New Roman"/>
        </w:rPr>
        <w:t xml:space="preserve"> </w:t>
      </w:r>
      <w:r w:rsidRPr="0015116B">
        <w:rPr>
          <w:rFonts w:eastAsia="Times New Roman" w:cs="Times New Roman"/>
        </w:rPr>
        <w:t>1981b.</w:t>
      </w:r>
      <w:r w:rsidR="000E77E5" w:rsidRPr="0015116B">
        <w:rPr>
          <w:rFonts w:eastAsia="Times New Roman" w:cs="Times New Roman"/>
        </w:rPr>
        <w:t xml:space="preserve"> </w:t>
      </w:r>
      <w:r w:rsidRPr="0015116B">
        <w:rPr>
          <w:rFonts w:eastAsia="Times New Roman" w:cs="Times New Roman"/>
        </w:rPr>
        <w:t>Regional variation in the size at maturity of two species of Tanner Crab (</w:t>
      </w:r>
      <w:r w:rsidRPr="0015116B">
        <w:rPr>
          <w:rFonts w:eastAsia="Times New Roman" w:cs="Times New Roman"/>
          <w:i/>
        </w:rPr>
        <w:t>Chionoecetes bairdi</w:t>
      </w:r>
      <w:r w:rsidRPr="0015116B">
        <w:rPr>
          <w:rFonts w:eastAsia="Times New Roman" w:cs="Times New Roman"/>
        </w:rPr>
        <w:t xml:space="preserve"> and </w:t>
      </w:r>
      <w:r w:rsidRPr="0015116B">
        <w:rPr>
          <w:rFonts w:eastAsia="Times New Roman" w:cs="Times New Roman"/>
          <w:i/>
        </w:rPr>
        <w:t>C. opilio</w:t>
      </w:r>
      <w:r w:rsidRPr="0015116B">
        <w:rPr>
          <w:rFonts w:eastAsia="Times New Roman" w:cs="Times New Roman"/>
        </w:rPr>
        <w:t>) in the eastern Bering Sea, and its use in defining management subareas. Canadian Journal of Fisheries and Aquatic Science. 38:163-174.</w:t>
      </w:r>
    </w:p>
    <w:p w14:paraId="158900E8" w14:textId="77777777" w:rsidR="002B0AE1" w:rsidRPr="0015116B" w:rsidRDefault="002B0AE1" w:rsidP="002B0AE1">
      <w:pPr>
        <w:autoSpaceDE w:val="0"/>
        <w:autoSpaceDN w:val="0"/>
        <w:adjustRightInd w:val="0"/>
        <w:spacing w:after="0"/>
        <w:ind w:left="360" w:hanging="360"/>
        <w:rPr>
          <w:rFonts w:eastAsia="Times New Roman" w:cs="Times New Roman"/>
        </w:rPr>
      </w:pPr>
      <w:r w:rsidRPr="0015116B">
        <w:rPr>
          <w:rFonts w:eastAsia="Times New Roman" w:cs="Times New Roman"/>
        </w:rPr>
        <w:t xml:space="preserve">Somerton, D.A., R.A. </w:t>
      </w:r>
      <w:proofErr w:type="spellStart"/>
      <w:r w:rsidRPr="0015116B">
        <w:rPr>
          <w:rFonts w:eastAsia="Times New Roman" w:cs="Times New Roman"/>
        </w:rPr>
        <w:t>McConnaughey</w:t>
      </w:r>
      <w:proofErr w:type="spellEnd"/>
      <w:r w:rsidRPr="0015116B">
        <w:rPr>
          <w:rFonts w:eastAsia="Times New Roman" w:cs="Times New Roman"/>
        </w:rPr>
        <w:t xml:space="preserve"> and S.S. </w:t>
      </w:r>
      <w:proofErr w:type="spellStart"/>
      <w:r w:rsidRPr="0015116B">
        <w:rPr>
          <w:rFonts w:eastAsia="Times New Roman" w:cs="Times New Roman"/>
        </w:rPr>
        <w:t>Intelmann</w:t>
      </w:r>
      <w:proofErr w:type="spellEnd"/>
      <w:r w:rsidRPr="0015116B">
        <w:rPr>
          <w:rFonts w:eastAsia="Times New Roman" w:cs="Times New Roman"/>
        </w:rPr>
        <w:t>. 2017. Evaluating the use of acoustic bottom typing to inform models of bottom trawl efficiency. Fish. Res. 185:14-16. http://dx.doi.org/10.1016/j.fishres.2016.09.29.</w:t>
      </w:r>
    </w:p>
    <w:p w14:paraId="53574E1A"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Somerton, D. A. and W. S. Meyers.</w:t>
      </w:r>
      <w:r w:rsidR="000E77E5" w:rsidRPr="0015116B">
        <w:rPr>
          <w:rFonts w:eastAsia="Times New Roman" w:cs="Times New Roman"/>
        </w:rPr>
        <w:t xml:space="preserve"> </w:t>
      </w:r>
      <w:r w:rsidRPr="0015116B">
        <w:rPr>
          <w:rFonts w:eastAsia="Times New Roman" w:cs="Times New Roman"/>
        </w:rPr>
        <w:t>1983.</w:t>
      </w:r>
      <w:r w:rsidR="000E77E5" w:rsidRPr="0015116B">
        <w:rPr>
          <w:rFonts w:eastAsia="Times New Roman" w:cs="Times New Roman"/>
        </w:rPr>
        <w:t xml:space="preserve"> </w:t>
      </w:r>
      <w:r w:rsidRPr="0015116B">
        <w:rPr>
          <w:rFonts w:eastAsia="Times New Roman" w:cs="Times New Roman"/>
        </w:rPr>
        <w:t>Fecundity differences between primiparous and multiparous female Alaskan Tanner crab (</w:t>
      </w:r>
      <w:r w:rsidRPr="0015116B">
        <w:rPr>
          <w:rFonts w:eastAsia="Times New Roman" w:cs="Times New Roman"/>
          <w:i/>
        </w:rPr>
        <w:t>Chionoecetes bairdi</w:t>
      </w:r>
      <w:r w:rsidRPr="0015116B">
        <w:rPr>
          <w:rFonts w:eastAsia="Times New Roman" w:cs="Times New Roman"/>
        </w:rPr>
        <w:t>). Journal of Crustacean Biology. 3:183-186.</w:t>
      </w:r>
    </w:p>
    <w:p w14:paraId="575C119D" w14:textId="25E01B9F" w:rsidR="000D6717" w:rsidRPr="0015116B" w:rsidRDefault="000D6717" w:rsidP="000D6717">
      <w:pPr>
        <w:autoSpaceDE w:val="0"/>
        <w:autoSpaceDN w:val="0"/>
        <w:adjustRightInd w:val="0"/>
        <w:spacing w:after="0"/>
        <w:ind w:left="360" w:hanging="360"/>
        <w:rPr>
          <w:rFonts w:eastAsia="Times New Roman" w:cs="Times New Roman"/>
          <w:bCs/>
          <w:iCs/>
        </w:rPr>
      </w:pPr>
      <w:r w:rsidRPr="0015116B">
        <w:rPr>
          <w:rFonts w:eastAsia="Times New Roman" w:cs="Times New Roman"/>
        </w:rPr>
        <w:t>Somerton, D. A. and R. S. Otto.</w:t>
      </w:r>
      <w:r w:rsidR="000E77E5" w:rsidRPr="0015116B">
        <w:rPr>
          <w:rFonts w:eastAsia="Times New Roman" w:cs="Times New Roman"/>
        </w:rPr>
        <w:t xml:space="preserve"> </w:t>
      </w:r>
      <w:r w:rsidRPr="0015116B">
        <w:rPr>
          <w:rFonts w:eastAsia="Times New Roman" w:cs="Times New Roman"/>
        </w:rPr>
        <w:t>1999.</w:t>
      </w:r>
      <w:r w:rsidR="000E77E5" w:rsidRPr="0015116B">
        <w:rPr>
          <w:rFonts w:eastAsia="Times New Roman" w:cs="Times New Roman"/>
        </w:rPr>
        <w:t xml:space="preserve"> </w:t>
      </w:r>
      <w:r w:rsidRPr="0015116B">
        <w:rPr>
          <w:rFonts w:eastAsia="Times New Roman" w:cs="Times New Roman"/>
        </w:rPr>
        <w:t xml:space="preserve">Net efficiency </w:t>
      </w:r>
      <w:r w:rsidRPr="0015116B">
        <w:rPr>
          <w:rFonts w:eastAsia="Times New Roman" w:cs="Times New Roman"/>
          <w:bCs/>
        </w:rPr>
        <w:t xml:space="preserve">of a survey trawl for snow crab, </w:t>
      </w:r>
      <w:r w:rsidRPr="0015116B">
        <w:rPr>
          <w:rFonts w:eastAsia="Times New Roman" w:cs="Times New Roman"/>
          <w:bCs/>
          <w:i/>
          <w:iCs/>
        </w:rPr>
        <w:t xml:space="preserve">Chionoecetes opilio, </w:t>
      </w:r>
      <w:r w:rsidRPr="0015116B">
        <w:rPr>
          <w:rFonts w:eastAsia="Times New Roman" w:cs="Times New Roman"/>
          <w:bCs/>
        </w:rPr>
        <w:t xml:space="preserve">and Tanner crab, </w:t>
      </w:r>
      <w:r w:rsidRPr="0015116B">
        <w:rPr>
          <w:rFonts w:eastAsia="Times New Roman" w:cs="Times New Roman"/>
          <w:bCs/>
          <w:i/>
          <w:iCs/>
        </w:rPr>
        <w:t xml:space="preserve">C. bairdi. </w:t>
      </w:r>
      <w:r w:rsidRPr="0015116B">
        <w:rPr>
          <w:rFonts w:eastAsia="Times New Roman" w:cs="Times New Roman"/>
          <w:bCs/>
          <w:iCs/>
        </w:rPr>
        <w:t>Fish. Bull. 97:617-625.</w:t>
      </w:r>
    </w:p>
    <w:p w14:paraId="219073B0" w14:textId="64E7E183" w:rsidR="002B0AE1" w:rsidRPr="0015116B" w:rsidRDefault="002B0AE1" w:rsidP="002B0AE1">
      <w:pPr>
        <w:autoSpaceDE w:val="0"/>
        <w:autoSpaceDN w:val="0"/>
        <w:adjustRightInd w:val="0"/>
        <w:spacing w:after="0"/>
        <w:ind w:left="360" w:hanging="360"/>
        <w:rPr>
          <w:rFonts w:eastAsia="Times New Roman" w:cs="Times New Roman"/>
        </w:rPr>
      </w:pPr>
      <w:r w:rsidRPr="0015116B">
        <w:rPr>
          <w:rFonts w:eastAsia="Times New Roman" w:cs="Times New Roman"/>
          <w:bCs/>
          <w:iCs/>
        </w:rPr>
        <w:t>Somerton, D.A., K.L. Weinberg, and Scott E. Goodman. Catchability of snow crab (</w:t>
      </w:r>
      <w:r w:rsidRPr="0015116B">
        <w:rPr>
          <w:rFonts w:eastAsia="Times New Roman" w:cs="Times New Roman"/>
          <w:bCs/>
          <w:i/>
        </w:rPr>
        <w:t>Chionoecetes opilio</w:t>
      </w:r>
      <w:r w:rsidRPr="0015116B">
        <w:rPr>
          <w:rFonts w:eastAsia="Times New Roman" w:cs="Times New Roman"/>
          <w:bCs/>
          <w:iCs/>
        </w:rPr>
        <w:t xml:space="preserve">) by the eastern Bering Sea bottom trawl survey estimated using a catch comparison experiment. 2013. Can. J. Fish. </w:t>
      </w:r>
      <w:proofErr w:type="spellStart"/>
      <w:r w:rsidRPr="0015116B">
        <w:rPr>
          <w:rFonts w:eastAsia="Times New Roman" w:cs="Times New Roman"/>
          <w:bCs/>
          <w:iCs/>
        </w:rPr>
        <w:t>Aquat</w:t>
      </w:r>
      <w:proofErr w:type="spellEnd"/>
      <w:r w:rsidRPr="0015116B">
        <w:rPr>
          <w:rFonts w:eastAsia="Times New Roman" w:cs="Times New Roman"/>
          <w:bCs/>
          <w:iCs/>
        </w:rPr>
        <w:t>. Sci. 70: 1699-1708. http://dx.doi.org/10.1139/cjfas-2013-0100</w:t>
      </w:r>
    </w:p>
    <w:p w14:paraId="021C8988" w14:textId="77777777" w:rsidR="000D6717" w:rsidRPr="0015116B" w:rsidRDefault="000D6717" w:rsidP="000D6717">
      <w:pPr>
        <w:autoSpaceDE w:val="0"/>
        <w:autoSpaceDN w:val="0"/>
        <w:adjustRightInd w:val="0"/>
        <w:spacing w:after="0"/>
        <w:ind w:left="360" w:hanging="360"/>
        <w:rPr>
          <w:rFonts w:eastAsia="Times New Roman" w:cs="Times New Roman"/>
        </w:rPr>
      </w:pPr>
      <w:r w:rsidRPr="0015116B">
        <w:rPr>
          <w:rFonts w:eastAsia="Times New Roman" w:cs="Times New Roman"/>
        </w:rPr>
        <w:t>Stevens, B. G.</w:t>
      </w:r>
      <w:r w:rsidR="000E77E5" w:rsidRPr="0015116B">
        <w:rPr>
          <w:rFonts w:eastAsia="Times New Roman" w:cs="Times New Roman"/>
        </w:rPr>
        <w:t xml:space="preserve"> </w:t>
      </w:r>
      <w:r w:rsidRPr="0015116B">
        <w:rPr>
          <w:rFonts w:eastAsia="Times New Roman" w:cs="Times New Roman"/>
        </w:rPr>
        <w:t>2000.</w:t>
      </w:r>
      <w:r w:rsidR="000E77E5" w:rsidRPr="0015116B">
        <w:rPr>
          <w:rFonts w:eastAsia="Times New Roman" w:cs="Times New Roman"/>
        </w:rPr>
        <w:t xml:space="preserve"> </w:t>
      </w:r>
      <w:r w:rsidRPr="0015116B">
        <w:rPr>
          <w:rFonts w:eastAsia="Times New Roman" w:cs="Times New Roman"/>
        </w:rPr>
        <w:t xml:space="preserve">Moonlight madness and larval launch pads: tidal synchronization of Mound Formation and hatching by Tanner crab, </w:t>
      </w:r>
      <w:r w:rsidRPr="0015116B">
        <w:rPr>
          <w:rFonts w:eastAsia="Times New Roman" w:cs="Times New Roman"/>
          <w:i/>
        </w:rPr>
        <w:t>Chionoecetes bairdi</w:t>
      </w:r>
      <w:r w:rsidRPr="0015116B">
        <w:rPr>
          <w:rFonts w:eastAsia="Times New Roman" w:cs="Times New Roman"/>
        </w:rPr>
        <w:t>. Journal of Shellfish Research. 19:640-641.</w:t>
      </w:r>
    </w:p>
    <w:p w14:paraId="37104B77" w14:textId="2A023734" w:rsidR="0027328A" w:rsidRPr="0015116B" w:rsidRDefault="0027328A" w:rsidP="0027328A">
      <w:pPr>
        <w:autoSpaceDE w:val="0"/>
        <w:autoSpaceDN w:val="0"/>
        <w:adjustRightInd w:val="0"/>
        <w:spacing w:after="0"/>
        <w:ind w:left="360" w:hanging="360"/>
        <w:rPr>
          <w:rFonts w:eastAsia="Times New Roman" w:cs="Times New Roman"/>
        </w:rPr>
      </w:pPr>
      <w:r w:rsidRPr="0015116B">
        <w:rPr>
          <w:rFonts w:eastAsia="Times New Roman" w:cs="Times New Roman"/>
        </w:rPr>
        <w:t>Stockhausen, W. 2014. 2014 Stock Assessment and Fishery Evaluation Report for the Tanner Crab Fisheries</w:t>
      </w:r>
      <w:r w:rsidRPr="0015116B">
        <w:rPr>
          <w:rFonts w:eastAsia="Times New Roman" w:cs="Times New Roman"/>
          <w:b/>
          <w:bCs/>
        </w:rPr>
        <w:t xml:space="preserve"> </w:t>
      </w:r>
      <w:r w:rsidRPr="0015116B">
        <w:rPr>
          <w:rFonts w:eastAsia="Times New Roman" w:cs="Times New Roman"/>
        </w:rPr>
        <w:t>of the Bering Sea and Aleutian Islands Regions. In: Stock Assessment and Fishery Evaluation Report for the King and Tanner Crab Fisheries of the Bering Sea and Aleutian Islands: 2014 Final Crab SAFE. North Pacific Fishery Management Council. Anchorage, AK. pp. 324-545.</w:t>
      </w:r>
    </w:p>
    <w:p w14:paraId="2D69AC4E" w14:textId="7EC8EA03" w:rsidR="00F662B7" w:rsidRPr="0015116B" w:rsidRDefault="00F662B7" w:rsidP="00F662B7">
      <w:pPr>
        <w:autoSpaceDE w:val="0"/>
        <w:autoSpaceDN w:val="0"/>
        <w:adjustRightInd w:val="0"/>
        <w:spacing w:after="0"/>
        <w:ind w:left="360" w:hanging="360"/>
        <w:rPr>
          <w:rFonts w:eastAsia="Times New Roman" w:cs="Times New Roman"/>
        </w:rPr>
      </w:pPr>
      <w:r w:rsidRPr="0015116B">
        <w:rPr>
          <w:rFonts w:eastAsia="Times New Roman" w:cs="Times New Roman"/>
        </w:rPr>
        <w:t>Stockhausen, W. 2016. 2016 Stock Assessment and Fishery Evaluation Report for the Tanner Crab Fisheries</w:t>
      </w:r>
      <w:r w:rsidRPr="0015116B">
        <w:rPr>
          <w:rFonts w:eastAsia="Times New Roman" w:cs="Times New Roman"/>
          <w:b/>
          <w:bCs/>
        </w:rPr>
        <w:t xml:space="preserve"> </w:t>
      </w:r>
      <w:r w:rsidRPr="0015116B">
        <w:rPr>
          <w:rFonts w:eastAsia="Times New Roman" w:cs="Times New Roman"/>
        </w:rPr>
        <w:t>of the Bering Sea and Aleutian Islands Regions. In: Stock Assessment and Fishery Evaluation Report for the King and Tanner Crab Fisheries of the Bering Sea and Aleutian Islands: 2016 Final Crab SAFE. North Pacific Fishery Management Council. Anchorage, AK.</w:t>
      </w:r>
    </w:p>
    <w:p w14:paraId="74EA9241" w14:textId="4B5CAF15" w:rsidR="00E01D2A" w:rsidRPr="0015116B" w:rsidRDefault="00E01D2A" w:rsidP="00E01D2A">
      <w:pPr>
        <w:autoSpaceDE w:val="0"/>
        <w:autoSpaceDN w:val="0"/>
        <w:adjustRightInd w:val="0"/>
        <w:spacing w:after="0"/>
        <w:ind w:left="360" w:hanging="360"/>
        <w:rPr>
          <w:rFonts w:eastAsia="Times New Roman" w:cs="Times New Roman"/>
        </w:rPr>
      </w:pPr>
      <w:r w:rsidRPr="0015116B">
        <w:rPr>
          <w:rFonts w:eastAsia="Times New Roman" w:cs="Times New Roman"/>
        </w:rPr>
        <w:t>Stockhausen, W. 2017. 2017 Stock Assessment and Fishery Evaluation Report for the Tanner Crab Fisheries</w:t>
      </w:r>
      <w:r w:rsidRPr="0015116B">
        <w:rPr>
          <w:rFonts w:eastAsia="Times New Roman" w:cs="Times New Roman"/>
          <w:b/>
          <w:bCs/>
        </w:rPr>
        <w:t xml:space="preserve"> </w:t>
      </w:r>
      <w:r w:rsidRPr="0015116B">
        <w:rPr>
          <w:rFonts w:eastAsia="Times New Roman" w:cs="Times New Roman"/>
        </w:rPr>
        <w:t>of the Bering Sea and Aleutian Islands Regions. In: Stock Assessment and Fishery Evaluation Report for the King and Tanner Crab Fisheries of the Bering Sea and Aleutian Islands: 2017 Final Crab SAFE. North Pacific Fishery Management Council. Anchorage, AK.</w:t>
      </w:r>
    </w:p>
    <w:p w14:paraId="38D9AD7B" w14:textId="3DB59611" w:rsidR="0094747C" w:rsidRPr="0015116B" w:rsidRDefault="0094747C" w:rsidP="0094747C">
      <w:pPr>
        <w:autoSpaceDE w:val="0"/>
        <w:autoSpaceDN w:val="0"/>
        <w:adjustRightInd w:val="0"/>
        <w:spacing w:after="0"/>
        <w:ind w:left="360" w:hanging="360"/>
        <w:rPr>
          <w:rFonts w:eastAsia="Times New Roman" w:cs="Times New Roman"/>
        </w:rPr>
      </w:pPr>
      <w:r w:rsidRPr="0015116B">
        <w:rPr>
          <w:rFonts w:eastAsia="Times New Roman" w:cs="Times New Roman"/>
        </w:rPr>
        <w:t>Stockhausen, W. 2019. 2019 Stock Assessment and Fishery Evaluation Report for the Tanner Crab Fisheries</w:t>
      </w:r>
      <w:r w:rsidRPr="0015116B">
        <w:rPr>
          <w:rFonts w:eastAsia="Times New Roman" w:cs="Times New Roman"/>
          <w:b/>
          <w:bCs/>
        </w:rPr>
        <w:t xml:space="preserve"> </w:t>
      </w:r>
      <w:r w:rsidRPr="0015116B">
        <w:rPr>
          <w:rFonts w:eastAsia="Times New Roman" w:cs="Times New Roman"/>
        </w:rPr>
        <w:t>of the Bering Sea and Aleutian Islands Regions. In: Stock Assessment and Fishery Evaluation Report for the King and Tanner Crab Fisheries of the Bering Sea and Aleutian Islands: 2018 Final Crab SAFE. North Pacific Fishery Management Council. Anchorage, AK.</w:t>
      </w:r>
    </w:p>
    <w:p w14:paraId="512A5418" w14:textId="62BF4DD0" w:rsidR="000D6717" w:rsidRPr="0015116B" w:rsidRDefault="000D6717" w:rsidP="000D6717">
      <w:pPr>
        <w:spacing w:after="0"/>
        <w:ind w:left="360" w:hanging="360"/>
        <w:rPr>
          <w:rFonts w:eastAsia="Times New Roman" w:cs="Times New Roman"/>
        </w:rPr>
      </w:pPr>
      <w:r w:rsidRPr="0015116B">
        <w:rPr>
          <w:rFonts w:eastAsia="Times New Roman" w:cs="Times New Roman"/>
        </w:rPr>
        <w:t>Stone, R.P., M.M. Masuda and J.</w:t>
      </w:r>
      <w:r w:rsidR="0094747C" w:rsidRPr="0015116B">
        <w:rPr>
          <w:rFonts w:eastAsia="Times New Roman" w:cs="Times New Roman"/>
        </w:rPr>
        <w:t xml:space="preserve"> </w:t>
      </w:r>
      <w:r w:rsidRPr="0015116B">
        <w:rPr>
          <w:rFonts w:eastAsia="Times New Roman" w:cs="Times New Roman"/>
        </w:rPr>
        <w:t>Clark.</w:t>
      </w:r>
      <w:r w:rsidR="000E77E5" w:rsidRPr="0015116B">
        <w:rPr>
          <w:rFonts w:eastAsia="Times New Roman" w:cs="Times New Roman"/>
        </w:rPr>
        <w:t xml:space="preserve"> </w:t>
      </w:r>
      <w:r w:rsidRPr="0015116B">
        <w:rPr>
          <w:rFonts w:eastAsia="Times New Roman" w:cs="Times New Roman"/>
        </w:rPr>
        <w:t>2003.</w:t>
      </w:r>
      <w:r w:rsidR="000E77E5" w:rsidRPr="0015116B">
        <w:rPr>
          <w:rFonts w:eastAsia="Times New Roman" w:cs="Times New Roman"/>
        </w:rPr>
        <w:t xml:space="preserve"> </w:t>
      </w:r>
      <w:r w:rsidRPr="0015116B">
        <w:rPr>
          <w:rFonts w:eastAsia="Times New Roman" w:cs="Times New Roman"/>
        </w:rPr>
        <w:t xml:space="preserve">Growth of male Tanner crabs, </w:t>
      </w:r>
      <w:r w:rsidRPr="0015116B">
        <w:rPr>
          <w:rFonts w:eastAsia="Times New Roman" w:cs="Times New Roman"/>
          <w:i/>
        </w:rPr>
        <w:t xml:space="preserve">Chionoecetes bairdi, </w:t>
      </w:r>
      <w:r w:rsidRPr="0015116B">
        <w:rPr>
          <w:rFonts w:eastAsia="Times New Roman" w:cs="Times New Roman"/>
        </w:rPr>
        <w:t>in a Southeast Alaska Estuary.</w:t>
      </w:r>
      <w:r w:rsidR="000E77E5" w:rsidRPr="0015116B">
        <w:rPr>
          <w:rFonts w:eastAsia="Times New Roman" w:cs="Times New Roman"/>
        </w:rPr>
        <w:t xml:space="preserve"> </w:t>
      </w:r>
      <w:r w:rsidRPr="0015116B">
        <w:rPr>
          <w:rFonts w:eastAsia="Times New Roman" w:cs="Times New Roman"/>
        </w:rPr>
        <w:t>Draft document to Alaska Department of Fish and Game Headquarters.</w:t>
      </w:r>
      <w:r w:rsidR="000E77E5" w:rsidRPr="0015116B">
        <w:rPr>
          <w:rFonts w:eastAsia="Times New Roman" w:cs="Times New Roman"/>
        </w:rPr>
        <w:t xml:space="preserve"> </w:t>
      </w:r>
      <w:r w:rsidRPr="0015116B">
        <w:rPr>
          <w:rFonts w:eastAsia="Times New Roman" w:cs="Times New Roman"/>
        </w:rPr>
        <w:t>36p.</w:t>
      </w:r>
    </w:p>
    <w:p w14:paraId="5FE8EC37" w14:textId="77777777" w:rsidR="000D6717" w:rsidRPr="0015116B" w:rsidRDefault="000D6717" w:rsidP="000D6717">
      <w:pPr>
        <w:spacing w:after="0"/>
        <w:ind w:left="360" w:hanging="360"/>
        <w:rPr>
          <w:rFonts w:eastAsia="Times New Roman" w:cs="Times New Roman"/>
        </w:rPr>
      </w:pPr>
      <w:proofErr w:type="spellStart"/>
      <w:r w:rsidRPr="0015116B">
        <w:rPr>
          <w:rFonts w:eastAsia="Times New Roman" w:cs="Times New Roman"/>
        </w:rPr>
        <w:lastRenderedPageBreak/>
        <w:t>Tamone</w:t>
      </w:r>
      <w:proofErr w:type="spellEnd"/>
      <w:r w:rsidRPr="0015116B">
        <w:rPr>
          <w:rFonts w:eastAsia="Times New Roman" w:cs="Times New Roman"/>
        </w:rPr>
        <w:t>, S. L., S. J. Taggart, A. G. Andrews, J. Mondragon, and J. K. Nielsen.</w:t>
      </w:r>
      <w:r w:rsidR="000E77E5" w:rsidRPr="0015116B">
        <w:rPr>
          <w:rFonts w:eastAsia="Times New Roman" w:cs="Times New Roman"/>
        </w:rPr>
        <w:t xml:space="preserve"> </w:t>
      </w:r>
      <w:r w:rsidRPr="0015116B">
        <w:rPr>
          <w:rFonts w:eastAsia="Times New Roman" w:cs="Times New Roman"/>
        </w:rPr>
        <w:t>2007.</w:t>
      </w:r>
      <w:r w:rsidR="000E77E5" w:rsidRPr="0015116B">
        <w:rPr>
          <w:rFonts w:eastAsia="Times New Roman" w:cs="Times New Roman"/>
        </w:rPr>
        <w:t xml:space="preserve"> </w:t>
      </w:r>
      <w:r w:rsidRPr="0015116B">
        <w:rPr>
          <w:rFonts w:eastAsia="Times New Roman" w:cs="Times New Roman"/>
        </w:rPr>
        <w:t xml:space="preserve">The relationship between circulating </w:t>
      </w:r>
      <w:proofErr w:type="spellStart"/>
      <w:r w:rsidRPr="0015116B">
        <w:rPr>
          <w:rFonts w:eastAsia="Times New Roman" w:cs="Times New Roman"/>
        </w:rPr>
        <w:t>ecdysteroids</w:t>
      </w:r>
      <w:proofErr w:type="spellEnd"/>
      <w:r w:rsidRPr="0015116B">
        <w:rPr>
          <w:rFonts w:eastAsia="Times New Roman" w:cs="Times New Roman"/>
        </w:rPr>
        <w:t xml:space="preserve"> and chela allometry in male Tanner crabs: Evidence for a terminal molt in the genus </w:t>
      </w:r>
      <w:r w:rsidRPr="0015116B">
        <w:rPr>
          <w:rFonts w:eastAsia="Times New Roman" w:cs="Times New Roman"/>
          <w:i/>
        </w:rPr>
        <w:t>Chionoecetes</w:t>
      </w:r>
      <w:r w:rsidRPr="0015116B">
        <w:rPr>
          <w:rFonts w:eastAsia="Times New Roman" w:cs="Times New Roman"/>
        </w:rPr>
        <w:t>. J. Crust. Biol. 27:635-642.</w:t>
      </w:r>
    </w:p>
    <w:p w14:paraId="05BAEF79" w14:textId="77777777" w:rsidR="00514AD1" w:rsidRPr="0015116B" w:rsidRDefault="00514AD1" w:rsidP="00514AD1">
      <w:pPr>
        <w:spacing w:after="0"/>
        <w:ind w:left="360" w:hanging="360"/>
        <w:rPr>
          <w:rFonts w:eastAsia="Times New Roman" w:cs="Times New Roman"/>
        </w:rPr>
      </w:pPr>
      <w:r w:rsidRPr="0015116B">
        <w:rPr>
          <w:rFonts w:eastAsia="Times New Roman" w:cs="Times New Roman"/>
        </w:rPr>
        <w:t xml:space="preserve">Thompson, G. </w:t>
      </w:r>
      <w:r w:rsidR="000E77E5" w:rsidRPr="0015116B">
        <w:rPr>
          <w:rFonts w:eastAsia="Times New Roman" w:cs="Times New Roman"/>
        </w:rPr>
        <w:t xml:space="preserve">and R </w:t>
      </w:r>
      <w:proofErr w:type="spellStart"/>
      <w:r w:rsidR="000E77E5" w:rsidRPr="0015116B">
        <w:rPr>
          <w:rFonts w:eastAsia="Times New Roman" w:cs="Times New Roman"/>
        </w:rPr>
        <w:t>La</w:t>
      </w:r>
      <w:r w:rsidRPr="0015116B">
        <w:rPr>
          <w:rFonts w:eastAsia="Times New Roman" w:cs="Times New Roman"/>
        </w:rPr>
        <w:t>uth</w:t>
      </w:r>
      <w:proofErr w:type="spellEnd"/>
      <w:r w:rsidRPr="0015116B">
        <w:rPr>
          <w:rFonts w:eastAsia="Times New Roman" w:cs="Times New Roman"/>
        </w:rPr>
        <w:t>. 2012. Chapter 2:</w:t>
      </w:r>
      <w:r w:rsidR="000E77E5" w:rsidRPr="0015116B">
        <w:rPr>
          <w:rFonts w:eastAsia="Times New Roman" w:cs="Times New Roman"/>
        </w:rPr>
        <w:t xml:space="preserve"> </w:t>
      </w:r>
      <w:r w:rsidRPr="0015116B">
        <w:rPr>
          <w:rFonts w:eastAsia="Times New Roman" w:cs="Times New Roman"/>
        </w:rPr>
        <w:t>Assessment of the Pacific cod stock in the eastern Bering Sea and Aleutian Islands Area. Stock Assessment and Fishery Evaluation Report for the Groundfish Resources of the Bering Sea/Aleutian Islands Regions, North Pacific Fishery Management Council, Anchorage, 245-544 p.</w:t>
      </w:r>
    </w:p>
    <w:p w14:paraId="6F81A13D" w14:textId="77777777" w:rsidR="000D6717" w:rsidRPr="0015116B" w:rsidRDefault="000D6717" w:rsidP="000D6717">
      <w:pPr>
        <w:spacing w:after="0"/>
        <w:ind w:left="360" w:hanging="360"/>
        <w:rPr>
          <w:rFonts w:eastAsia="Times New Roman" w:cs="Times New Roman"/>
        </w:rPr>
      </w:pPr>
      <w:proofErr w:type="spellStart"/>
      <w:r w:rsidRPr="0015116B">
        <w:rPr>
          <w:rFonts w:eastAsia="Times New Roman" w:cs="Times New Roman"/>
        </w:rPr>
        <w:t>Turnock</w:t>
      </w:r>
      <w:proofErr w:type="spellEnd"/>
      <w:r w:rsidRPr="0015116B">
        <w:rPr>
          <w:rFonts w:eastAsia="Times New Roman" w:cs="Times New Roman"/>
        </w:rPr>
        <w:t>, B. and L. Rugolo.</w:t>
      </w:r>
      <w:r w:rsidR="000E77E5" w:rsidRPr="0015116B">
        <w:rPr>
          <w:rFonts w:eastAsia="Times New Roman" w:cs="Times New Roman"/>
        </w:rPr>
        <w:t xml:space="preserve"> </w:t>
      </w:r>
      <w:r w:rsidRPr="0015116B">
        <w:rPr>
          <w:rFonts w:eastAsia="Times New Roman" w:cs="Times New Roman"/>
        </w:rPr>
        <w:t>2011.</w:t>
      </w:r>
      <w:r w:rsidR="000E77E5" w:rsidRPr="0015116B">
        <w:rPr>
          <w:rFonts w:eastAsia="Times New Roman" w:cs="Times New Roman"/>
        </w:rPr>
        <w:t xml:space="preserve"> </w:t>
      </w:r>
      <w:r w:rsidRPr="0015116B">
        <w:rPr>
          <w:rFonts w:eastAsia="Times New Roman" w:cs="Times New Roman"/>
        </w:rPr>
        <w:t>Stock assessment of eastern Bering Sea snow crab (</w:t>
      </w:r>
      <w:r w:rsidRPr="0015116B">
        <w:rPr>
          <w:rFonts w:eastAsia="Times New Roman" w:cs="Times New Roman"/>
          <w:i/>
        </w:rPr>
        <w:t>Chionoecetes opilio</w:t>
      </w:r>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Report to the North Pacific Fishery Management Council, Crab Plan Team.</w:t>
      </w:r>
      <w:r w:rsidR="000E77E5" w:rsidRPr="0015116B">
        <w:rPr>
          <w:rFonts w:eastAsia="Times New Roman" w:cs="Times New Roman"/>
        </w:rPr>
        <w:t xml:space="preserve"> </w:t>
      </w:r>
      <w:r w:rsidRPr="0015116B">
        <w:rPr>
          <w:rFonts w:eastAsia="Times New Roman" w:cs="Times New Roman"/>
        </w:rPr>
        <w:t>146 p.</w:t>
      </w:r>
    </w:p>
    <w:p w14:paraId="5B138869" w14:textId="7AF54FD5" w:rsidR="000D6717" w:rsidRPr="0015116B" w:rsidRDefault="000D6717" w:rsidP="000D6717">
      <w:pPr>
        <w:spacing w:after="0"/>
        <w:ind w:left="360" w:hanging="360"/>
        <w:rPr>
          <w:rFonts w:eastAsia="Times New Roman" w:cs="Times New Roman"/>
        </w:rPr>
      </w:pPr>
      <w:r w:rsidRPr="0015116B">
        <w:rPr>
          <w:rFonts w:eastAsia="Times New Roman" w:cs="Times New Roman"/>
        </w:rPr>
        <w:t xml:space="preserve">Williams, A. B., L. G. Abele, D. L. Felder, H. H. Hobbs, Jr., R. B. Manning, P. A. McLaughlin, and I. Perez </w:t>
      </w:r>
      <w:proofErr w:type="spellStart"/>
      <w:r w:rsidRPr="0015116B">
        <w:rPr>
          <w:rFonts w:eastAsia="Times New Roman" w:cs="Times New Roman"/>
        </w:rPr>
        <w:t>Farfante</w:t>
      </w:r>
      <w:proofErr w:type="spellEnd"/>
      <w:r w:rsidRPr="0015116B">
        <w:rPr>
          <w:rFonts w:eastAsia="Times New Roman" w:cs="Times New Roman"/>
        </w:rPr>
        <w:t>.</w:t>
      </w:r>
      <w:r w:rsidR="000E77E5" w:rsidRPr="0015116B">
        <w:rPr>
          <w:rFonts w:eastAsia="Times New Roman" w:cs="Times New Roman"/>
        </w:rPr>
        <w:t xml:space="preserve"> </w:t>
      </w:r>
      <w:r w:rsidRPr="0015116B">
        <w:rPr>
          <w:rFonts w:eastAsia="Times New Roman" w:cs="Times New Roman"/>
        </w:rPr>
        <w:t>1989.</w:t>
      </w:r>
      <w:r w:rsidR="000E77E5" w:rsidRPr="0015116B">
        <w:rPr>
          <w:rFonts w:eastAsia="Times New Roman" w:cs="Times New Roman"/>
        </w:rPr>
        <w:t xml:space="preserve"> </w:t>
      </w:r>
      <w:r w:rsidRPr="0015116B">
        <w:rPr>
          <w:rFonts w:eastAsia="Times New Roman" w:cs="Times New Roman"/>
        </w:rPr>
        <w:t>Common and scientific names of aquatic invertebrates from the United States and Canada: decapod crustaceans. American Fisheries Society Special Publication 17. 77 p.</w:t>
      </w:r>
    </w:p>
    <w:p w14:paraId="30048CC0" w14:textId="2037FB5E" w:rsidR="009B65E3" w:rsidRPr="0015116B" w:rsidRDefault="009B65E3" w:rsidP="009B65E3">
      <w:pPr>
        <w:spacing w:after="0"/>
        <w:ind w:left="360" w:hanging="360"/>
        <w:rPr>
          <w:rFonts w:eastAsia="Times New Roman" w:cs="Times New Roman"/>
        </w:rPr>
      </w:pPr>
      <w:proofErr w:type="spellStart"/>
      <w:r w:rsidRPr="0015116B">
        <w:rPr>
          <w:rFonts w:eastAsia="Times New Roman" w:cs="Times New Roman"/>
        </w:rPr>
        <w:t>Xie</w:t>
      </w:r>
      <w:proofErr w:type="spellEnd"/>
      <w:r w:rsidRPr="0015116B">
        <w:rPr>
          <w:rFonts w:eastAsia="Times New Roman" w:cs="Times New Roman"/>
        </w:rPr>
        <w:t xml:space="preserve">, Y., J.J. Allaire and G. </w:t>
      </w:r>
      <w:proofErr w:type="spellStart"/>
      <w:r w:rsidRPr="0015116B">
        <w:rPr>
          <w:rFonts w:eastAsia="Times New Roman" w:cs="Times New Roman"/>
        </w:rPr>
        <w:t>Grolemund</w:t>
      </w:r>
      <w:proofErr w:type="spellEnd"/>
      <w:r w:rsidRPr="0015116B">
        <w:rPr>
          <w:rFonts w:eastAsia="Times New Roman" w:cs="Times New Roman"/>
        </w:rPr>
        <w:t>. 2018. R Markdown: The Definitive Guide. Chapman and Hall/CRC. ISBN 9781138359338. URL https://bookdown.org/yihui/rmarkdown.</w:t>
      </w:r>
    </w:p>
    <w:p w14:paraId="176509AD" w14:textId="77777777" w:rsidR="000E2054" w:rsidRPr="0015116B" w:rsidRDefault="000D6717" w:rsidP="00D7452A">
      <w:pPr>
        <w:autoSpaceDE w:val="0"/>
        <w:autoSpaceDN w:val="0"/>
        <w:adjustRightInd w:val="0"/>
        <w:spacing w:after="0"/>
        <w:ind w:left="360" w:hanging="360"/>
        <w:rPr>
          <w:rFonts w:eastAsia="Times New Roman" w:cs="Times New Roman"/>
        </w:rPr>
      </w:pPr>
      <w:r w:rsidRPr="0015116B">
        <w:rPr>
          <w:rFonts w:eastAsia="Times New Roman" w:cs="Times New Roman"/>
        </w:rPr>
        <w:t>Zheng, J. and G.H. Kruse, 1999. Evaluation of harvest strategies for Tanner crab stocks that exhibit periodic recruitment. J.</w:t>
      </w:r>
      <w:r w:rsidR="00D7452A" w:rsidRPr="0015116B">
        <w:rPr>
          <w:rFonts w:eastAsia="Times New Roman" w:cs="Times New Roman"/>
        </w:rPr>
        <w:t xml:space="preserve"> Shellfish Res., 18(2):667-679.</w:t>
      </w:r>
    </w:p>
    <w:p w14:paraId="21320692" w14:textId="77777777" w:rsidR="005E32A2" w:rsidRPr="0015116B" w:rsidRDefault="005E32A2" w:rsidP="005E32A2">
      <w:pPr>
        <w:autoSpaceDE w:val="0"/>
        <w:autoSpaceDN w:val="0"/>
        <w:adjustRightInd w:val="0"/>
        <w:spacing w:after="0"/>
        <w:ind w:left="360" w:hanging="360"/>
        <w:rPr>
          <w:rFonts w:eastAsia="Times New Roman" w:cs="Times New Roman"/>
        </w:rPr>
      </w:pPr>
      <w:r w:rsidRPr="0015116B">
        <w:rPr>
          <w:rFonts w:eastAsia="Times New Roman" w:cs="Times New Roman"/>
        </w:rPr>
        <w:t>Zheng, J. and M.S.M. Siddeek. 2012. Bristol Bay Red King Crab Stock Assessment In Fall 2012. In: Stock Assessment and Fishery Evaluation Report for the King and Tanner Crab Fisheries of the Bering Sea and Aleutian Islands: 2012 Final Crab SAFE. North Pacific Fishery Management Council. Anchorage, AK. pp. 161-266.</w:t>
      </w:r>
    </w:p>
    <w:p w14:paraId="36EF9B9F" w14:textId="7961AA21" w:rsidR="00CD3281" w:rsidRPr="0015116B" w:rsidRDefault="00CD3281">
      <w:pPr>
        <w:spacing w:after="200" w:line="276" w:lineRule="auto"/>
        <w:rPr>
          <w:rFonts w:eastAsia="Times New Roman" w:cs="Times New Roman"/>
        </w:rPr>
      </w:pPr>
      <w:r w:rsidRPr="0015116B">
        <w:rPr>
          <w:rFonts w:eastAsia="Times New Roman" w:cs="Times New Roman"/>
        </w:rPr>
        <w:br w:type="page"/>
      </w:r>
    </w:p>
    <w:p w14:paraId="26F1686A" w14:textId="4F692D95" w:rsidR="00C321F7" w:rsidRPr="0015116B" w:rsidRDefault="00C321F7" w:rsidP="00C321F7">
      <w:pPr>
        <w:pStyle w:val="Heading1"/>
      </w:pPr>
      <w:r w:rsidRPr="0015116B">
        <w:lastRenderedPageBreak/>
        <w:t>Table captions</w:t>
      </w:r>
    </w:p>
    <w:p w14:paraId="77D240C0" w14:textId="7552B949" w:rsidR="008E1C57" w:rsidRDefault="00D35417">
      <w:pPr>
        <w:pStyle w:val="TableofFigures"/>
        <w:tabs>
          <w:tab w:val="right" w:leader="dot" w:pos="9350"/>
        </w:tabs>
        <w:rPr>
          <w:rFonts w:asciiTheme="minorHAnsi" w:eastAsiaTheme="minorEastAsia" w:hAnsiTheme="minorHAnsi"/>
          <w:noProof/>
          <w:sz w:val="24"/>
          <w:szCs w:val="24"/>
        </w:rPr>
      </w:pPr>
      <w:r w:rsidRPr="0015116B">
        <w:rPr>
          <w:rFonts w:eastAsia="Times New Roman" w:cs="Times New Roman"/>
        </w:rPr>
        <w:fldChar w:fldCharType="begin"/>
      </w:r>
      <w:r w:rsidRPr="0015116B">
        <w:rPr>
          <w:rFonts w:eastAsia="Times New Roman" w:cs="Times New Roman"/>
        </w:rPr>
        <w:instrText xml:space="preserve"> TOC \h \z \c "Table" </w:instrText>
      </w:r>
      <w:r w:rsidRPr="0015116B">
        <w:rPr>
          <w:rFonts w:eastAsia="Times New Roman" w:cs="Times New Roman"/>
        </w:rPr>
        <w:fldChar w:fldCharType="separate"/>
      </w:r>
      <w:hyperlink w:anchor="_Toc50392502" w:history="1">
        <w:r w:rsidR="008E1C57" w:rsidRPr="0027272F">
          <w:rPr>
            <w:rStyle w:val="Hyperlink"/>
            <w:noProof/>
          </w:rPr>
          <w:t>Table 1. Retained catch (males) in directed Tanner crab fisheries (1965/66-2000/01). Catch units are metric tons. Asterisks denote a closure of the directed domestic fishery.</w:t>
        </w:r>
        <w:r w:rsidR="008E1C57">
          <w:rPr>
            <w:noProof/>
            <w:webHidden/>
          </w:rPr>
          <w:tab/>
        </w:r>
        <w:r w:rsidR="008E1C57">
          <w:rPr>
            <w:noProof/>
            <w:webHidden/>
          </w:rPr>
          <w:fldChar w:fldCharType="begin"/>
        </w:r>
        <w:r w:rsidR="008E1C57">
          <w:rPr>
            <w:noProof/>
            <w:webHidden/>
          </w:rPr>
          <w:instrText xml:space="preserve"> PAGEREF _Toc50392502 \h </w:instrText>
        </w:r>
        <w:r w:rsidR="008E1C57">
          <w:rPr>
            <w:noProof/>
            <w:webHidden/>
          </w:rPr>
        </w:r>
        <w:r w:rsidR="008E1C57">
          <w:rPr>
            <w:noProof/>
            <w:webHidden/>
          </w:rPr>
          <w:fldChar w:fldCharType="separate"/>
        </w:r>
        <w:r w:rsidR="008E1C57">
          <w:rPr>
            <w:noProof/>
            <w:webHidden/>
          </w:rPr>
          <w:t>53</w:t>
        </w:r>
        <w:r w:rsidR="008E1C57">
          <w:rPr>
            <w:noProof/>
            <w:webHidden/>
          </w:rPr>
          <w:fldChar w:fldCharType="end"/>
        </w:r>
      </w:hyperlink>
    </w:p>
    <w:p w14:paraId="580B0ECB" w14:textId="5662184F" w:rsidR="008E1C57" w:rsidRDefault="000F0FEE">
      <w:pPr>
        <w:pStyle w:val="TableofFigures"/>
        <w:tabs>
          <w:tab w:val="right" w:leader="dot" w:pos="9350"/>
        </w:tabs>
        <w:rPr>
          <w:rFonts w:asciiTheme="minorHAnsi" w:eastAsiaTheme="minorEastAsia" w:hAnsiTheme="minorHAnsi"/>
          <w:noProof/>
          <w:sz w:val="24"/>
          <w:szCs w:val="24"/>
        </w:rPr>
      </w:pPr>
      <w:hyperlink w:anchor="_Toc50392503" w:history="1">
        <w:r w:rsidR="008E1C57" w:rsidRPr="0027272F">
          <w:rPr>
            <w:rStyle w:val="Hyperlink"/>
            <w:noProof/>
          </w:rPr>
          <w:t>Table 2. Retained catch (males) in the US domestic pot fishery. Information from the Community Development Quota (CDQ) fisheries is included in the table for fishery years 2005/06 to the present. Total crab caught and total harvest include deadloss. The “Fishery Year” YYYY/YY+1 runs from July 1, YYYY to June 30, YYYY+1. The ADFG year (in parentheses, if different from the “Fishery Year”) indicates the year ADFG assigned to the fishery season in compiled reports.</w:t>
        </w:r>
        <w:r w:rsidR="008E1C57">
          <w:rPr>
            <w:noProof/>
            <w:webHidden/>
          </w:rPr>
          <w:tab/>
        </w:r>
        <w:r w:rsidR="008E1C57">
          <w:rPr>
            <w:noProof/>
            <w:webHidden/>
          </w:rPr>
          <w:fldChar w:fldCharType="begin"/>
        </w:r>
        <w:r w:rsidR="008E1C57">
          <w:rPr>
            <w:noProof/>
            <w:webHidden/>
          </w:rPr>
          <w:instrText xml:space="preserve"> PAGEREF _Toc50392503 \h </w:instrText>
        </w:r>
        <w:r w:rsidR="008E1C57">
          <w:rPr>
            <w:noProof/>
            <w:webHidden/>
          </w:rPr>
        </w:r>
        <w:r w:rsidR="008E1C57">
          <w:rPr>
            <w:noProof/>
            <w:webHidden/>
          </w:rPr>
          <w:fldChar w:fldCharType="separate"/>
        </w:r>
        <w:r w:rsidR="008E1C57">
          <w:rPr>
            <w:noProof/>
            <w:webHidden/>
          </w:rPr>
          <w:t>55</w:t>
        </w:r>
        <w:r w:rsidR="008E1C57">
          <w:rPr>
            <w:noProof/>
            <w:webHidden/>
          </w:rPr>
          <w:fldChar w:fldCharType="end"/>
        </w:r>
      </w:hyperlink>
    </w:p>
    <w:p w14:paraId="3B436421" w14:textId="11E09C08" w:rsidR="008E1C57" w:rsidRDefault="000F0FEE">
      <w:pPr>
        <w:pStyle w:val="TableofFigures"/>
        <w:tabs>
          <w:tab w:val="right" w:leader="dot" w:pos="9350"/>
        </w:tabs>
        <w:rPr>
          <w:rFonts w:asciiTheme="minorHAnsi" w:eastAsiaTheme="minorEastAsia" w:hAnsiTheme="minorHAnsi"/>
          <w:noProof/>
          <w:sz w:val="24"/>
          <w:szCs w:val="24"/>
        </w:rPr>
      </w:pPr>
      <w:hyperlink w:anchor="_Toc50392504" w:history="1">
        <w:r w:rsidR="008E1C57" w:rsidRPr="0027272F">
          <w:rPr>
            <w:rStyle w:val="Hyperlink"/>
            <w:noProof/>
          </w:rPr>
          <w:t>Table 3. Total catch (retained + discarded) of Tanner crab in various fisheries, as estimated from observer data. Units are 1000’s t. TCF: directed Tanner crab fishery; SCF: snow crab fishery; RKF: Bristol Bay red king crab fishery; GTF: groundfish fisheries.</w:t>
        </w:r>
        <w:r w:rsidR="008E1C57">
          <w:rPr>
            <w:noProof/>
            <w:webHidden/>
          </w:rPr>
          <w:tab/>
        </w:r>
        <w:r w:rsidR="008E1C57">
          <w:rPr>
            <w:noProof/>
            <w:webHidden/>
          </w:rPr>
          <w:fldChar w:fldCharType="begin"/>
        </w:r>
        <w:r w:rsidR="008E1C57">
          <w:rPr>
            <w:noProof/>
            <w:webHidden/>
          </w:rPr>
          <w:instrText xml:space="preserve"> PAGEREF _Toc50392504 \h </w:instrText>
        </w:r>
        <w:r w:rsidR="008E1C57">
          <w:rPr>
            <w:noProof/>
            <w:webHidden/>
          </w:rPr>
        </w:r>
        <w:r w:rsidR="008E1C57">
          <w:rPr>
            <w:noProof/>
            <w:webHidden/>
          </w:rPr>
          <w:fldChar w:fldCharType="separate"/>
        </w:r>
        <w:r w:rsidR="008E1C57">
          <w:rPr>
            <w:noProof/>
            <w:webHidden/>
          </w:rPr>
          <w:t>56</w:t>
        </w:r>
        <w:r w:rsidR="008E1C57">
          <w:rPr>
            <w:noProof/>
            <w:webHidden/>
          </w:rPr>
          <w:fldChar w:fldCharType="end"/>
        </w:r>
      </w:hyperlink>
    </w:p>
    <w:p w14:paraId="23650C6C" w14:textId="1E136796" w:rsidR="008E1C57" w:rsidRDefault="000F0FEE">
      <w:pPr>
        <w:pStyle w:val="TableofFigures"/>
        <w:tabs>
          <w:tab w:val="right" w:leader="dot" w:pos="9350"/>
        </w:tabs>
        <w:rPr>
          <w:rFonts w:asciiTheme="minorHAnsi" w:eastAsiaTheme="minorEastAsia" w:hAnsiTheme="minorHAnsi"/>
          <w:noProof/>
          <w:sz w:val="24"/>
          <w:szCs w:val="24"/>
        </w:rPr>
      </w:pPr>
      <w:hyperlink w:anchor="_Toc50392505" w:history="1">
        <w:r w:rsidR="008E1C57" w:rsidRPr="0027272F">
          <w:rPr>
            <w:rStyle w:val="Hyperlink"/>
            <w:noProof/>
          </w:rPr>
          <w:t>Table 4. Retained catch biomass in the directed Tanner crab (TCF), snow crab (SCF), and BBRKC (RKF) fisheries since 2005. The directed fishery was completely closed from 2010/11 to 2012/13, as well as in 2016/17 and 2019/20. Legal-sized Tanner crab can be incidentally-retained in the snow crab and BBRKC fisheries up to a cap of 5% the target catch.</w:t>
        </w:r>
        <w:r w:rsidR="008E1C57">
          <w:rPr>
            <w:noProof/>
            <w:webHidden/>
          </w:rPr>
          <w:tab/>
        </w:r>
        <w:r w:rsidR="008E1C57">
          <w:rPr>
            <w:noProof/>
            <w:webHidden/>
          </w:rPr>
          <w:fldChar w:fldCharType="begin"/>
        </w:r>
        <w:r w:rsidR="008E1C57">
          <w:rPr>
            <w:noProof/>
            <w:webHidden/>
          </w:rPr>
          <w:instrText xml:space="preserve"> PAGEREF _Toc50392505 \h </w:instrText>
        </w:r>
        <w:r w:rsidR="008E1C57">
          <w:rPr>
            <w:noProof/>
            <w:webHidden/>
          </w:rPr>
        </w:r>
        <w:r w:rsidR="008E1C57">
          <w:rPr>
            <w:noProof/>
            <w:webHidden/>
          </w:rPr>
          <w:fldChar w:fldCharType="separate"/>
        </w:r>
        <w:r w:rsidR="008E1C57">
          <w:rPr>
            <w:noProof/>
            <w:webHidden/>
          </w:rPr>
          <w:t>58</w:t>
        </w:r>
        <w:r w:rsidR="008E1C57">
          <w:rPr>
            <w:noProof/>
            <w:webHidden/>
          </w:rPr>
          <w:fldChar w:fldCharType="end"/>
        </w:r>
      </w:hyperlink>
    </w:p>
    <w:p w14:paraId="769A5B2E" w14:textId="057B3B3F" w:rsidR="008E1C57" w:rsidRDefault="000F0FEE">
      <w:pPr>
        <w:pStyle w:val="TableofFigures"/>
        <w:tabs>
          <w:tab w:val="right" w:leader="dot" w:pos="9350"/>
        </w:tabs>
        <w:rPr>
          <w:rFonts w:asciiTheme="minorHAnsi" w:eastAsiaTheme="minorEastAsia" w:hAnsiTheme="minorHAnsi"/>
          <w:noProof/>
          <w:sz w:val="24"/>
          <w:szCs w:val="24"/>
        </w:rPr>
      </w:pPr>
      <w:hyperlink w:anchor="_Toc50392506" w:history="1">
        <w:r w:rsidR="008E1C57" w:rsidRPr="0027272F">
          <w:rPr>
            <w:rStyle w:val="Hyperlink"/>
            <w:noProof/>
          </w:rPr>
          <w:t>Table 5. Sample sizes for retained and total catch-at-size in the directed fishery. N = number of individuals. N’ = scaled sample size used in assessment.</w:t>
        </w:r>
        <w:r w:rsidR="008E1C57">
          <w:rPr>
            <w:noProof/>
            <w:webHidden/>
          </w:rPr>
          <w:tab/>
        </w:r>
        <w:r w:rsidR="008E1C57">
          <w:rPr>
            <w:noProof/>
            <w:webHidden/>
          </w:rPr>
          <w:fldChar w:fldCharType="begin"/>
        </w:r>
        <w:r w:rsidR="008E1C57">
          <w:rPr>
            <w:noProof/>
            <w:webHidden/>
          </w:rPr>
          <w:instrText xml:space="preserve"> PAGEREF _Toc50392506 \h </w:instrText>
        </w:r>
        <w:r w:rsidR="008E1C57">
          <w:rPr>
            <w:noProof/>
            <w:webHidden/>
          </w:rPr>
        </w:r>
        <w:r w:rsidR="008E1C57">
          <w:rPr>
            <w:noProof/>
            <w:webHidden/>
          </w:rPr>
          <w:fldChar w:fldCharType="separate"/>
        </w:r>
        <w:r w:rsidR="008E1C57">
          <w:rPr>
            <w:noProof/>
            <w:webHidden/>
          </w:rPr>
          <w:t>59</w:t>
        </w:r>
        <w:r w:rsidR="008E1C57">
          <w:rPr>
            <w:noProof/>
            <w:webHidden/>
          </w:rPr>
          <w:fldChar w:fldCharType="end"/>
        </w:r>
      </w:hyperlink>
    </w:p>
    <w:p w14:paraId="1AA8ECA6" w14:textId="407300A5" w:rsidR="008E1C57" w:rsidRDefault="000F0FEE">
      <w:pPr>
        <w:pStyle w:val="TableofFigures"/>
        <w:tabs>
          <w:tab w:val="right" w:leader="dot" w:pos="9350"/>
        </w:tabs>
        <w:rPr>
          <w:rFonts w:asciiTheme="minorHAnsi" w:eastAsiaTheme="minorEastAsia" w:hAnsiTheme="minorHAnsi"/>
          <w:noProof/>
          <w:sz w:val="24"/>
          <w:szCs w:val="24"/>
        </w:rPr>
      </w:pPr>
      <w:hyperlink w:anchor="_Toc50392507" w:history="1">
        <w:r w:rsidR="008E1C57" w:rsidRPr="0027272F">
          <w:rPr>
            <w:rStyle w:val="Hyperlink"/>
            <w:noProof/>
          </w:rPr>
          <w:t>Table 6. Sample sizes for total bycatch-at-size in the snow crab and Bristol Bay red king crab (BBRKC) fisheries, from crab observer sampling. N = number of individuals. N` = scaled sample size used in assessment.</w:t>
        </w:r>
        <w:r w:rsidR="008E1C57">
          <w:rPr>
            <w:noProof/>
            <w:webHidden/>
          </w:rPr>
          <w:tab/>
        </w:r>
        <w:r w:rsidR="008E1C57">
          <w:rPr>
            <w:noProof/>
            <w:webHidden/>
          </w:rPr>
          <w:fldChar w:fldCharType="begin"/>
        </w:r>
        <w:r w:rsidR="008E1C57">
          <w:rPr>
            <w:noProof/>
            <w:webHidden/>
          </w:rPr>
          <w:instrText xml:space="preserve"> PAGEREF _Toc50392507 \h </w:instrText>
        </w:r>
        <w:r w:rsidR="008E1C57">
          <w:rPr>
            <w:noProof/>
            <w:webHidden/>
          </w:rPr>
        </w:r>
        <w:r w:rsidR="008E1C57">
          <w:rPr>
            <w:noProof/>
            <w:webHidden/>
          </w:rPr>
          <w:fldChar w:fldCharType="separate"/>
        </w:r>
        <w:r w:rsidR="008E1C57">
          <w:rPr>
            <w:noProof/>
            <w:webHidden/>
          </w:rPr>
          <w:t>60</w:t>
        </w:r>
        <w:r w:rsidR="008E1C57">
          <w:rPr>
            <w:noProof/>
            <w:webHidden/>
          </w:rPr>
          <w:fldChar w:fldCharType="end"/>
        </w:r>
      </w:hyperlink>
    </w:p>
    <w:p w14:paraId="5D8B565F" w14:textId="2B70DB27" w:rsidR="008E1C57" w:rsidRDefault="000F0FEE">
      <w:pPr>
        <w:pStyle w:val="TableofFigures"/>
        <w:tabs>
          <w:tab w:val="right" w:leader="dot" w:pos="9350"/>
        </w:tabs>
        <w:rPr>
          <w:rFonts w:asciiTheme="minorHAnsi" w:eastAsiaTheme="minorEastAsia" w:hAnsiTheme="minorHAnsi"/>
          <w:noProof/>
          <w:sz w:val="24"/>
          <w:szCs w:val="24"/>
        </w:rPr>
      </w:pPr>
      <w:hyperlink w:anchor="_Toc50392508" w:history="1">
        <w:r w:rsidR="008E1C57" w:rsidRPr="0027272F">
          <w:rPr>
            <w:rStyle w:val="Hyperlink"/>
            <w:noProof/>
          </w:rPr>
          <w:t>Table 7. Sample sizes for total catch-at-size in the groundfish fisheries, from groundfish observer sampling. N = number of individuals. N` = scaled sample size used in the assessment.</w:t>
        </w:r>
        <w:r w:rsidR="008E1C57">
          <w:rPr>
            <w:noProof/>
            <w:webHidden/>
          </w:rPr>
          <w:tab/>
        </w:r>
        <w:r w:rsidR="008E1C57">
          <w:rPr>
            <w:noProof/>
            <w:webHidden/>
          </w:rPr>
          <w:fldChar w:fldCharType="begin"/>
        </w:r>
        <w:r w:rsidR="008E1C57">
          <w:rPr>
            <w:noProof/>
            <w:webHidden/>
          </w:rPr>
          <w:instrText xml:space="preserve"> PAGEREF _Toc50392508 \h </w:instrText>
        </w:r>
        <w:r w:rsidR="008E1C57">
          <w:rPr>
            <w:noProof/>
            <w:webHidden/>
          </w:rPr>
        </w:r>
        <w:r w:rsidR="008E1C57">
          <w:rPr>
            <w:noProof/>
            <w:webHidden/>
          </w:rPr>
          <w:fldChar w:fldCharType="separate"/>
        </w:r>
        <w:r w:rsidR="008E1C57">
          <w:rPr>
            <w:noProof/>
            <w:webHidden/>
          </w:rPr>
          <w:t>61</w:t>
        </w:r>
        <w:r w:rsidR="008E1C57">
          <w:rPr>
            <w:noProof/>
            <w:webHidden/>
          </w:rPr>
          <w:fldChar w:fldCharType="end"/>
        </w:r>
      </w:hyperlink>
    </w:p>
    <w:p w14:paraId="457D71F3" w14:textId="726DB0F4" w:rsidR="008E1C57" w:rsidRDefault="000F0FEE">
      <w:pPr>
        <w:pStyle w:val="TableofFigures"/>
        <w:tabs>
          <w:tab w:val="right" w:leader="dot" w:pos="9350"/>
        </w:tabs>
        <w:rPr>
          <w:rFonts w:asciiTheme="minorHAnsi" w:eastAsiaTheme="minorEastAsia" w:hAnsiTheme="minorHAnsi"/>
          <w:noProof/>
          <w:sz w:val="24"/>
          <w:szCs w:val="24"/>
        </w:rPr>
      </w:pPr>
      <w:hyperlink w:anchor="_Toc50392509" w:history="1">
        <w:r w:rsidR="008E1C57" w:rsidRPr="0027272F">
          <w:rPr>
            <w:rStyle w:val="Hyperlink"/>
            <w:noProof/>
          </w:rPr>
          <w:t>Table 8. Trends in Tanner crab biomass (metric tons) in the NMFS EBS summer bottom trawl survey, by sex and area.</w:t>
        </w:r>
        <w:r w:rsidR="008E1C57">
          <w:rPr>
            <w:noProof/>
            <w:webHidden/>
          </w:rPr>
          <w:tab/>
        </w:r>
        <w:r w:rsidR="008E1C57">
          <w:rPr>
            <w:noProof/>
            <w:webHidden/>
          </w:rPr>
          <w:fldChar w:fldCharType="begin"/>
        </w:r>
        <w:r w:rsidR="008E1C57">
          <w:rPr>
            <w:noProof/>
            <w:webHidden/>
          </w:rPr>
          <w:instrText xml:space="preserve"> PAGEREF _Toc50392509 \h </w:instrText>
        </w:r>
        <w:r w:rsidR="008E1C57">
          <w:rPr>
            <w:noProof/>
            <w:webHidden/>
          </w:rPr>
        </w:r>
        <w:r w:rsidR="008E1C57">
          <w:rPr>
            <w:noProof/>
            <w:webHidden/>
          </w:rPr>
          <w:fldChar w:fldCharType="separate"/>
        </w:r>
        <w:r w:rsidR="008E1C57">
          <w:rPr>
            <w:noProof/>
            <w:webHidden/>
          </w:rPr>
          <w:t>62</w:t>
        </w:r>
        <w:r w:rsidR="008E1C57">
          <w:rPr>
            <w:noProof/>
            <w:webHidden/>
          </w:rPr>
          <w:fldChar w:fldCharType="end"/>
        </w:r>
      </w:hyperlink>
    </w:p>
    <w:p w14:paraId="78893F48" w14:textId="76481B60" w:rsidR="008E1C57" w:rsidRDefault="000F0FEE">
      <w:pPr>
        <w:pStyle w:val="TableofFigures"/>
        <w:tabs>
          <w:tab w:val="right" w:leader="dot" w:pos="9350"/>
        </w:tabs>
        <w:rPr>
          <w:rFonts w:asciiTheme="minorHAnsi" w:eastAsiaTheme="minorEastAsia" w:hAnsiTheme="minorHAnsi"/>
          <w:noProof/>
          <w:sz w:val="24"/>
          <w:szCs w:val="24"/>
        </w:rPr>
      </w:pPr>
      <w:hyperlink w:anchor="_Toc50392510" w:history="1">
        <w:r w:rsidR="008E1C57" w:rsidRPr="0027272F">
          <w:rPr>
            <w:rStyle w:val="Hyperlink"/>
            <w:noProof/>
          </w:rPr>
          <w:t>Table 9. Trends in biomass for preferred-size (&gt; 125 mm CW) male Tanner crab in the NMFS EBS summer bottom trawl survey (in metric tons).</w:t>
        </w:r>
        <w:r w:rsidR="008E1C57">
          <w:rPr>
            <w:noProof/>
            <w:webHidden/>
          </w:rPr>
          <w:tab/>
        </w:r>
        <w:r w:rsidR="008E1C57">
          <w:rPr>
            <w:noProof/>
            <w:webHidden/>
          </w:rPr>
          <w:fldChar w:fldCharType="begin"/>
        </w:r>
        <w:r w:rsidR="008E1C57">
          <w:rPr>
            <w:noProof/>
            <w:webHidden/>
          </w:rPr>
          <w:instrText xml:space="preserve"> PAGEREF _Toc50392510 \h </w:instrText>
        </w:r>
        <w:r w:rsidR="008E1C57">
          <w:rPr>
            <w:noProof/>
            <w:webHidden/>
          </w:rPr>
        </w:r>
        <w:r w:rsidR="008E1C57">
          <w:rPr>
            <w:noProof/>
            <w:webHidden/>
          </w:rPr>
          <w:fldChar w:fldCharType="separate"/>
        </w:r>
        <w:r w:rsidR="008E1C57">
          <w:rPr>
            <w:noProof/>
            <w:webHidden/>
          </w:rPr>
          <w:t>64</w:t>
        </w:r>
        <w:r w:rsidR="008E1C57">
          <w:rPr>
            <w:noProof/>
            <w:webHidden/>
          </w:rPr>
          <w:fldChar w:fldCharType="end"/>
        </w:r>
      </w:hyperlink>
    </w:p>
    <w:p w14:paraId="444D9C5A" w14:textId="5E29C0D7" w:rsidR="008E1C57" w:rsidRDefault="000F0FEE">
      <w:pPr>
        <w:pStyle w:val="TableofFigures"/>
        <w:tabs>
          <w:tab w:val="right" w:leader="dot" w:pos="9350"/>
        </w:tabs>
        <w:rPr>
          <w:rFonts w:asciiTheme="minorHAnsi" w:eastAsiaTheme="minorEastAsia" w:hAnsiTheme="minorHAnsi"/>
          <w:noProof/>
          <w:sz w:val="24"/>
          <w:szCs w:val="24"/>
        </w:rPr>
      </w:pPr>
      <w:hyperlink w:anchor="_Toc50392511" w:history="1">
        <w:r w:rsidR="008E1C57" w:rsidRPr="0027272F">
          <w:rPr>
            <w:rStyle w:val="Hyperlink"/>
            <w:noProof/>
          </w:rPr>
          <w:t>Table 10. Sample sizes for NMFS survey size composition data. In the assessment model, an input sample size of 200 is used for all survey-related compositional data.</w:t>
        </w:r>
        <w:r w:rsidR="008E1C57">
          <w:rPr>
            <w:noProof/>
            <w:webHidden/>
          </w:rPr>
          <w:tab/>
        </w:r>
        <w:r w:rsidR="008E1C57">
          <w:rPr>
            <w:noProof/>
            <w:webHidden/>
          </w:rPr>
          <w:fldChar w:fldCharType="begin"/>
        </w:r>
        <w:r w:rsidR="008E1C57">
          <w:rPr>
            <w:noProof/>
            <w:webHidden/>
          </w:rPr>
          <w:instrText xml:space="preserve"> PAGEREF _Toc50392511 \h </w:instrText>
        </w:r>
        <w:r w:rsidR="008E1C57">
          <w:rPr>
            <w:noProof/>
            <w:webHidden/>
          </w:rPr>
        </w:r>
        <w:r w:rsidR="008E1C57">
          <w:rPr>
            <w:noProof/>
            <w:webHidden/>
          </w:rPr>
          <w:fldChar w:fldCharType="separate"/>
        </w:r>
        <w:r w:rsidR="008E1C57">
          <w:rPr>
            <w:noProof/>
            <w:webHidden/>
          </w:rPr>
          <w:t>66</w:t>
        </w:r>
        <w:r w:rsidR="008E1C57">
          <w:rPr>
            <w:noProof/>
            <w:webHidden/>
          </w:rPr>
          <w:fldChar w:fldCharType="end"/>
        </w:r>
      </w:hyperlink>
    </w:p>
    <w:p w14:paraId="7073F173" w14:textId="51E9B171" w:rsidR="008E1C57" w:rsidRDefault="000F0FEE">
      <w:pPr>
        <w:pStyle w:val="TableofFigures"/>
        <w:tabs>
          <w:tab w:val="right" w:leader="dot" w:pos="9350"/>
        </w:tabs>
        <w:rPr>
          <w:rFonts w:asciiTheme="minorHAnsi" w:eastAsiaTheme="minorEastAsia" w:hAnsiTheme="minorHAnsi"/>
          <w:noProof/>
          <w:sz w:val="24"/>
          <w:szCs w:val="24"/>
        </w:rPr>
      </w:pPr>
      <w:hyperlink w:anchor="_Toc50392512" w:history="1">
        <w:r w:rsidR="008E1C57" w:rsidRPr="0027272F">
          <w:rPr>
            <w:rStyle w:val="Hyperlink"/>
            <w:noProof/>
          </w:rPr>
          <w:t>Table 11. Effort data (potlifts) in the crab fisheries, by area. TCF: directed Tanner crab fishery; SCF: snow crab fishery; RKF: Bristol Bay red king crab fishery. Hyphens indicate years with no effort.</w:t>
        </w:r>
        <w:r w:rsidR="008E1C57">
          <w:rPr>
            <w:noProof/>
            <w:webHidden/>
          </w:rPr>
          <w:tab/>
        </w:r>
        <w:r w:rsidR="008E1C57">
          <w:rPr>
            <w:noProof/>
            <w:webHidden/>
          </w:rPr>
          <w:fldChar w:fldCharType="begin"/>
        </w:r>
        <w:r w:rsidR="008E1C57">
          <w:rPr>
            <w:noProof/>
            <w:webHidden/>
          </w:rPr>
          <w:instrText xml:space="preserve"> PAGEREF _Toc50392512 \h </w:instrText>
        </w:r>
        <w:r w:rsidR="008E1C57">
          <w:rPr>
            <w:noProof/>
            <w:webHidden/>
          </w:rPr>
        </w:r>
        <w:r w:rsidR="008E1C57">
          <w:rPr>
            <w:noProof/>
            <w:webHidden/>
          </w:rPr>
          <w:fldChar w:fldCharType="separate"/>
        </w:r>
        <w:r w:rsidR="008E1C57">
          <w:rPr>
            <w:noProof/>
            <w:webHidden/>
          </w:rPr>
          <w:t>68</w:t>
        </w:r>
        <w:r w:rsidR="008E1C57">
          <w:rPr>
            <w:noProof/>
            <w:webHidden/>
          </w:rPr>
          <w:fldChar w:fldCharType="end"/>
        </w:r>
      </w:hyperlink>
    </w:p>
    <w:p w14:paraId="2B02B0EE" w14:textId="51D8F192" w:rsidR="008E1C57" w:rsidRDefault="000F0FEE">
      <w:pPr>
        <w:pStyle w:val="TableofFigures"/>
        <w:tabs>
          <w:tab w:val="right" w:leader="dot" w:pos="9350"/>
        </w:tabs>
        <w:rPr>
          <w:rFonts w:asciiTheme="minorHAnsi" w:eastAsiaTheme="minorEastAsia" w:hAnsiTheme="minorHAnsi"/>
          <w:noProof/>
          <w:sz w:val="24"/>
          <w:szCs w:val="24"/>
        </w:rPr>
      </w:pPr>
      <w:hyperlink w:anchor="_Toc50392513" w:history="1">
        <w:r w:rsidR="008E1C57" w:rsidRPr="0027272F">
          <w:rPr>
            <w:rStyle w:val="Hyperlink"/>
            <w:noProof/>
          </w:rPr>
          <w:t>Table 12.Parameters from all model scenarios that were estimated within 1% of bounds. TCF: Tanner crab fishery, SCF: snow crab fishery; RKF: BBRCK fishery; GF: groundfish fisheries. z50: size at 50% selected; z95: size at 95% selected.</w:t>
        </w:r>
        <w:r w:rsidR="008E1C57">
          <w:rPr>
            <w:noProof/>
            <w:webHidden/>
          </w:rPr>
          <w:tab/>
        </w:r>
        <w:r w:rsidR="008E1C57">
          <w:rPr>
            <w:noProof/>
            <w:webHidden/>
          </w:rPr>
          <w:fldChar w:fldCharType="begin"/>
        </w:r>
        <w:r w:rsidR="008E1C57">
          <w:rPr>
            <w:noProof/>
            <w:webHidden/>
          </w:rPr>
          <w:instrText xml:space="preserve"> PAGEREF _Toc50392513 \h </w:instrText>
        </w:r>
        <w:r w:rsidR="008E1C57">
          <w:rPr>
            <w:noProof/>
            <w:webHidden/>
          </w:rPr>
        </w:r>
        <w:r w:rsidR="008E1C57">
          <w:rPr>
            <w:noProof/>
            <w:webHidden/>
          </w:rPr>
          <w:fldChar w:fldCharType="separate"/>
        </w:r>
        <w:r w:rsidR="008E1C57">
          <w:rPr>
            <w:noProof/>
            <w:webHidden/>
          </w:rPr>
          <w:t>70</w:t>
        </w:r>
        <w:r w:rsidR="008E1C57">
          <w:rPr>
            <w:noProof/>
            <w:webHidden/>
          </w:rPr>
          <w:fldChar w:fldCharType="end"/>
        </w:r>
      </w:hyperlink>
    </w:p>
    <w:p w14:paraId="214A6085" w14:textId="44F90461" w:rsidR="008E1C57" w:rsidRDefault="000F0FEE">
      <w:pPr>
        <w:pStyle w:val="TableofFigures"/>
        <w:tabs>
          <w:tab w:val="right" w:leader="dot" w:pos="9350"/>
        </w:tabs>
        <w:rPr>
          <w:rFonts w:asciiTheme="minorHAnsi" w:eastAsiaTheme="minorEastAsia" w:hAnsiTheme="minorHAnsi"/>
          <w:noProof/>
          <w:sz w:val="24"/>
          <w:szCs w:val="24"/>
        </w:rPr>
      </w:pPr>
      <w:hyperlink w:anchor="_Toc50392514" w:history="1">
        <w:r w:rsidR="008E1C57" w:rsidRPr="0027272F">
          <w:rPr>
            <w:rStyle w:val="Hyperlink"/>
            <w:noProof/>
          </w:rPr>
          <w:t>Table 13. All non-vector parameters. Parameters with phase &gt; 0 are MLEs; otherwise, the values were fixed outside the model. Highlights indicate poorly-estimated parameters (large standard errors or estimates at bounds).</w:t>
        </w:r>
        <w:r w:rsidR="008E1C57">
          <w:rPr>
            <w:noProof/>
            <w:webHidden/>
          </w:rPr>
          <w:tab/>
        </w:r>
        <w:r w:rsidR="008E1C57">
          <w:rPr>
            <w:noProof/>
            <w:webHidden/>
          </w:rPr>
          <w:fldChar w:fldCharType="begin"/>
        </w:r>
        <w:r w:rsidR="008E1C57">
          <w:rPr>
            <w:noProof/>
            <w:webHidden/>
          </w:rPr>
          <w:instrText xml:space="preserve"> PAGEREF _Toc50392514 \h </w:instrText>
        </w:r>
        <w:r w:rsidR="008E1C57">
          <w:rPr>
            <w:noProof/>
            <w:webHidden/>
          </w:rPr>
        </w:r>
        <w:r w:rsidR="008E1C57">
          <w:rPr>
            <w:noProof/>
            <w:webHidden/>
          </w:rPr>
          <w:fldChar w:fldCharType="separate"/>
        </w:r>
        <w:r w:rsidR="008E1C57">
          <w:rPr>
            <w:noProof/>
            <w:webHidden/>
          </w:rPr>
          <w:t>71</w:t>
        </w:r>
        <w:r w:rsidR="008E1C57">
          <w:rPr>
            <w:noProof/>
            <w:webHidden/>
          </w:rPr>
          <w:fldChar w:fldCharType="end"/>
        </w:r>
      </w:hyperlink>
    </w:p>
    <w:p w14:paraId="3D65A1C9" w14:textId="2347C02E" w:rsidR="008E1C57" w:rsidRDefault="000F0FEE">
      <w:pPr>
        <w:pStyle w:val="TableofFigures"/>
        <w:tabs>
          <w:tab w:val="right" w:leader="dot" w:pos="9350"/>
        </w:tabs>
        <w:rPr>
          <w:rFonts w:asciiTheme="minorHAnsi" w:eastAsiaTheme="minorEastAsia" w:hAnsiTheme="minorHAnsi"/>
          <w:noProof/>
          <w:sz w:val="24"/>
          <w:szCs w:val="24"/>
        </w:rPr>
      </w:pPr>
      <w:hyperlink w:anchor="_Toc50392515" w:history="1">
        <w:r w:rsidR="008E1C57" w:rsidRPr="0027272F">
          <w:rPr>
            <w:rStyle w:val="Hyperlink"/>
            <w:noProof/>
          </w:rPr>
          <w:t>Table 13 (cont.). All non-vector parameters. Parameters with phase &gt; 0 are MLEs; otherwise, the values were fixed outside the model. Highlights indicate poorly-estimated parameters (large standard errors or estimates at bounds).</w:t>
        </w:r>
        <w:r w:rsidR="008E1C57">
          <w:rPr>
            <w:noProof/>
            <w:webHidden/>
          </w:rPr>
          <w:tab/>
        </w:r>
        <w:r w:rsidR="008E1C57">
          <w:rPr>
            <w:noProof/>
            <w:webHidden/>
          </w:rPr>
          <w:fldChar w:fldCharType="begin"/>
        </w:r>
        <w:r w:rsidR="008E1C57">
          <w:rPr>
            <w:noProof/>
            <w:webHidden/>
          </w:rPr>
          <w:instrText xml:space="preserve"> PAGEREF _Toc50392515 \h </w:instrText>
        </w:r>
        <w:r w:rsidR="008E1C57">
          <w:rPr>
            <w:noProof/>
            <w:webHidden/>
          </w:rPr>
        </w:r>
        <w:r w:rsidR="008E1C57">
          <w:rPr>
            <w:noProof/>
            <w:webHidden/>
          </w:rPr>
          <w:fldChar w:fldCharType="separate"/>
        </w:r>
        <w:r w:rsidR="008E1C57">
          <w:rPr>
            <w:noProof/>
            <w:webHidden/>
          </w:rPr>
          <w:t>72</w:t>
        </w:r>
        <w:r w:rsidR="008E1C57">
          <w:rPr>
            <w:noProof/>
            <w:webHidden/>
          </w:rPr>
          <w:fldChar w:fldCharType="end"/>
        </w:r>
      </w:hyperlink>
    </w:p>
    <w:p w14:paraId="7EFC8331" w14:textId="578665DE" w:rsidR="008E1C57" w:rsidRDefault="000F0FEE">
      <w:pPr>
        <w:pStyle w:val="TableofFigures"/>
        <w:tabs>
          <w:tab w:val="right" w:leader="dot" w:pos="9350"/>
        </w:tabs>
        <w:rPr>
          <w:rFonts w:asciiTheme="minorHAnsi" w:eastAsiaTheme="minorEastAsia" w:hAnsiTheme="minorHAnsi"/>
          <w:noProof/>
          <w:sz w:val="24"/>
          <w:szCs w:val="24"/>
        </w:rPr>
      </w:pPr>
      <w:hyperlink w:anchor="_Toc50392516" w:history="1">
        <w:r w:rsidR="008E1C57" w:rsidRPr="0027272F">
          <w:rPr>
            <w:rStyle w:val="Hyperlink"/>
            <w:noProof/>
          </w:rPr>
          <w:t>Table 13 (cont.). All non-vector parameters. Parameters with phase &gt; 0 are MLEs; otherwise, the values were fixed outside the model. Highlights indicate poorly-estimated parameters (large standard errors or estimates at bounds).</w:t>
        </w:r>
        <w:r w:rsidR="008E1C57">
          <w:rPr>
            <w:noProof/>
            <w:webHidden/>
          </w:rPr>
          <w:tab/>
        </w:r>
        <w:r w:rsidR="008E1C57">
          <w:rPr>
            <w:noProof/>
            <w:webHidden/>
          </w:rPr>
          <w:fldChar w:fldCharType="begin"/>
        </w:r>
        <w:r w:rsidR="008E1C57">
          <w:rPr>
            <w:noProof/>
            <w:webHidden/>
          </w:rPr>
          <w:instrText xml:space="preserve"> PAGEREF _Toc50392516 \h </w:instrText>
        </w:r>
        <w:r w:rsidR="008E1C57">
          <w:rPr>
            <w:noProof/>
            <w:webHidden/>
          </w:rPr>
        </w:r>
        <w:r w:rsidR="008E1C57">
          <w:rPr>
            <w:noProof/>
            <w:webHidden/>
          </w:rPr>
          <w:fldChar w:fldCharType="separate"/>
        </w:r>
        <w:r w:rsidR="008E1C57">
          <w:rPr>
            <w:noProof/>
            <w:webHidden/>
          </w:rPr>
          <w:t>73</w:t>
        </w:r>
        <w:r w:rsidR="008E1C57">
          <w:rPr>
            <w:noProof/>
            <w:webHidden/>
          </w:rPr>
          <w:fldChar w:fldCharType="end"/>
        </w:r>
      </w:hyperlink>
    </w:p>
    <w:p w14:paraId="3841F393" w14:textId="327B4B87" w:rsidR="008E1C57" w:rsidRDefault="000F0FEE">
      <w:pPr>
        <w:pStyle w:val="TableofFigures"/>
        <w:tabs>
          <w:tab w:val="right" w:leader="dot" w:pos="9350"/>
        </w:tabs>
        <w:rPr>
          <w:rFonts w:asciiTheme="minorHAnsi" w:eastAsiaTheme="minorEastAsia" w:hAnsiTheme="minorHAnsi"/>
          <w:noProof/>
          <w:sz w:val="24"/>
          <w:szCs w:val="24"/>
        </w:rPr>
      </w:pPr>
      <w:hyperlink w:anchor="_Toc50392517" w:history="1">
        <w:r w:rsidR="008E1C57" w:rsidRPr="0027272F">
          <w:rPr>
            <w:rStyle w:val="Hyperlink"/>
            <w:noProof/>
          </w:rPr>
          <w:t>Table 14. Historical recruitment devs estimates (1949-1974) for all model scenarios.</w:t>
        </w:r>
        <w:r w:rsidR="008E1C57">
          <w:rPr>
            <w:noProof/>
            <w:webHidden/>
          </w:rPr>
          <w:tab/>
        </w:r>
        <w:r w:rsidR="008E1C57">
          <w:rPr>
            <w:noProof/>
            <w:webHidden/>
          </w:rPr>
          <w:fldChar w:fldCharType="begin"/>
        </w:r>
        <w:r w:rsidR="008E1C57">
          <w:rPr>
            <w:noProof/>
            <w:webHidden/>
          </w:rPr>
          <w:instrText xml:space="preserve"> PAGEREF _Toc50392517 \h </w:instrText>
        </w:r>
        <w:r w:rsidR="008E1C57">
          <w:rPr>
            <w:noProof/>
            <w:webHidden/>
          </w:rPr>
        </w:r>
        <w:r w:rsidR="008E1C57">
          <w:rPr>
            <w:noProof/>
            <w:webHidden/>
          </w:rPr>
          <w:fldChar w:fldCharType="separate"/>
        </w:r>
        <w:r w:rsidR="008E1C57">
          <w:rPr>
            <w:noProof/>
            <w:webHidden/>
          </w:rPr>
          <w:t>74</w:t>
        </w:r>
        <w:r w:rsidR="008E1C57">
          <w:rPr>
            <w:noProof/>
            <w:webHidden/>
          </w:rPr>
          <w:fldChar w:fldCharType="end"/>
        </w:r>
      </w:hyperlink>
    </w:p>
    <w:p w14:paraId="552A2325" w14:textId="0347ACC4" w:rsidR="008E1C57" w:rsidRDefault="000F0FEE">
      <w:pPr>
        <w:pStyle w:val="TableofFigures"/>
        <w:tabs>
          <w:tab w:val="right" w:leader="dot" w:pos="9350"/>
        </w:tabs>
        <w:rPr>
          <w:rFonts w:asciiTheme="minorHAnsi" w:eastAsiaTheme="minorEastAsia" w:hAnsiTheme="minorHAnsi"/>
          <w:noProof/>
          <w:sz w:val="24"/>
          <w:szCs w:val="24"/>
        </w:rPr>
      </w:pPr>
      <w:hyperlink w:anchor="_Toc50392518" w:history="1">
        <w:r w:rsidR="008E1C57" w:rsidRPr="0027272F">
          <w:rPr>
            <w:rStyle w:val="Hyperlink"/>
            <w:noProof/>
          </w:rPr>
          <w:t>Table 15. Current recruitment devs estimates (1975-2020) for all model scenarios. Note the large uncertainties in the last row (devs for recruits entering the population on July 1, 2020).</w:t>
        </w:r>
        <w:r w:rsidR="008E1C57">
          <w:rPr>
            <w:noProof/>
            <w:webHidden/>
          </w:rPr>
          <w:tab/>
        </w:r>
        <w:r w:rsidR="008E1C57">
          <w:rPr>
            <w:noProof/>
            <w:webHidden/>
          </w:rPr>
          <w:fldChar w:fldCharType="begin"/>
        </w:r>
        <w:r w:rsidR="008E1C57">
          <w:rPr>
            <w:noProof/>
            <w:webHidden/>
          </w:rPr>
          <w:instrText xml:space="preserve"> PAGEREF _Toc50392518 \h </w:instrText>
        </w:r>
        <w:r w:rsidR="008E1C57">
          <w:rPr>
            <w:noProof/>
            <w:webHidden/>
          </w:rPr>
        </w:r>
        <w:r w:rsidR="008E1C57">
          <w:rPr>
            <w:noProof/>
            <w:webHidden/>
          </w:rPr>
          <w:fldChar w:fldCharType="separate"/>
        </w:r>
        <w:r w:rsidR="008E1C57">
          <w:rPr>
            <w:noProof/>
            <w:webHidden/>
          </w:rPr>
          <w:t>75</w:t>
        </w:r>
        <w:r w:rsidR="008E1C57">
          <w:rPr>
            <w:noProof/>
            <w:webHidden/>
          </w:rPr>
          <w:fldChar w:fldCharType="end"/>
        </w:r>
      </w:hyperlink>
    </w:p>
    <w:p w14:paraId="4C932CFD" w14:textId="176763EF" w:rsidR="008E1C57" w:rsidRDefault="000F0FEE">
      <w:pPr>
        <w:pStyle w:val="TableofFigures"/>
        <w:tabs>
          <w:tab w:val="right" w:leader="dot" w:pos="9350"/>
        </w:tabs>
        <w:rPr>
          <w:rFonts w:asciiTheme="minorHAnsi" w:eastAsiaTheme="minorEastAsia" w:hAnsiTheme="minorHAnsi"/>
          <w:noProof/>
          <w:sz w:val="24"/>
          <w:szCs w:val="24"/>
        </w:rPr>
      </w:pPr>
      <w:hyperlink w:anchor="_Toc50392519" w:history="1">
        <w:r w:rsidR="008E1C57" w:rsidRPr="0027272F">
          <w:rPr>
            <w:rStyle w:val="Hyperlink"/>
            <w:noProof/>
          </w:rPr>
          <w:t>Table 16. Logit-scale parameters for the probability of terminal molt for all model scenarios. The probability of terminal molt is 0 at sizes less than, and 1 at sizes greater than, the indicated range.</w:t>
        </w:r>
        <w:r w:rsidR="008E1C57">
          <w:rPr>
            <w:noProof/>
            <w:webHidden/>
          </w:rPr>
          <w:tab/>
        </w:r>
        <w:r w:rsidR="008E1C57">
          <w:rPr>
            <w:noProof/>
            <w:webHidden/>
          </w:rPr>
          <w:fldChar w:fldCharType="begin"/>
        </w:r>
        <w:r w:rsidR="008E1C57">
          <w:rPr>
            <w:noProof/>
            <w:webHidden/>
          </w:rPr>
          <w:instrText xml:space="preserve"> PAGEREF _Toc50392519 \h </w:instrText>
        </w:r>
        <w:r w:rsidR="008E1C57">
          <w:rPr>
            <w:noProof/>
            <w:webHidden/>
          </w:rPr>
        </w:r>
        <w:r w:rsidR="008E1C57">
          <w:rPr>
            <w:noProof/>
            <w:webHidden/>
          </w:rPr>
          <w:fldChar w:fldCharType="separate"/>
        </w:r>
        <w:r w:rsidR="008E1C57">
          <w:rPr>
            <w:noProof/>
            <w:webHidden/>
          </w:rPr>
          <w:t>76</w:t>
        </w:r>
        <w:r w:rsidR="008E1C57">
          <w:rPr>
            <w:noProof/>
            <w:webHidden/>
          </w:rPr>
          <w:fldChar w:fldCharType="end"/>
        </w:r>
      </w:hyperlink>
    </w:p>
    <w:p w14:paraId="4531CAFD" w14:textId="1521F142" w:rsidR="008E1C57" w:rsidRDefault="000F0FEE">
      <w:pPr>
        <w:pStyle w:val="TableofFigures"/>
        <w:tabs>
          <w:tab w:val="right" w:leader="dot" w:pos="9350"/>
        </w:tabs>
        <w:rPr>
          <w:rFonts w:asciiTheme="minorHAnsi" w:eastAsiaTheme="minorEastAsia" w:hAnsiTheme="minorHAnsi"/>
          <w:noProof/>
          <w:sz w:val="24"/>
          <w:szCs w:val="24"/>
        </w:rPr>
      </w:pPr>
      <w:hyperlink w:anchor="_Toc50392520" w:history="1">
        <w:r w:rsidR="008E1C57" w:rsidRPr="0027272F">
          <w:rPr>
            <w:rStyle w:val="Hyperlink"/>
            <w:noProof/>
          </w:rPr>
          <w:t>Table 17. Availability parameters used in Scenario 20.07 (all fixed).</w:t>
        </w:r>
        <w:r w:rsidR="008E1C57">
          <w:rPr>
            <w:noProof/>
            <w:webHidden/>
          </w:rPr>
          <w:tab/>
        </w:r>
        <w:r w:rsidR="008E1C57">
          <w:rPr>
            <w:noProof/>
            <w:webHidden/>
          </w:rPr>
          <w:fldChar w:fldCharType="begin"/>
        </w:r>
        <w:r w:rsidR="008E1C57">
          <w:rPr>
            <w:noProof/>
            <w:webHidden/>
          </w:rPr>
          <w:instrText xml:space="preserve"> PAGEREF _Toc50392520 \h </w:instrText>
        </w:r>
        <w:r w:rsidR="008E1C57">
          <w:rPr>
            <w:noProof/>
            <w:webHidden/>
          </w:rPr>
        </w:r>
        <w:r w:rsidR="008E1C57">
          <w:rPr>
            <w:noProof/>
            <w:webHidden/>
          </w:rPr>
          <w:fldChar w:fldCharType="separate"/>
        </w:r>
        <w:r w:rsidR="008E1C57">
          <w:rPr>
            <w:noProof/>
            <w:webHidden/>
          </w:rPr>
          <w:t>77</w:t>
        </w:r>
        <w:r w:rsidR="008E1C57">
          <w:rPr>
            <w:noProof/>
            <w:webHidden/>
          </w:rPr>
          <w:fldChar w:fldCharType="end"/>
        </w:r>
      </w:hyperlink>
    </w:p>
    <w:p w14:paraId="22452706" w14:textId="5CC2E18C" w:rsidR="008E1C57" w:rsidRDefault="000F0FEE">
      <w:pPr>
        <w:pStyle w:val="TableofFigures"/>
        <w:tabs>
          <w:tab w:val="right" w:leader="dot" w:pos="9350"/>
        </w:tabs>
        <w:rPr>
          <w:rFonts w:asciiTheme="minorHAnsi" w:eastAsiaTheme="minorEastAsia" w:hAnsiTheme="minorHAnsi"/>
          <w:noProof/>
          <w:sz w:val="24"/>
          <w:szCs w:val="24"/>
        </w:rPr>
      </w:pPr>
      <w:hyperlink w:anchor="_Toc50392521" w:history="1">
        <w:r w:rsidR="008E1C57" w:rsidRPr="0027272F">
          <w:rPr>
            <w:rStyle w:val="Hyperlink"/>
            <w:noProof/>
          </w:rPr>
          <w:t>Table 18. NMFS survey selectivity values used in Scenario 20.10. These were estimated outside the model.</w:t>
        </w:r>
        <w:r w:rsidR="008E1C57">
          <w:rPr>
            <w:noProof/>
            <w:webHidden/>
          </w:rPr>
          <w:tab/>
        </w:r>
        <w:r w:rsidR="008E1C57">
          <w:rPr>
            <w:noProof/>
            <w:webHidden/>
          </w:rPr>
          <w:fldChar w:fldCharType="begin"/>
        </w:r>
        <w:r w:rsidR="008E1C57">
          <w:rPr>
            <w:noProof/>
            <w:webHidden/>
          </w:rPr>
          <w:instrText xml:space="preserve"> PAGEREF _Toc50392521 \h </w:instrText>
        </w:r>
        <w:r w:rsidR="008E1C57">
          <w:rPr>
            <w:noProof/>
            <w:webHidden/>
          </w:rPr>
        </w:r>
        <w:r w:rsidR="008E1C57">
          <w:rPr>
            <w:noProof/>
            <w:webHidden/>
          </w:rPr>
          <w:fldChar w:fldCharType="separate"/>
        </w:r>
        <w:r w:rsidR="008E1C57">
          <w:rPr>
            <w:noProof/>
            <w:webHidden/>
          </w:rPr>
          <w:t>78</w:t>
        </w:r>
        <w:r w:rsidR="008E1C57">
          <w:rPr>
            <w:noProof/>
            <w:webHidden/>
          </w:rPr>
          <w:fldChar w:fldCharType="end"/>
        </w:r>
      </w:hyperlink>
    </w:p>
    <w:p w14:paraId="51F6E639" w14:textId="1FA49558" w:rsidR="008E1C57" w:rsidRDefault="000F0FEE">
      <w:pPr>
        <w:pStyle w:val="TableofFigures"/>
        <w:tabs>
          <w:tab w:val="right" w:leader="dot" w:pos="9350"/>
        </w:tabs>
        <w:rPr>
          <w:rFonts w:asciiTheme="minorHAnsi" w:eastAsiaTheme="minorEastAsia" w:hAnsiTheme="minorHAnsi"/>
          <w:noProof/>
          <w:sz w:val="24"/>
          <w:szCs w:val="24"/>
        </w:rPr>
      </w:pPr>
      <w:hyperlink w:anchor="_Toc50392522" w:history="1">
        <w:r w:rsidR="008E1C57" w:rsidRPr="0027272F">
          <w:rPr>
            <w:rStyle w:val="Hyperlink"/>
            <w:noProof/>
          </w:rPr>
          <w:t>Table 19. Ln-scale devs for annual deviations, starting in 1991/92, in the ln-scale size at 50% selected in the directed fishery.</w:t>
        </w:r>
        <w:r w:rsidR="008E1C57">
          <w:rPr>
            <w:noProof/>
            <w:webHidden/>
          </w:rPr>
          <w:tab/>
        </w:r>
        <w:r w:rsidR="008E1C57">
          <w:rPr>
            <w:noProof/>
            <w:webHidden/>
          </w:rPr>
          <w:fldChar w:fldCharType="begin"/>
        </w:r>
        <w:r w:rsidR="008E1C57">
          <w:rPr>
            <w:noProof/>
            <w:webHidden/>
          </w:rPr>
          <w:instrText xml:space="preserve"> PAGEREF _Toc50392522 \h </w:instrText>
        </w:r>
        <w:r w:rsidR="008E1C57">
          <w:rPr>
            <w:noProof/>
            <w:webHidden/>
          </w:rPr>
        </w:r>
        <w:r w:rsidR="008E1C57">
          <w:rPr>
            <w:noProof/>
            <w:webHidden/>
          </w:rPr>
          <w:fldChar w:fldCharType="separate"/>
        </w:r>
        <w:r w:rsidR="008E1C57">
          <w:rPr>
            <w:noProof/>
            <w:webHidden/>
          </w:rPr>
          <w:t>79</w:t>
        </w:r>
        <w:r w:rsidR="008E1C57">
          <w:rPr>
            <w:noProof/>
            <w:webHidden/>
          </w:rPr>
          <w:fldChar w:fldCharType="end"/>
        </w:r>
      </w:hyperlink>
    </w:p>
    <w:p w14:paraId="07EAF8C5" w14:textId="296CEEEB" w:rsidR="008E1C57" w:rsidRDefault="000F0FEE">
      <w:pPr>
        <w:pStyle w:val="TableofFigures"/>
        <w:tabs>
          <w:tab w:val="right" w:leader="dot" w:pos="9350"/>
        </w:tabs>
        <w:rPr>
          <w:rFonts w:asciiTheme="minorHAnsi" w:eastAsiaTheme="minorEastAsia" w:hAnsiTheme="minorHAnsi"/>
          <w:noProof/>
          <w:sz w:val="24"/>
          <w:szCs w:val="24"/>
        </w:rPr>
      </w:pPr>
      <w:hyperlink w:anchor="_Toc50392523" w:history="1">
        <w:r w:rsidR="008E1C57" w:rsidRPr="0027272F">
          <w:rPr>
            <w:rStyle w:val="Hyperlink"/>
            <w:noProof/>
          </w:rPr>
          <w:t>Table 20. Annual (1965+) ln-scale capture rate devs estimated for males taken in the directed fishery, for all model scenarios. Devs indexing skips years where the fishery was closed.</w:t>
        </w:r>
        <w:r w:rsidR="008E1C57">
          <w:rPr>
            <w:noProof/>
            <w:webHidden/>
          </w:rPr>
          <w:tab/>
        </w:r>
        <w:r w:rsidR="008E1C57">
          <w:rPr>
            <w:noProof/>
            <w:webHidden/>
          </w:rPr>
          <w:fldChar w:fldCharType="begin"/>
        </w:r>
        <w:r w:rsidR="008E1C57">
          <w:rPr>
            <w:noProof/>
            <w:webHidden/>
          </w:rPr>
          <w:instrText xml:space="preserve"> PAGEREF _Toc50392523 \h </w:instrText>
        </w:r>
        <w:r w:rsidR="008E1C57">
          <w:rPr>
            <w:noProof/>
            <w:webHidden/>
          </w:rPr>
        </w:r>
        <w:r w:rsidR="008E1C57">
          <w:rPr>
            <w:noProof/>
            <w:webHidden/>
          </w:rPr>
          <w:fldChar w:fldCharType="separate"/>
        </w:r>
        <w:r w:rsidR="008E1C57">
          <w:rPr>
            <w:noProof/>
            <w:webHidden/>
          </w:rPr>
          <w:t>80</w:t>
        </w:r>
        <w:r w:rsidR="008E1C57">
          <w:rPr>
            <w:noProof/>
            <w:webHidden/>
          </w:rPr>
          <w:fldChar w:fldCharType="end"/>
        </w:r>
      </w:hyperlink>
    </w:p>
    <w:p w14:paraId="5C564BCC" w14:textId="071761D6" w:rsidR="008E1C57" w:rsidRDefault="000F0FEE">
      <w:pPr>
        <w:pStyle w:val="TableofFigures"/>
        <w:tabs>
          <w:tab w:val="right" w:leader="dot" w:pos="9350"/>
        </w:tabs>
        <w:rPr>
          <w:rFonts w:asciiTheme="minorHAnsi" w:eastAsiaTheme="minorEastAsia" w:hAnsiTheme="minorHAnsi"/>
          <w:noProof/>
          <w:sz w:val="24"/>
          <w:szCs w:val="24"/>
        </w:rPr>
      </w:pPr>
      <w:hyperlink w:anchor="_Toc50392524" w:history="1">
        <w:r w:rsidR="008E1C57" w:rsidRPr="0027272F">
          <w:rPr>
            <w:rStyle w:val="Hyperlink"/>
            <w:noProof/>
          </w:rPr>
          <w:t>Table 21. Annual (1992+) ln-scale capture rate devs for males caught in the snow crab fishery, for all model scenarios.</w:t>
        </w:r>
        <w:r w:rsidR="008E1C57">
          <w:rPr>
            <w:noProof/>
            <w:webHidden/>
          </w:rPr>
          <w:tab/>
        </w:r>
        <w:r w:rsidR="008E1C57">
          <w:rPr>
            <w:noProof/>
            <w:webHidden/>
          </w:rPr>
          <w:fldChar w:fldCharType="begin"/>
        </w:r>
        <w:r w:rsidR="008E1C57">
          <w:rPr>
            <w:noProof/>
            <w:webHidden/>
          </w:rPr>
          <w:instrText xml:space="preserve"> PAGEREF _Toc50392524 \h </w:instrText>
        </w:r>
        <w:r w:rsidR="008E1C57">
          <w:rPr>
            <w:noProof/>
            <w:webHidden/>
          </w:rPr>
        </w:r>
        <w:r w:rsidR="008E1C57">
          <w:rPr>
            <w:noProof/>
            <w:webHidden/>
          </w:rPr>
          <w:fldChar w:fldCharType="separate"/>
        </w:r>
        <w:r w:rsidR="008E1C57">
          <w:rPr>
            <w:noProof/>
            <w:webHidden/>
          </w:rPr>
          <w:t>81</w:t>
        </w:r>
        <w:r w:rsidR="008E1C57">
          <w:rPr>
            <w:noProof/>
            <w:webHidden/>
          </w:rPr>
          <w:fldChar w:fldCharType="end"/>
        </w:r>
      </w:hyperlink>
    </w:p>
    <w:p w14:paraId="75A6ADB8" w14:textId="181E3481" w:rsidR="008E1C57" w:rsidRDefault="000F0FEE">
      <w:pPr>
        <w:pStyle w:val="TableofFigures"/>
        <w:tabs>
          <w:tab w:val="right" w:leader="dot" w:pos="9350"/>
        </w:tabs>
        <w:rPr>
          <w:rFonts w:asciiTheme="minorHAnsi" w:eastAsiaTheme="minorEastAsia" w:hAnsiTheme="minorHAnsi"/>
          <w:noProof/>
          <w:sz w:val="24"/>
          <w:szCs w:val="24"/>
        </w:rPr>
      </w:pPr>
      <w:hyperlink w:anchor="_Toc50392525" w:history="1">
        <w:r w:rsidR="008E1C57" w:rsidRPr="0027272F">
          <w:rPr>
            <w:rStyle w:val="Hyperlink"/>
            <w:noProof/>
          </w:rPr>
          <w:t>Table 22. Annual (1992+) ln-scale capture rate devs for males caught in the BBRKC fishery, for all model scenarios. Devs indexing skips years where the fishery was closed.</w:t>
        </w:r>
        <w:r w:rsidR="008E1C57">
          <w:rPr>
            <w:noProof/>
            <w:webHidden/>
          </w:rPr>
          <w:tab/>
        </w:r>
        <w:r w:rsidR="008E1C57">
          <w:rPr>
            <w:noProof/>
            <w:webHidden/>
          </w:rPr>
          <w:fldChar w:fldCharType="begin"/>
        </w:r>
        <w:r w:rsidR="008E1C57">
          <w:rPr>
            <w:noProof/>
            <w:webHidden/>
          </w:rPr>
          <w:instrText xml:space="preserve"> PAGEREF _Toc50392525 \h </w:instrText>
        </w:r>
        <w:r w:rsidR="008E1C57">
          <w:rPr>
            <w:noProof/>
            <w:webHidden/>
          </w:rPr>
        </w:r>
        <w:r w:rsidR="008E1C57">
          <w:rPr>
            <w:noProof/>
            <w:webHidden/>
          </w:rPr>
          <w:fldChar w:fldCharType="separate"/>
        </w:r>
        <w:r w:rsidR="008E1C57">
          <w:rPr>
            <w:noProof/>
            <w:webHidden/>
          </w:rPr>
          <w:t>82</w:t>
        </w:r>
        <w:r w:rsidR="008E1C57">
          <w:rPr>
            <w:noProof/>
            <w:webHidden/>
          </w:rPr>
          <w:fldChar w:fldCharType="end"/>
        </w:r>
      </w:hyperlink>
    </w:p>
    <w:p w14:paraId="1663592B" w14:textId="2E18B562" w:rsidR="008E1C57" w:rsidRDefault="000F0FEE">
      <w:pPr>
        <w:pStyle w:val="TableofFigures"/>
        <w:tabs>
          <w:tab w:val="right" w:leader="dot" w:pos="9350"/>
        </w:tabs>
        <w:rPr>
          <w:rFonts w:asciiTheme="minorHAnsi" w:eastAsiaTheme="minorEastAsia" w:hAnsiTheme="minorHAnsi"/>
          <w:noProof/>
          <w:sz w:val="24"/>
          <w:szCs w:val="24"/>
        </w:rPr>
      </w:pPr>
      <w:hyperlink w:anchor="_Toc50392526" w:history="1">
        <w:r w:rsidR="008E1C57" w:rsidRPr="0027272F">
          <w:rPr>
            <w:rStyle w:val="Hyperlink"/>
            <w:noProof/>
          </w:rPr>
          <w:t>Table 23. Annual (1973+) ln-scale capture rate devs for males caught in the groundfish fisheries, for all model scenarios.</w:t>
        </w:r>
        <w:r w:rsidR="008E1C57">
          <w:rPr>
            <w:noProof/>
            <w:webHidden/>
          </w:rPr>
          <w:tab/>
        </w:r>
        <w:r w:rsidR="008E1C57">
          <w:rPr>
            <w:noProof/>
            <w:webHidden/>
          </w:rPr>
          <w:fldChar w:fldCharType="begin"/>
        </w:r>
        <w:r w:rsidR="008E1C57">
          <w:rPr>
            <w:noProof/>
            <w:webHidden/>
          </w:rPr>
          <w:instrText xml:space="preserve"> PAGEREF _Toc50392526 \h </w:instrText>
        </w:r>
        <w:r w:rsidR="008E1C57">
          <w:rPr>
            <w:noProof/>
            <w:webHidden/>
          </w:rPr>
        </w:r>
        <w:r w:rsidR="008E1C57">
          <w:rPr>
            <w:noProof/>
            <w:webHidden/>
          </w:rPr>
          <w:fldChar w:fldCharType="separate"/>
        </w:r>
        <w:r w:rsidR="008E1C57">
          <w:rPr>
            <w:noProof/>
            <w:webHidden/>
          </w:rPr>
          <w:t>83</w:t>
        </w:r>
        <w:r w:rsidR="008E1C57">
          <w:rPr>
            <w:noProof/>
            <w:webHidden/>
          </w:rPr>
          <w:fldChar w:fldCharType="end"/>
        </w:r>
      </w:hyperlink>
    </w:p>
    <w:p w14:paraId="7C607AB1" w14:textId="3DC55943" w:rsidR="008E1C57" w:rsidRDefault="000F0FEE">
      <w:pPr>
        <w:pStyle w:val="TableofFigures"/>
        <w:tabs>
          <w:tab w:val="right" w:leader="dot" w:pos="9350"/>
        </w:tabs>
        <w:rPr>
          <w:rFonts w:asciiTheme="minorHAnsi" w:eastAsiaTheme="minorEastAsia" w:hAnsiTheme="minorHAnsi"/>
          <w:noProof/>
          <w:sz w:val="24"/>
          <w:szCs w:val="24"/>
        </w:rPr>
      </w:pPr>
      <w:hyperlink w:anchor="_Toc50392527" w:history="1">
        <w:r w:rsidR="008E1C57" w:rsidRPr="0027272F">
          <w:rPr>
            <w:rStyle w:val="Hyperlink"/>
            <w:noProof/>
          </w:rPr>
          <w:t>Table 24. Objective function values for all data components from the model scenarios. TCF: directed Tanner crab fishery (RC: retained catch; TC: total catch); SCF: snow crab fishery; RKF: BBRKC fishery; GF All: groundfish fisheries. n.at.z: size compositions. Highlighted cells indicate best fits by &gt; 5 likelihood units between Scenarios 19.03(2020) and 20.07.</w:t>
        </w:r>
        <w:r w:rsidR="008E1C57">
          <w:rPr>
            <w:noProof/>
            <w:webHidden/>
          </w:rPr>
          <w:tab/>
        </w:r>
        <w:r w:rsidR="008E1C57">
          <w:rPr>
            <w:noProof/>
            <w:webHidden/>
          </w:rPr>
          <w:fldChar w:fldCharType="begin"/>
        </w:r>
        <w:r w:rsidR="008E1C57">
          <w:rPr>
            <w:noProof/>
            <w:webHidden/>
          </w:rPr>
          <w:instrText xml:space="preserve"> PAGEREF _Toc50392527 \h </w:instrText>
        </w:r>
        <w:r w:rsidR="008E1C57">
          <w:rPr>
            <w:noProof/>
            <w:webHidden/>
          </w:rPr>
        </w:r>
        <w:r w:rsidR="008E1C57">
          <w:rPr>
            <w:noProof/>
            <w:webHidden/>
          </w:rPr>
          <w:fldChar w:fldCharType="separate"/>
        </w:r>
        <w:r w:rsidR="008E1C57">
          <w:rPr>
            <w:noProof/>
            <w:webHidden/>
          </w:rPr>
          <w:t>84</w:t>
        </w:r>
        <w:r w:rsidR="008E1C57">
          <w:rPr>
            <w:noProof/>
            <w:webHidden/>
          </w:rPr>
          <w:fldChar w:fldCharType="end"/>
        </w:r>
      </w:hyperlink>
    </w:p>
    <w:p w14:paraId="1C4FE1B9" w14:textId="40717826" w:rsidR="008E1C57" w:rsidRDefault="000F0FEE">
      <w:pPr>
        <w:pStyle w:val="TableofFigures"/>
        <w:tabs>
          <w:tab w:val="right" w:leader="dot" w:pos="9350"/>
        </w:tabs>
        <w:rPr>
          <w:rFonts w:asciiTheme="minorHAnsi" w:eastAsiaTheme="minorEastAsia" w:hAnsiTheme="minorHAnsi"/>
          <w:noProof/>
          <w:sz w:val="24"/>
          <w:szCs w:val="24"/>
        </w:rPr>
      </w:pPr>
      <w:hyperlink w:anchor="_Toc50392528" w:history="1">
        <w:r w:rsidR="008E1C57" w:rsidRPr="0027272F">
          <w:rPr>
            <w:rStyle w:val="Hyperlink"/>
            <w:noProof/>
          </w:rPr>
          <w:t>Table 25. Objective function values for all non-data components from the model scenarios.</w:t>
        </w:r>
        <w:r w:rsidR="008E1C57">
          <w:rPr>
            <w:noProof/>
            <w:webHidden/>
          </w:rPr>
          <w:tab/>
        </w:r>
        <w:r w:rsidR="008E1C57">
          <w:rPr>
            <w:noProof/>
            <w:webHidden/>
          </w:rPr>
          <w:fldChar w:fldCharType="begin"/>
        </w:r>
        <w:r w:rsidR="008E1C57">
          <w:rPr>
            <w:noProof/>
            <w:webHidden/>
          </w:rPr>
          <w:instrText xml:space="preserve"> PAGEREF _Toc50392528 \h </w:instrText>
        </w:r>
        <w:r w:rsidR="008E1C57">
          <w:rPr>
            <w:noProof/>
            <w:webHidden/>
          </w:rPr>
        </w:r>
        <w:r w:rsidR="008E1C57">
          <w:rPr>
            <w:noProof/>
            <w:webHidden/>
          </w:rPr>
          <w:fldChar w:fldCharType="separate"/>
        </w:r>
        <w:r w:rsidR="008E1C57">
          <w:rPr>
            <w:noProof/>
            <w:webHidden/>
          </w:rPr>
          <w:t>85</w:t>
        </w:r>
        <w:r w:rsidR="008E1C57">
          <w:rPr>
            <w:noProof/>
            <w:webHidden/>
          </w:rPr>
          <w:fldChar w:fldCharType="end"/>
        </w:r>
      </w:hyperlink>
    </w:p>
    <w:p w14:paraId="3F932EC7" w14:textId="4B4F76A6" w:rsidR="008E1C57" w:rsidRDefault="000F0FEE">
      <w:pPr>
        <w:pStyle w:val="TableofFigures"/>
        <w:tabs>
          <w:tab w:val="right" w:leader="dot" w:pos="9350"/>
        </w:tabs>
        <w:rPr>
          <w:rFonts w:asciiTheme="minorHAnsi" w:eastAsiaTheme="minorEastAsia" w:hAnsiTheme="minorHAnsi"/>
          <w:noProof/>
          <w:sz w:val="24"/>
          <w:szCs w:val="24"/>
        </w:rPr>
      </w:pPr>
      <w:hyperlink w:anchor="_Toc50392529" w:history="1">
        <w:r w:rsidR="008E1C57" w:rsidRPr="0027272F">
          <w:rPr>
            <w:rStyle w:val="Hyperlink"/>
            <w:noProof/>
          </w:rPr>
          <w:t>Table 26. Root mean square errors (RMSE) for data components from the model scenarios. TCF: directed Tanner crab fishery (RC: retained catch; TC: total catch); SCF: snow crab fishery; RKF: BBRKC fishery; GF All: groundfish fisheries. Abundance values were not included the model fits. Highlighted values indicate smallest RMSE between Scenarios 19.03(2020) and 20.07.</w:t>
        </w:r>
        <w:r w:rsidR="008E1C57">
          <w:rPr>
            <w:noProof/>
            <w:webHidden/>
          </w:rPr>
          <w:tab/>
        </w:r>
        <w:r w:rsidR="008E1C57">
          <w:rPr>
            <w:noProof/>
            <w:webHidden/>
          </w:rPr>
          <w:fldChar w:fldCharType="begin"/>
        </w:r>
        <w:r w:rsidR="008E1C57">
          <w:rPr>
            <w:noProof/>
            <w:webHidden/>
          </w:rPr>
          <w:instrText xml:space="preserve"> PAGEREF _Toc50392529 \h </w:instrText>
        </w:r>
        <w:r w:rsidR="008E1C57">
          <w:rPr>
            <w:noProof/>
            <w:webHidden/>
          </w:rPr>
        </w:r>
        <w:r w:rsidR="008E1C57">
          <w:rPr>
            <w:noProof/>
            <w:webHidden/>
          </w:rPr>
          <w:fldChar w:fldCharType="separate"/>
        </w:r>
        <w:r w:rsidR="008E1C57">
          <w:rPr>
            <w:noProof/>
            <w:webHidden/>
          </w:rPr>
          <w:t>86</w:t>
        </w:r>
        <w:r w:rsidR="008E1C57">
          <w:rPr>
            <w:noProof/>
            <w:webHidden/>
          </w:rPr>
          <w:fldChar w:fldCharType="end"/>
        </w:r>
      </w:hyperlink>
    </w:p>
    <w:p w14:paraId="0C766775" w14:textId="5C961E20" w:rsidR="008E1C57" w:rsidRDefault="000F0FEE">
      <w:pPr>
        <w:pStyle w:val="TableofFigures"/>
        <w:tabs>
          <w:tab w:val="right" w:leader="dot" w:pos="9350"/>
        </w:tabs>
        <w:rPr>
          <w:rFonts w:asciiTheme="minorHAnsi" w:eastAsiaTheme="minorEastAsia" w:hAnsiTheme="minorHAnsi"/>
          <w:noProof/>
          <w:sz w:val="24"/>
          <w:szCs w:val="24"/>
        </w:rPr>
      </w:pPr>
      <w:hyperlink w:anchor="_Toc50392530" w:history="1">
        <w:r w:rsidR="008E1C57" w:rsidRPr="0027272F">
          <w:rPr>
            <w:rStyle w:val="Hyperlink"/>
            <w:noProof/>
          </w:rPr>
          <w:t>Table 27. Geometric means of effective sample sizes used for size composition data. Effective sample sizes were estimated using the McAllister-Ianelli approach. TCF: directed Tanner crab fishery (RC: retained catch; TC: total catch); SCF: snow crab fishery; RKF: BBRKC fishery; GF All: groundfish fisheries. Highlighted cells indicate “best” value between Scenarios 19.03(2020) and 20.07.</w:t>
        </w:r>
        <w:r w:rsidR="008E1C57">
          <w:rPr>
            <w:noProof/>
            <w:webHidden/>
          </w:rPr>
          <w:tab/>
        </w:r>
        <w:r w:rsidR="008E1C57">
          <w:rPr>
            <w:noProof/>
            <w:webHidden/>
          </w:rPr>
          <w:fldChar w:fldCharType="begin"/>
        </w:r>
        <w:r w:rsidR="008E1C57">
          <w:rPr>
            <w:noProof/>
            <w:webHidden/>
          </w:rPr>
          <w:instrText xml:space="preserve"> PAGEREF _Toc50392530 \h </w:instrText>
        </w:r>
        <w:r w:rsidR="008E1C57">
          <w:rPr>
            <w:noProof/>
            <w:webHidden/>
          </w:rPr>
        </w:r>
        <w:r w:rsidR="008E1C57">
          <w:rPr>
            <w:noProof/>
            <w:webHidden/>
          </w:rPr>
          <w:fldChar w:fldCharType="separate"/>
        </w:r>
        <w:r w:rsidR="008E1C57">
          <w:rPr>
            <w:noProof/>
            <w:webHidden/>
          </w:rPr>
          <w:t>87</w:t>
        </w:r>
        <w:r w:rsidR="008E1C57">
          <w:rPr>
            <w:noProof/>
            <w:webHidden/>
          </w:rPr>
          <w:fldChar w:fldCharType="end"/>
        </w:r>
      </w:hyperlink>
    </w:p>
    <w:p w14:paraId="356B9AD8" w14:textId="5DEEF177" w:rsidR="008E1C57" w:rsidRDefault="000F0FEE">
      <w:pPr>
        <w:pStyle w:val="TableofFigures"/>
        <w:tabs>
          <w:tab w:val="right" w:leader="dot" w:pos="9350"/>
        </w:tabs>
        <w:rPr>
          <w:rFonts w:asciiTheme="minorHAnsi" w:eastAsiaTheme="minorEastAsia" w:hAnsiTheme="minorHAnsi"/>
          <w:noProof/>
          <w:sz w:val="24"/>
          <w:szCs w:val="24"/>
        </w:rPr>
      </w:pPr>
      <w:hyperlink w:anchor="_Toc50392531" w:history="1">
        <w:r w:rsidR="008E1C57" w:rsidRPr="0027272F">
          <w:rPr>
            <w:rStyle w:val="Hyperlink"/>
            <w:noProof/>
          </w:rPr>
          <w:t>Table 28. Comparison of observed and predicted (total) male survey biomass (in 1000’s t) from the model scenarios.</w:t>
        </w:r>
        <w:r w:rsidR="008E1C57">
          <w:rPr>
            <w:noProof/>
            <w:webHidden/>
          </w:rPr>
          <w:tab/>
        </w:r>
        <w:r w:rsidR="008E1C57">
          <w:rPr>
            <w:noProof/>
            <w:webHidden/>
          </w:rPr>
          <w:fldChar w:fldCharType="begin"/>
        </w:r>
        <w:r w:rsidR="008E1C57">
          <w:rPr>
            <w:noProof/>
            <w:webHidden/>
          </w:rPr>
          <w:instrText xml:space="preserve"> PAGEREF _Toc50392531 \h </w:instrText>
        </w:r>
        <w:r w:rsidR="008E1C57">
          <w:rPr>
            <w:noProof/>
            <w:webHidden/>
          </w:rPr>
        </w:r>
        <w:r w:rsidR="008E1C57">
          <w:rPr>
            <w:noProof/>
            <w:webHidden/>
          </w:rPr>
          <w:fldChar w:fldCharType="separate"/>
        </w:r>
        <w:r w:rsidR="008E1C57">
          <w:rPr>
            <w:noProof/>
            <w:webHidden/>
          </w:rPr>
          <w:t>88</w:t>
        </w:r>
        <w:r w:rsidR="008E1C57">
          <w:rPr>
            <w:noProof/>
            <w:webHidden/>
          </w:rPr>
          <w:fldChar w:fldCharType="end"/>
        </w:r>
      </w:hyperlink>
    </w:p>
    <w:p w14:paraId="7C2011CE" w14:textId="77797045" w:rsidR="008E1C57" w:rsidRDefault="000F0FEE">
      <w:pPr>
        <w:pStyle w:val="TableofFigures"/>
        <w:tabs>
          <w:tab w:val="right" w:leader="dot" w:pos="9350"/>
        </w:tabs>
        <w:rPr>
          <w:rFonts w:asciiTheme="minorHAnsi" w:eastAsiaTheme="minorEastAsia" w:hAnsiTheme="minorHAnsi"/>
          <w:noProof/>
          <w:sz w:val="24"/>
          <w:szCs w:val="24"/>
        </w:rPr>
      </w:pPr>
      <w:hyperlink w:anchor="_Toc50392532" w:history="1">
        <w:r w:rsidR="008E1C57" w:rsidRPr="0027272F">
          <w:rPr>
            <w:rStyle w:val="Hyperlink"/>
            <w:noProof/>
          </w:rPr>
          <w:t>Table 29. Comparison of observed and estimated mature female survey biomass (in 1000’s t) from the model scenarios.</w:t>
        </w:r>
        <w:r w:rsidR="008E1C57">
          <w:rPr>
            <w:noProof/>
            <w:webHidden/>
          </w:rPr>
          <w:tab/>
        </w:r>
        <w:r w:rsidR="008E1C57">
          <w:rPr>
            <w:noProof/>
            <w:webHidden/>
          </w:rPr>
          <w:fldChar w:fldCharType="begin"/>
        </w:r>
        <w:r w:rsidR="008E1C57">
          <w:rPr>
            <w:noProof/>
            <w:webHidden/>
          </w:rPr>
          <w:instrText xml:space="preserve"> PAGEREF _Toc50392532 \h </w:instrText>
        </w:r>
        <w:r w:rsidR="008E1C57">
          <w:rPr>
            <w:noProof/>
            <w:webHidden/>
          </w:rPr>
        </w:r>
        <w:r w:rsidR="008E1C57">
          <w:rPr>
            <w:noProof/>
            <w:webHidden/>
          </w:rPr>
          <w:fldChar w:fldCharType="separate"/>
        </w:r>
        <w:r w:rsidR="008E1C57">
          <w:rPr>
            <w:noProof/>
            <w:webHidden/>
          </w:rPr>
          <w:t>89</w:t>
        </w:r>
        <w:r w:rsidR="008E1C57">
          <w:rPr>
            <w:noProof/>
            <w:webHidden/>
          </w:rPr>
          <w:fldChar w:fldCharType="end"/>
        </w:r>
      </w:hyperlink>
    </w:p>
    <w:p w14:paraId="7557F4A8" w14:textId="04750BC5" w:rsidR="008E1C57" w:rsidRDefault="000F0FEE">
      <w:pPr>
        <w:pStyle w:val="TableofFigures"/>
        <w:tabs>
          <w:tab w:val="right" w:leader="dot" w:pos="9350"/>
        </w:tabs>
        <w:rPr>
          <w:rFonts w:asciiTheme="minorHAnsi" w:eastAsiaTheme="minorEastAsia" w:hAnsiTheme="minorHAnsi"/>
          <w:noProof/>
          <w:sz w:val="24"/>
          <w:szCs w:val="24"/>
        </w:rPr>
      </w:pPr>
      <w:hyperlink w:anchor="_Toc50392533" w:history="1">
        <w:r w:rsidR="008E1C57" w:rsidRPr="0027272F">
          <w:rPr>
            <w:rStyle w:val="Hyperlink"/>
            <w:noProof/>
          </w:rPr>
          <w:t>Table 30. Comparison of estimates of mature male biomass-at-mating by sex (in 1000’s t) from the model scenarios.</w:t>
        </w:r>
        <w:r w:rsidR="008E1C57">
          <w:rPr>
            <w:noProof/>
            <w:webHidden/>
          </w:rPr>
          <w:tab/>
        </w:r>
        <w:r w:rsidR="008E1C57">
          <w:rPr>
            <w:noProof/>
            <w:webHidden/>
          </w:rPr>
          <w:fldChar w:fldCharType="begin"/>
        </w:r>
        <w:r w:rsidR="008E1C57">
          <w:rPr>
            <w:noProof/>
            <w:webHidden/>
          </w:rPr>
          <w:instrText xml:space="preserve"> PAGEREF _Toc50392533 \h </w:instrText>
        </w:r>
        <w:r w:rsidR="008E1C57">
          <w:rPr>
            <w:noProof/>
            <w:webHidden/>
          </w:rPr>
        </w:r>
        <w:r w:rsidR="008E1C57">
          <w:rPr>
            <w:noProof/>
            <w:webHidden/>
          </w:rPr>
          <w:fldChar w:fldCharType="separate"/>
        </w:r>
        <w:r w:rsidR="008E1C57">
          <w:rPr>
            <w:noProof/>
            <w:webHidden/>
          </w:rPr>
          <w:t>90</w:t>
        </w:r>
        <w:r w:rsidR="008E1C57">
          <w:rPr>
            <w:noProof/>
            <w:webHidden/>
          </w:rPr>
          <w:fldChar w:fldCharType="end"/>
        </w:r>
      </w:hyperlink>
    </w:p>
    <w:p w14:paraId="4A51D5BB" w14:textId="749DC1F8" w:rsidR="008E1C57" w:rsidRDefault="000F0FEE">
      <w:pPr>
        <w:pStyle w:val="TableofFigures"/>
        <w:tabs>
          <w:tab w:val="right" w:leader="dot" w:pos="9350"/>
        </w:tabs>
        <w:rPr>
          <w:rFonts w:asciiTheme="minorHAnsi" w:eastAsiaTheme="minorEastAsia" w:hAnsiTheme="minorHAnsi"/>
          <w:noProof/>
          <w:sz w:val="24"/>
          <w:szCs w:val="24"/>
        </w:rPr>
      </w:pPr>
      <w:hyperlink w:anchor="_Toc50392534" w:history="1">
        <w:r w:rsidR="008E1C57" w:rsidRPr="0027272F">
          <w:rPr>
            <w:rStyle w:val="Hyperlink"/>
            <w:noProof/>
          </w:rPr>
          <w:t>Table 31. Comparison of estimates of mature female biomass-at-mating by sex (in 1000’s t) from the model scenarios.</w:t>
        </w:r>
        <w:r w:rsidR="008E1C57">
          <w:rPr>
            <w:noProof/>
            <w:webHidden/>
          </w:rPr>
          <w:tab/>
        </w:r>
        <w:r w:rsidR="008E1C57">
          <w:rPr>
            <w:noProof/>
            <w:webHidden/>
          </w:rPr>
          <w:fldChar w:fldCharType="begin"/>
        </w:r>
        <w:r w:rsidR="008E1C57">
          <w:rPr>
            <w:noProof/>
            <w:webHidden/>
          </w:rPr>
          <w:instrText xml:space="preserve"> PAGEREF _Toc50392534 \h </w:instrText>
        </w:r>
        <w:r w:rsidR="008E1C57">
          <w:rPr>
            <w:noProof/>
            <w:webHidden/>
          </w:rPr>
        </w:r>
        <w:r w:rsidR="008E1C57">
          <w:rPr>
            <w:noProof/>
            <w:webHidden/>
          </w:rPr>
          <w:fldChar w:fldCharType="separate"/>
        </w:r>
        <w:r w:rsidR="008E1C57">
          <w:rPr>
            <w:noProof/>
            <w:webHidden/>
          </w:rPr>
          <w:t>91</w:t>
        </w:r>
        <w:r w:rsidR="008E1C57">
          <w:rPr>
            <w:noProof/>
            <w:webHidden/>
          </w:rPr>
          <w:fldChar w:fldCharType="end"/>
        </w:r>
      </w:hyperlink>
    </w:p>
    <w:p w14:paraId="408134C9" w14:textId="5F4B7865" w:rsidR="008E1C57" w:rsidRDefault="000F0FEE">
      <w:pPr>
        <w:pStyle w:val="TableofFigures"/>
        <w:tabs>
          <w:tab w:val="right" w:leader="dot" w:pos="9350"/>
        </w:tabs>
        <w:rPr>
          <w:rFonts w:asciiTheme="minorHAnsi" w:eastAsiaTheme="minorEastAsia" w:hAnsiTheme="minorHAnsi"/>
          <w:noProof/>
          <w:sz w:val="24"/>
          <w:szCs w:val="24"/>
        </w:rPr>
      </w:pPr>
      <w:hyperlink w:anchor="_Toc50392535" w:history="1">
        <w:r w:rsidR="008E1C57" w:rsidRPr="0027272F">
          <w:rPr>
            <w:rStyle w:val="Hyperlink"/>
            <w:noProof/>
          </w:rPr>
          <w:t>Table 32. Estimated population size (millions) on July 1 of year. from the model scenarios 19.03(2020) and 20.07.</w:t>
        </w:r>
        <w:r w:rsidR="008E1C57">
          <w:rPr>
            <w:noProof/>
            <w:webHidden/>
          </w:rPr>
          <w:tab/>
        </w:r>
        <w:r w:rsidR="008E1C57">
          <w:rPr>
            <w:noProof/>
            <w:webHidden/>
          </w:rPr>
          <w:fldChar w:fldCharType="begin"/>
        </w:r>
        <w:r w:rsidR="008E1C57">
          <w:rPr>
            <w:noProof/>
            <w:webHidden/>
          </w:rPr>
          <w:instrText xml:space="preserve"> PAGEREF _Toc50392535 \h </w:instrText>
        </w:r>
        <w:r w:rsidR="008E1C57">
          <w:rPr>
            <w:noProof/>
            <w:webHidden/>
          </w:rPr>
        </w:r>
        <w:r w:rsidR="008E1C57">
          <w:rPr>
            <w:noProof/>
            <w:webHidden/>
          </w:rPr>
          <w:fldChar w:fldCharType="separate"/>
        </w:r>
        <w:r w:rsidR="008E1C57">
          <w:rPr>
            <w:noProof/>
            <w:webHidden/>
          </w:rPr>
          <w:t>91</w:t>
        </w:r>
        <w:r w:rsidR="008E1C57">
          <w:rPr>
            <w:noProof/>
            <w:webHidden/>
          </w:rPr>
          <w:fldChar w:fldCharType="end"/>
        </w:r>
      </w:hyperlink>
    </w:p>
    <w:p w14:paraId="37D2D24B" w14:textId="79301A5A" w:rsidR="008E1C57" w:rsidRDefault="000F0FEE">
      <w:pPr>
        <w:pStyle w:val="TableofFigures"/>
        <w:tabs>
          <w:tab w:val="right" w:leader="dot" w:pos="9350"/>
        </w:tabs>
        <w:rPr>
          <w:rFonts w:asciiTheme="minorHAnsi" w:eastAsiaTheme="minorEastAsia" w:hAnsiTheme="minorHAnsi"/>
          <w:noProof/>
          <w:sz w:val="24"/>
          <w:szCs w:val="24"/>
        </w:rPr>
      </w:pPr>
      <w:hyperlink w:anchor="_Toc50392536" w:history="1">
        <w:r w:rsidR="008E1C57" w:rsidRPr="0027272F">
          <w:rPr>
            <w:rStyle w:val="Hyperlink"/>
            <w:noProof/>
          </w:rPr>
          <w:t>Table 33. Comparison of estimates of recruitment (in millions) from the 2018 assessment model (M19F00) and the author’s preferred model (M19F03).</w:t>
        </w:r>
        <w:r w:rsidR="008E1C57">
          <w:rPr>
            <w:noProof/>
            <w:webHidden/>
          </w:rPr>
          <w:tab/>
        </w:r>
        <w:r w:rsidR="008E1C57">
          <w:rPr>
            <w:noProof/>
            <w:webHidden/>
          </w:rPr>
          <w:fldChar w:fldCharType="begin"/>
        </w:r>
        <w:r w:rsidR="008E1C57">
          <w:rPr>
            <w:noProof/>
            <w:webHidden/>
          </w:rPr>
          <w:instrText xml:space="preserve"> PAGEREF _Toc50392536 \h </w:instrText>
        </w:r>
        <w:r w:rsidR="008E1C57">
          <w:rPr>
            <w:noProof/>
            <w:webHidden/>
          </w:rPr>
        </w:r>
        <w:r w:rsidR="008E1C57">
          <w:rPr>
            <w:noProof/>
            <w:webHidden/>
          </w:rPr>
          <w:fldChar w:fldCharType="separate"/>
        </w:r>
        <w:r w:rsidR="008E1C57">
          <w:rPr>
            <w:noProof/>
            <w:webHidden/>
          </w:rPr>
          <w:t>92</w:t>
        </w:r>
        <w:r w:rsidR="008E1C57">
          <w:rPr>
            <w:noProof/>
            <w:webHidden/>
          </w:rPr>
          <w:fldChar w:fldCharType="end"/>
        </w:r>
      </w:hyperlink>
    </w:p>
    <w:p w14:paraId="2DDA67D5" w14:textId="294B82F3" w:rsidR="008E1C57" w:rsidRDefault="000F0FEE">
      <w:pPr>
        <w:pStyle w:val="TableofFigures"/>
        <w:tabs>
          <w:tab w:val="right" w:leader="dot" w:pos="9350"/>
        </w:tabs>
        <w:rPr>
          <w:rFonts w:asciiTheme="minorHAnsi" w:eastAsiaTheme="minorEastAsia" w:hAnsiTheme="minorHAnsi"/>
          <w:noProof/>
          <w:sz w:val="24"/>
          <w:szCs w:val="24"/>
        </w:rPr>
      </w:pPr>
      <w:hyperlink w:anchor="_Toc50392537" w:history="1">
        <w:r w:rsidR="008E1C57" w:rsidRPr="0027272F">
          <w:rPr>
            <w:rStyle w:val="Hyperlink"/>
            <w:noProof/>
          </w:rPr>
          <w:t>Table 34. Comparison of exploitation rates (i.e., catch divided by biomass) from the 2018 assessment model (M19F00) and the author’s preferred model (M19F03).</w:t>
        </w:r>
        <w:r w:rsidR="008E1C57">
          <w:rPr>
            <w:noProof/>
            <w:webHidden/>
          </w:rPr>
          <w:tab/>
        </w:r>
        <w:r w:rsidR="008E1C57">
          <w:rPr>
            <w:noProof/>
            <w:webHidden/>
          </w:rPr>
          <w:fldChar w:fldCharType="begin"/>
        </w:r>
        <w:r w:rsidR="008E1C57">
          <w:rPr>
            <w:noProof/>
            <w:webHidden/>
          </w:rPr>
          <w:instrText xml:space="preserve"> PAGEREF _Toc50392537 \h </w:instrText>
        </w:r>
        <w:r w:rsidR="008E1C57">
          <w:rPr>
            <w:noProof/>
            <w:webHidden/>
          </w:rPr>
        </w:r>
        <w:r w:rsidR="008E1C57">
          <w:rPr>
            <w:noProof/>
            <w:webHidden/>
          </w:rPr>
          <w:fldChar w:fldCharType="separate"/>
        </w:r>
        <w:r w:rsidR="008E1C57">
          <w:rPr>
            <w:noProof/>
            <w:webHidden/>
          </w:rPr>
          <w:t>93</w:t>
        </w:r>
        <w:r w:rsidR="008E1C57">
          <w:rPr>
            <w:noProof/>
            <w:webHidden/>
          </w:rPr>
          <w:fldChar w:fldCharType="end"/>
        </w:r>
      </w:hyperlink>
    </w:p>
    <w:p w14:paraId="2ECE0F07" w14:textId="438D1EA2" w:rsidR="008E1C57" w:rsidRDefault="000F0FEE">
      <w:pPr>
        <w:pStyle w:val="TableofFigures"/>
        <w:tabs>
          <w:tab w:val="right" w:leader="dot" w:pos="9350"/>
        </w:tabs>
        <w:rPr>
          <w:rFonts w:asciiTheme="minorHAnsi" w:eastAsiaTheme="minorEastAsia" w:hAnsiTheme="minorHAnsi"/>
          <w:noProof/>
          <w:sz w:val="24"/>
          <w:szCs w:val="24"/>
        </w:rPr>
      </w:pPr>
      <w:hyperlink w:anchor="_Toc50392538" w:history="1">
        <w:r w:rsidR="008E1C57" w:rsidRPr="0027272F">
          <w:rPr>
            <w:rStyle w:val="Hyperlink"/>
            <w:noProof/>
          </w:rPr>
          <w:t>Table 35. Values based on MLE results required to determine Tier level and OFL for the models considered here. These values are presented only to illustrate the effect of incremental changes in the model scenarios.</w:t>
        </w:r>
        <w:r w:rsidR="008E1C57">
          <w:rPr>
            <w:noProof/>
            <w:webHidden/>
          </w:rPr>
          <w:tab/>
        </w:r>
        <w:r w:rsidR="008E1C57">
          <w:rPr>
            <w:noProof/>
            <w:webHidden/>
          </w:rPr>
          <w:fldChar w:fldCharType="begin"/>
        </w:r>
        <w:r w:rsidR="008E1C57">
          <w:rPr>
            <w:noProof/>
            <w:webHidden/>
          </w:rPr>
          <w:instrText xml:space="preserve"> PAGEREF _Toc50392538 \h </w:instrText>
        </w:r>
        <w:r w:rsidR="008E1C57">
          <w:rPr>
            <w:noProof/>
            <w:webHidden/>
          </w:rPr>
        </w:r>
        <w:r w:rsidR="008E1C57">
          <w:rPr>
            <w:noProof/>
            <w:webHidden/>
          </w:rPr>
          <w:fldChar w:fldCharType="separate"/>
        </w:r>
        <w:r w:rsidR="008E1C57">
          <w:rPr>
            <w:noProof/>
            <w:webHidden/>
          </w:rPr>
          <w:t>94</w:t>
        </w:r>
        <w:r w:rsidR="008E1C57">
          <w:rPr>
            <w:noProof/>
            <w:webHidden/>
          </w:rPr>
          <w:fldChar w:fldCharType="end"/>
        </w:r>
      </w:hyperlink>
    </w:p>
    <w:p w14:paraId="32C8BA09" w14:textId="32233F4F" w:rsidR="005E32A2" w:rsidRPr="0015116B" w:rsidRDefault="00D35417" w:rsidP="00BF2241">
      <w:pPr>
        <w:autoSpaceDE w:val="0"/>
        <w:autoSpaceDN w:val="0"/>
        <w:adjustRightInd w:val="0"/>
        <w:spacing w:after="0"/>
        <w:rPr>
          <w:rFonts w:eastAsia="Times New Roman" w:cs="Times New Roman"/>
        </w:rPr>
      </w:pPr>
      <w:r w:rsidRPr="0015116B">
        <w:rPr>
          <w:rFonts w:eastAsia="Times New Roman" w:cs="Times New Roman"/>
        </w:rPr>
        <w:fldChar w:fldCharType="end"/>
      </w:r>
    </w:p>
    <w:p w14:paraId="764B9B7A" w14:textId="4D98A0E4" w:rsidR="00CD3281" w:rsidRPr="0015116B" w:rsidRDefault="00CD3281">
      <w:pPr>
        <w:spacing w:after="200" w:line="276" w:lineRule="auto"/>
        <w:rPr>
          <w:rFonts w:eastAsia="Times New Roman" w:cs="Times New Roman"/>
        </w:rPr>
      </w:pPr>
      <w:r w:rsidRPr="0015116B">
        <w:rPr>
          <w:rFonts w:eastAsia="Times New Roman" w:cs="Times New Roman"/>
        </w:rPr>
        <w:br w:type="page"/>
      </w:r>
    </w:p>
    <w:p w14:paraId="0CE29BDC" w14:textId="777DC1CB" w:rsidR="00C321F7" w:rsidRPr="0015116B" w:rsidRDefault="00C321F7" w:rsidP="00C321F7">
      <w:pPr>
        <w:pStyle w:val="Heading1"/>
      </w:pPr>
      <w:r w:rsidRPr="0015116B">
        <w:lastRenderedPageBreak/>
        <w:t>Figure captions</w:t>
      </w:r>
    </w:p>
    <w:p w14:paraId="24B3E7F3" w14:textId="39CAB3FF" w:rsidR="008E1C57" w:rsidRDefault="00D35417">
      <w:pPr>
        <w:pStyle w:val="TableofFigures"/>
        <w:tabs>
          <w:tab w:val="right" w:leader="dot" w:pos="9350"/>
        </w:tabs>
        <w:rPr>
          <w:rFonts w:asciiTheme="minorHAnsi" w:eastAsiaTheme="minorEastAsia" w:hAnsiTheme="minorHAnsi"/>
          <w:noProof/>
          <w:sz w:val="24"/>
          <w:szCs w:val="24"/>
        </w:rPr>
      </w:pPr>
      <w:r w:rsidRPr="0015116B">
        <w:rPr>
          <w:rFonts w:eastAsia="Times New Roman" w:cs="Times New Roman"/>
        </w:rPr>
        <w:fldChar w:fldCharType="begin"/>
      </w:r>
      <w:r w:rsidRPr="0015116B">
        <w:rPr>
          <w:rFonts w:eastAsia="Times New Roman" w:cs="Times New Roman"/>
        </w:rPr>
        <w:instrText xml:space="preserve"> TOC \h \z \c "Figure" </w:instrText>
      </w:r>
      <w:r w:rsidRPr="0015116B">
        <w:rPr>
          <w:rFonts w:eastAsia="Times New Roman" w:cs="Times New Roman"/>
        </w:rPr>
        <w:fldChar w:fldCharType="separate"/>
      </w:r>
      <w:hyperlink w:anchor="_Toc50392539" w:history="1">
        <w:r w:rsidR="008E1C57" w:rsidRPr="00112307">
          <w:rPr>
            <w:rStyle w:val="Hyperlink"/>
            <w:noProof/>
          </w:rPr>
          <w:t>Figure 1. Eastern Bering Sea District of Tanner crab Registration Area J including sub-districts and sections (from Bowers et al. 2008).</w:t>
        </w:r>
        <w:r w:rsidR="008E1C57">
          <w:rPr>
            <w:noProof/>
            <w:webHidden/>
          </w:rPr>
          <w:tab/>
        </w:r>
        <w:r w:rsidR="008E1C57">
          <w:rPr>
            <w:noProof/>
            <w:webHidden/>
          </w:rPr>
          <w:fldChar w:fldCharType="begin"/>
        </w:r>
        <w:r w:rsidR="008E1C57">
          <w:rPr>
            <w:noProof/>
            <w:webHidden/>
          </w:rPr>
          <w:instrText xml:space="preserve"> PAGEREF _Toc50392539 \h </w:instrText>
        </w:r>
        <w:r w:rsidR="008E1C57">
          <w:rPr>
            <w:noProof/>
            <w:webHidden/>
          </w:rPr>
        </w:r>
        <w:r w:rsidR="008E1C57">
          <w:rPr>
            <w:noProof/>
            <w:webHidden/>
          </w:rPr>
          <w:fldChar w:fldCharType="separate"/>
        </w:r>
        <w:r w:rsidR="008E1C57">
          <w:rPr>
            <w:noProof/>
            <w:webHidden/>
          </w:rPr>
          <w:t>97</w:t>
        </w:r>
        <w:r w:rsidR="008E1C57">
          <w:rPr>
            <w:noProof/>
            <w:webHidden/>
          </w:rPr>
          <w:fldChar w:fldCharType="end"/>
        </w:r>
      </w:hyperlink>
    </w:p>
    <w:p w14:paraId="24D62B5F" w14:textId="73BA14E9" w:rsidR="008E1C57" w:rsidRDefault="000F0FEE">
      <w:pPr>
        <w:pStyle w:val="TableofFigures"/>
        <w:tabs>
          <w:tab w:val="right" w:leader="dot" w:pos="9350"/>
        </w:tabs>
        <w:rPr>
          <w:rFonts w:asciiTheme="minorHAnsi" w:eastAsiaTheme="minorEastAsia" w:hAnsiTheme="minorHAnsi"/>
          <w:noProof/>
          <w:sz w:val="24"/>
          <w:szCs w:val="24"/>
        </w:rPr>
      </w:pPr>
      <w:hyperlink w:anchor="_Toc50392540" w:history="1">
        <w:r w:rsidR="008E1C57" w:rsidRPr="00112307">
          <w:rPr>
            <w:rStyle w:val="Hyperlink"/>
            <w:noProof/>
          </w:rPr>
          <w:t>Figure 2. Sloping control rule used by ADFG from 2011 to 2019 as part of its TAC setting process to determine the maximum exploitation rate on mature male biomass as a function of the ratio of current mature female biomass (MFB) to MFB averaged over some time period.</w:t>
        </w:r>
        <w:r w:rsidR="008E1C57">
          <w:rPr>
            <w:noProof/>
            <w:webHidden/>
          </w:rPr>
          <w:tab/>
        </w:r>
        <w:r w:rsidR="008E1C57">
          <w:rPr>
            <w:noProof/>
            <w:webHidden/>
          </w:rPr>
          <w:fldChar w:fldCharType="begin"/>
        </w:r>
        <w:r w:rsidR="008E1C57">
          <w:rPr>
            <w:noProof/>
            <w:webHidden/>
          </w:rPr>
          <w:instrText xml:space="preserve"> PAGEREF _Toc50392540 \h </w:instrText>
        </w:r>
        <w:r w:rsidR="008E1C57">
          <w:rPr>
            <w:noProof/>
            <w:webHidden/>
          </w:rPr>
        </w:r>
        <w:r w:rsidR="008E1C57">
          <w:rPr>
            <w:noProof/>
            <w:webHidden/>
          </w:rPr>
          <w:fldChar w:fldCharType="separate"/>
        </w:r>
        <w:r w:rsidR="008E1C57">
          <w:rPr>
            <w:noProof/>
            <w:webHidden/>
          </w:rPr>
          <w:t>98</w:t>
        </w:r>
        <w:r w:rsidR="008E1C57">
          <w:rPr>
            <w:noProof/>
            <w:webHidden/>
          </w:rPr>
          <w:fldChar w:fldCharType="end"/>
        </w:r>
      </w:hyperlink>
    </w:p>
    <w:p w14:paraId="474AAA09" w14:textId="2F514CFA" w:rsidR="008E1C57" w:rsidRDefault="000F0FEE">
      <w:pPr>
        <w:pStyle w:val="TableofFigures"/>
        <w:tabs>
          <w:tab w:val="right" w:leader="dot" w:pos="9350"/>
        </w:tabs>
        <w:rPr>
          <w:rFonts w:asciiTheme="minorHAnsi" w:eastAsiaTheme="minorEastAsia" w:hAnsiTheme="minorHAnsi"/>
          <w:noProof/>
          <w:sz w:val="24"/>
          <w:szCs w:val="24"/>
        </w:rPr>
      </w:pPr>
      <w:hyperlink w:anchor="_Toc50392541" w:history="1">
        <w:r w:rsidR="008E1C57" w:rsidRPr="00112307">
          <w:rPr>
            <w:rStyle w:val="Hyperlink"/>
            <w:noProof/>
          </w:rPr>
          <w:t>Figure 3. New ADFG “floating” sloping control rule to determine the maximum exploitation rate on mature male biomass (MMB) as a function of the ratio of current MMB to the average MMB over 1982-2018. The ratio of current mature female biomass (MFB) to MFB averaged over 1982-2018 is used to determine the value of the maximum exploitation rate for the control rule, up to a maximum of 20%. ADFG will use this control rule to determine TAC in the future.</w:t>
        </w:r>
        <w:r w:rsidR="008E1C57">
          <w:rPr>
            <w:noProof/>
            <w:webHidden/>
          </w:rPr>
          <w:tab/>
        </w:r>
        <w:r w:rsidR="008E1C57">
          <w:rPr>
            <w:noProof/>
            <w:webHidden/>
          </w:rPr>
          <w:fldChar w:fldCharType="begin"/>
        </w:r>
        <w:r w:rsidR="008E1C57">
          <w:rPr>
            <w:noProof/>
            <w:webHidden/>
          </w:rPr>
          <w:instrText xml:space="preserve"> PAGEREF _Toc50392541 \h </w:instrText>
        </w:r>
        <w:r w:rsidR="008E1C57">
          <w:rPr>
            <w:noProof/>
            <w:webHidden/>
          </w:rPr>
        </w:r>
        <w:r w:rsidR="008E1C57">
          <w:rPr>
            <w:noProof/>
            <w:webHidden/>
          </w:rPr>
          <w:fldChar w:fldCharType="separate"/>
        </w:r>
        <w:r w:rsidR="008E1C57">
          <w:rPr>
            <w:noProof/>
            <w:webHidden/>
          </w:rPr>
          <w:t>98</w:t>
        </w:r>
        <w:r w:rsidR="008E1C57">
          <w:rPr>
            <w:noProof/>
            <w:webHidden/>
          </w:rPr>
          <w:fldChar w:fldCharType="end"/>
        </w:r>
      </w:hyperlink>
    </w:p>
    <w:p w14:paraId="166A02E6" w14:textId="39318A2B" w:rsidR="008E1C57" w:rsidRDefault="000F0FEE">
      <w:pPr>
        <w:pStyle w:val="TableofFigures"/>
        <w:tabs>
          <w:tab w:val="right" w:leader="dot" w:pos="9350"/>
        </w:tabs>
        <w:rPr>
          <w:rFonts w:asciiTheme="minorHAnsi" w:eastAsiaTheme="minorEastAsia" w:hAnsiTheme="minorHAnsi"/>
          <w:noProof/>
          <w:sz w:val="24"/>
          <w:szCs w:val="24"/>
        </w:rPr>
      </w:pPr>
      <w:hyperlink w:anchor="_Toc50392542" w:history="1">
        <w:r w:rsidR="008E1C57" w:rsidRPr="00112307">
          <w:rPr>
            <w:rStyle w:val="Hyperlink"/>
            <w:noProof/>
          </w:rPr>
          <w:t>Figure 4. Upper: retained catch (males, 1000’s t) in the directed fisheries (US pot fishery [green bars], Russian tangle net fishery [red bars], and Japanese tangle net fisheries [blue bars]) for Tanner crab since 1965/66. Lower: Retained catch (males, 1000’s t) in directed fishery since 2001/02. The directed fishery was closed in 1984/85 and 1985/86, from 1996/97 to 2004/05, from 2010/11 to 2012/13, and 2016/17 and 2019/20.</w:t>
        </w:r>
        <w:r w:rsidR="008E1C57">
          <w:rPr>
            <w:noProof/>
            <w:webHidden/>
          </w:rPr>
          <w:tab/>
        </w:r>
        <w:r w:rsidR="008E1C57">
          <w:rPr>
            <w:noProof/>
            <w:webHidden/>
          </w:rPr>
          <w:fldChar w:fldCharType="begin"/>
        </w:r>
        <w:r w:rsidR="008E1C57">
          <w:rPr>
            <w:noProof/>
            <w:webHidden/>
          </w:rPr>
          <w:instrText xml:space="preserve"> PAGEREF _Toc50392542 \h </w:instrText>
        </w:r>
        <w:r w:rsidR="008E1C57">
          <w:rPr>
            <w:noProof/>
            <w:webHidden/>
          </w:rPr>
        </w:r>
        <w:r w:rsidR="008E1C57">
          <w:rPr>
            <w:noProof/>
            <w:webHidden/>
          </w:rPr>
          <w:fldChar w:fldCharType="separate"/>
        </w:r>
        <w:r w:rsidR="008E1C57">
          <w:rPr>
            <w:noProof/>
            <w:webHidden/>
          </w:rPr>
          <w:t>99</w:t>
        </w:r>
        <w:r w:rsidR="008E1C57">
          <w:rPr>
            <w:noProof/>
            <w:webHidden/>
          </w:rPr>
          <w:fldChar w:fldCharType="end"/>
        </w:r>
      </w:hyperlink>
    </w:p>
    <w:p w14:paraId="7BFDED0B" w14:textId="5AE6F56C" w:rsidR="008E1C57" w:rsidRDefault="000F0FEE">
      <w:pPr>
        <w:pStyle w:val="TableofFigures"/>
        <w:tabs>
          <w:tab w:val="right" w:leader="dot" w:pos="9350"/>
        </w:tabs>
        <w:rPr>
          <w:rFonts w:asciiTheme="minorHAnsi" w:eastAsiaTheme="minorEastAsia" w:hAnsiTheme="minorHAnsi"/>
          <w:noProof/>
          <w:sz w:val="24"/>
          <w:szCs w:val="24"/>
        </w:rPr>
      </w:pPr>
      <w:hyperlink w:anchor="_Toc50392543" w:history="1">
        <w:r w:rsidR="008E1C57" w:rsidRPr="00112307">
          <w:rPr>
            <w:rStyle w:val="Hyperlink"/>
            <w:noProof/>
          </w:rPr>
          <w:t>Figure 5. Time series of retained catch biomass (1000’s t) in the directed Tanner crab (TCF: blue), snow crab (SCF: green), and BBRKC (RKF: red) fisheries since 2005. The directed fisheries were both closed from 2010/11 to 2012/13, as well as in 2016/17 and 2019/20. Legal-sized Tanner crab can be incidentally-retained in the snow crab and BBRKC fisheries up to a cap of 5% the target catch.</w:t>
        </w:r>
        <w:r w:rsidR="008E1C57">
          <w:rPr>
            <w:noProof/>
            <w:webHidden/>
          </w:rPr>
          <w:tab/>
        </w:r>
        <w:r w:rsidR="008E1C57">
          <w:rPr>
            <w:noProof/>
            <w:webHidden/>
          </w:rPr>
          <w:fldChar w:fldCharType="begin"/>
        </w:r>
        <w:r w:rsidR="008E1C57">
          <w:rPr>
            <w:noProof/>
            <w:webHidden/>
          </w:rPr>
          <w:instrText xml:space="preserve"> PAGEREF _Toc50392543 \h </w:instrText>
        </w:r>
        <w:r w:rsidR="008E1C57">
          <w:rPr>
            <w:noProof/>
            <w:webHidden/>
          </w:rPr>
        </w:r>
        <w:r w:rsidR="008E1C57">
          <w:rPr>
            <w:noProof/>
            <w:webHidden/>
          </w:rPr>
          <w:fldChar w:fldCharType="separate"/>
        </w:r>
        <w:r w:rsidR="008E1C57">
          <w:rPr>
            <w:noProof/>
            <w:webHidden/>
          </w:rPr>
          <w:t>100</w:t>
        </w:r>
        <w:r w:rsidR="008E1C57">
          <w:rPr>
            <w:noProof/>
            <w:webHidden/>
          </w:rPr>
          <w:fldChar w:fldCharType="end"/>
        </w:r>
      </w:hyperlink>
    </w:p>
    <w:p w14:paraId="577BC7BD" w14:textId="59B8DDB4" w:rsidR="008E1C57" w:rsidRDefault="000F0FEE">
      <w:pPr>
        <w:pStyle w:val="TableofFigures"/>
        <w:tabs>
          <w:tab w:val="right" w:leader="dot" w:pos="9350"/>
        </w:tabs>
        <w:rPr>
          <w:rFonts w:asciiTheme="minorHAnsi" w:eastAsiaTheme="minorEastAsia" w:hAnsiTheme="minorHAnsi"/>
          <w:noProof/>
          <w:sz w:val="24"/>
          <w:szCs w:val="24"/>
        </w:rPr>
      </w:pPr>
      <w:hyperlink w:anchor="_Toc50392544" w:history="1">
        <w:r w:rsidR="008E1C57" w:rsidRPr="00112307">
          <w:rPr>
            <w:rStyle w:val="Hyperlink"/>
            <w:noProof/>
          </w:rPr>
          <w:t>Figure 6. Upper: total catch (retained + discards) of Tanner crab (males and females, 1000’s t) in the directed Tanner crab, snow crab, Bristol Bay red king crab, and groundfish fisheries. Bycatch reporting began in 1973 for the groundfish fisheries and in the early 1990s for the crab fisheries. Lower: detail since 2005.</w:t>
        </w:r>
        <w:r w:rsidR="008E1C57">
          <w:rPr>
            <w:noProof/>
            <w:webHidden/>
          </w:rPr>
          <w:tab/>
        </w:r>
        <w:r w:rsidR="008E1C57">
          <w:rPr>
            <w:noProof/>
            <w:webHidden/>
          </w:rPr>
          <w:fldChar w:fldCharType="begin"/>
        </w:r>
        <w:r w:rsidR="008E1C57">
          <w:rPr>
            <w:noProof/>
            <w:webHidden/>
          </w:rPr>
          <w:instrText xml:space="preserve"> PAGEREF _Toc50392544 \h </w:instrText>
        </w:r>
        <w:r w:rsidR="008E1C57">
          <w:rPr>
            <w:noProof/>
            <w:webHidden/>
          </w:rPr>
        </w:r>
        <w:r w:rsidR="008E1C57">
          <w:rPr>
            <w:noProof/>
            <w:webHidden/>
          </w:rPr>
          <w:fldChar w:fldCharType="separate"/>
        </w:r>
        <w:r w:rsidR="008E1C57">
          <w:rPr>
            <w:noProof/>
            <w:webHidden/>
          </w:rPr>
          <w:t>101</w:t>
        </w:r>
        <w:r w:rsidR="008E1C57">
          <w:rPr>
            <w:noProof/>
            <w:webHidden/>
          </w:rPr>
          <w:fldChar w:fldCharType="end"/>
        </w:r>
      </w:hyperlink>
    </w:p>
    <w:p w14:paraId="42AA8A88" w14:textId="220F0868" w:rsidR="008E1C57" w:rsidRDefault="000F0FEE">
      <w:pPr>
        <w:pStyle w:val="TableofFigures"/>
        <w:tabs>
          <w:tab w:val="right" w:leader="dot" w:pos="9350"/>
        </w:tabs>
        <w:rPr>
          <w:rFonts w:asciiTheme="minorHAnsi" w:eastAsiaTheme="minorEastAsia" w:hAnsiTheme="minorHAnsi"/>
          <w:noProof/>
          <w:sz w:val="24"/>
          <w:szCs w:val="24"/>
        </w:rPr>
      </w:pPr>
      <w:hyperlink w:anchor="_Toc50392545" w:history="1">
        <w:r w:rsidR="008E1C57" w:rsidRPr="00112307">
          <w:rPr>
            <w:rStyle w:val="Hyperlink"/>
            <w:noProof/>
          </w:rPr>
          <w:t>Figure 7. Changes in the expanded estimates of Tanner crab bycatch in the groundfish fisheries from the 2019 assessment to this one due to changes in the estimation algorithm used by AKFIN to align it with that used by the Regional Office. 19.03: 2019 assessment data; 19.03R:</w:t>
        </w:r>
        <w:r w:rsidR="008E1C57">
          <w:rPr>
            <w:noProof/>
            <w:webHidden/>
          </w:rPr>
          <w:tab/>
        </w:r>
        <w:r w:rsidR="008E1C57">
          <w:rPr>
            <w:noProof/>
            <w:webHidden/>
          </w:rPr>
          <w:fldChar w:fldCharType="begin"/>
        </w:r>
        <w:r w:rsidR="008E1C57">
          <w:rPr>
            <w:noProof/>
            <w:webHidden/>
          </w:rPr>
          <w:instrText xml:space="preserve"> PAGEREF _Toc50392545 \h </w:instrText>
        </w:r>
        <w:r w:rsidR="008E1C57">
          <w:rPr>
            <w:noProof/>
            <w:webHidden/>
          </w:rPr>
        </w:r>
        <w:r w:rsidR="008E1C57">
          <w:rPr>
            <w:noProof/>
            <w:webHidden/>
          </w:rPr>
          <w:fldChar w:fldCharType="separate"/>
        </w:r>
        <w:r w:rsidR="008E1C57">
          <w:rPr>
            <w:noProof/>
            <w:webHidden/>
          </w:rPr>
          <w:t>102</w:t>
        </w:r>
        <w:r w:rsidR="008E1C57">
          <w:rPr>
            <w:noProof/>
            <w:webHidden/>
          </w:rPr>
          <w:fldChar w:fldCharType="end"/>
        </w:r>
      </w:hyperlink>
    </w:p>
    <w:p w14:paraId="23915A53" w14:textId="02D33D43" w:rsidR="008E1C57" w:rsidRDefault="000F0FEE">
      <w:pPr>
        <w:pStyle w:val="TableofFigures"/>
        <w:tabs>
          <w:tab w:val="right" w:leader="dot" w:pos="9350"/>
        </w:tabs>
        <w:rPr>
          <w:rFonts w:asciiTheme="minorHAnsi" w:eastAsiaTheme="minorEastAsia" w:hAnsiTheme="minorHAnsi"/>
          <w:noProof/>
          <w:sz w:val="24"/>
          <w:szCs w:val="24"/>
        </w:rPr>
      </w:pPr>
      <w:hyperlink w:anchor="_Toc50392546" w:history="1">
        <w:r w:rsidR="008E1C57" w:rsidRPr="00112307">
          <w:rPr>
            <w:rStyle w:val="Hyperlink"/>
            <w:noProof/>
          </w:rPr>
          <w:t>Figure 8. Retained catch size compositions in the directed Tanner crab fisheries since the fishery re-opened in 2013/14. The directed fishery was closed in 2016/17 and 2019/20. Fishery area denoted by color: red—area west of 166</w:t>
        </w:r>
        <w:r w:rsidR="008E1C57" w:rsidRPr="00112307">
          <w:rPr>
            <w:rStyle w:val="Hyperlink"/>
            <w:noProof/>
            <w:vertAlign w:val="superscript"/>
          </w:rPr>
          <w:t>o</w:t>
        </w:r>
        <w:r w:rsidR="008E1C57" w:rsidRPr="00112307">
          <w:rPr>
            <w:rStyle w:val="Hyperlink"/>
            <w:noProof/>
          </w:rPr>
          <w:t>W, green—area east of 166</w:t>
        </w:r>
        <w:r w:rsidR="008E1C57" w:rsidRPr="00112307">
          <w:rPr>
            <w:rStyle w:val="Hyperlink"/>
            <w:noProof/>
            <w:vertAlign w:val="superscript"/>
          </w:rPr>
          <w:t>o</w:t>
        </w:r>
        <w:r w:rsidR="008E1C57" w:rsidRPr="00112307">
          <w:rPr>
            <w:rStyle w:val="Hyperlink"/>
            <w:noProof/>
          </w:rPr>
          <w:t>W; blue: all EBS (i.e., total). Shell condition is denoted by solid (new shell) or dotted (old shell) line type.</w:t>
        </w:r>
        <w:r w:rsidR="008E1C57">
          <w:rPr>
            <w:noProof/>
            <w:webHidden/>
          </w:rPr>
          <w:tab/>
        </w:r>
        <w:r w:rsidR="008E1C57">
          <w:rPr>
            <w:noProof/>
            <w:webHidden/>
          </w:rPr>
          <w:fldChar w:fldCharType="begin"/>
        </w:r>
        <w:r w:rsidR="008E1C57">
          <w:rPr>
            <w:noProof/>
            <w:webHidden/>
          </w:rPr>
          <w:instrText xml:space="preserve"> PAGEREF _Toc50392546 \h </w:instrText>
        </w:r>
        <w:r w:rsidR="008E1C57">
          <w:rPr>
            <w:noProof/>
            <w:webHidden/>
          </w:rPr>
        </w:r>
        <w:r w:rsidR="008E1C57">
          <w:rPr>
            <w:noProof/>
            <w:webHidden/>
          </w:rPr>
          <w:fldChar w:fldCharType="separate"/>
        </w:r>
        <w:r w:rsidR="008E1C57">
          <w:rPr>
            <w:noProof/>
            <w:webHidden/>
          </w:rPr>
          <w:t>103</w:t>
        </w:r>
        <w:r w:rsidR="008E1C57">
          <w:rPr>
            <w:noProof/>
            <w:webHidden/>
          </w:rPr>
          <w:fldChar w:fldCharType="end"/>
        </w:r>
      </w:hyperlink>
    </w:p>
    <w:p w14:paraId="1A42F09B" w14:textId="5913DE3E" w:rsidR="008E1C57" w:rsidRDefault="000F0FEE">
      <w:pPr>
        <w:pStyle w:val="TableofFigures"/>
        <w:tabs>
          <w:tab w:val="right" w:leader="dot" w:pos="9350"/>
        </w:tabs>
        <w:rPr>
          <w:rFonts w:asciiTheme="minorHAnsi" w:eastAsiaTheme="minorEastAsia" w:hAnsiTheme="minorHAnsi"/>
          <w:noProof/>
          <w:sz w:val="24"/>
          <w:szCs w:val="24"/>
        </w:rPr>
      </w:pPr>
      <w:hyperlink w:anchor="_Toc50392547" w:history="1">
        <w:r w:rsidR="008E1C57" w:rsidRPr="00112307">
          <w:rPr>
            <w:rStyle w:val="Hyperlink"/>
            <w:noProof/>
          </w:rPr>
          <w:t>Figure 9. Total catch (retained + discards) size compositions for males, normalized by fleet for the directed Tanner crab (by area, TCF: red and green), snow crab (SCF: cyan), and BBRKC (RKF: purple) fisheries. Solid lines: new shell crab; dotted lines: old shell crab.</w:t>
        </w:r>
        <w:r w:rsidR="008E1C57">
          <w:rPr>
            <w:noProof/>
            <w:webHidden/>
          </w:rPr>
          <w:tab/>
        </w:r>
        <w:r w:rsidR="008E1C57">
          <w:rPr>
            <w:noProof/>
            <w:webHidden/>
          </w:rPr>
          <w:fldChar w:fldCharType="begin"/>
        </w:r>
        <w:r w:rsidR="008E1C57">
          <w:rPr>
            <w:noProof/>
            <w:webHidden/>
          </w:rPr>
          <w:instrText xml:space="preserve"> PAGEREF _Toc50392547 \h </w:instrText>
        </w:r>
        <w:r w:rsidR="008E1C57">
          <w:rPr>
            <w:noProof/>
            <w:webHidden/>
          </w:rPr>
        </w:r>
        <w:r w:rsidR="008E1C57">
          <w:rPr>
            <w:noProof/>
            <w:webHidden/>
          </w:rPr>
          <w:fldChar w:fldCharType="separate"/>
        </w:r>
        <w:r w:rsidR="008E1C57">
          <w:rPr>
            <w:noProof/>
            <w:webHidden/>
          </w:rPr>
          <w:t>106</w:t>
        </w:r>
        <w:r w:rsidR="008E1C57">
          <w:rPr>
            <w:noProof/>
            <w:webHidden/>
          </w:rPr>
          <w:fldChar w:fldCharType="end"/>
        </w:r>
      </w:hyperlink>
    </w:p>
    <w:p w14:paraId="1515249B" w14:textId="6426257C" w:rsidR="008E1C57" w:rsidRDefault="000F0FEE">
      <w:pPr>
        <w:pStyle w:val="TableofFigures"/>
        <w:tabs>
          <w:tab w:val="right" w:leader="dot" w:pos="9350"/>
        </w:tabs>
        <w:rPr>
          <w:rFonts w:asciiTheme="minorHAnsi" w:eastAsiaTheme="minorEastAsia" w:hAnsiTheme="minorHAnsi"/>
          <w:noProof/>
          <w:sz w:val="24"/>
          <w:szCs w:val="24"/>
        </w:rPr>
      </w:pPr>
      <w:hyperlink w:anchor="_Toc50392548" w:history="1">
        <w:r w:rsidR="008E1C57" w:rsidRPr="00112307">
          <w:rPr>
            <w:rStyle w:val="Hyperlink"/>
            <w:noProof/>
          </w:rPr>
          <w:t>Figure 10. Bycatch size compositions for females, normalized by fleet, for the directed Tanner crab (by area, TCF: red and green), snow crab (SCF: cyan), and BBRKC (RKF: purple) fisheries. Solid lines: new shell crab; dotted lines: old shell crab.</w:t>
        </w:r>
        <w:r w:rsidR="008E1C57">
          <w:rPr>
            <w:noProof/>
            <w:webHidden/>
          </w:rPr>
          <w:tab/>
        </w:r>
        <w:r w:rsidR="008E1C57">
          <w:rPr>
            <w:noProof/>
            <w:webHidden/>
          </w:rPr>
          <w:fldChar w:fldCharType="begin"/>
        </w:r>
        <w:r w:rsidR="008E1C57">
          <w:rPr>
            <w:noProof/>
            <w:webHidden/>
          </w:rPr>
          <w:instrText xml:space="preserve"> PAGEREF _Toc50392548 \h </w:instrText>
        </w:r>
        <w:r w:rsidR="008E1C57">
          <w:rPr>
            <w:noProof/>
            <w:webHidden/>
          </w:rPr>
        </w:r>
        <w:r w:rsidR="008E1C57">
          <w:rPr>
            <w:noProof/>
            <w:webHidden/>
          </w:rPr>
          <w:fldChar w:fldCharType="separate"/>
        </w:r>
        <w:r w:rsidR="008E1C57">
          <w:rPr>
            <w:noProof/>
            <w:webHidden/>
          </w:rPr>
          <w:t>112</w:t>
        </w:r>
        <w:r w:rsidR="008E1C57">
          <w:rPr>
            <w:noProof/>
            <w:webHidden/>
          </w:rPr>
          <w:fldChar w:fldCharType="end"/>
        </w:r>
      </w:hyperlink>
    </w:p>
    <w:p w14:paraId="672A0DEC" w14:textId="0B8E975B" w:rsidR="008E1C57" w:rsidRDefault="000F0FEE">
      <w:pPr>
        <w:pStyle w:val="TableofFigures"/>
        <w:tabs>
          <w:tab w:val="right" w:leader="dot" w:pos="9350"/>
        </w:tabs>
        <w:rPr>
          <w:rFonts w:asciiTheme="minorHAnsi" w:eastAsiaTheme="minorEastAsia" w:hAnsiTheme="minorHAnsi"/>
          <w:noProof/>
          <w:sz w:val="24"/>
          <w:szCs w:val="24"/>
        </w:rPr>
      </w:pPr>
      <w:hyperlink w:anchor="_Toc50392549" w:history="1">
        <w:r w:rsidR="008E1C57" w:rsidRPr="00112307">
          <w:rPr>
            <w:rStyle w:val="Hyperlink"/>
            <w:noProof/>
          </w:rPr>
          <w:t>Figure 11. Annual bycatch size compositions in the groundfish fisheries by sex and gear type, expanded to total bycatch starting in 1990. Colors indicate gear type (red: all types, olive: fixed gear, cyan: trawl gear, purple: undetermined). Line type indicates sex (solid: males, dotted: females).</w:t>
        </w:r>
        <w:r w:rsidR="008E1C57">
          <w:rPr>
            <w:noProof/>
            <w:webHidden/>
          </w:rPr>
          <w:tab/>
        </w:r>
        <w:r w:rsidR="008E1C57">
          <w:rPr>
            <w:noProof/>
            <w:webHidden/>
          </w:rPr>
          <w:fldChar w:fldCharType="begin"/>
        </w:r>
        <w:r w:rsidR="008E1C57">
          <w:rPr>
            <w:noProof/>
            <w:webHidden/>
          </w:rPr>
          <w:instrText xml:space="preserve"> PAGEREF _Toc50392549 \h </w:instrText>
        </w:r>
        <w:r w:rsidR="008E1C57">
          <w:rPr>
            <w:noProof/>
            <w:webHidden/>
          </w:rPr>
        </w:r>
        <w:r w:rsidR="008E1C57">
          <w:rPr>
            <w:noProof/>
            <w:webHidden/>
          </w:rPr>
          <w:fldChar w:fldCharType="separate"/>
        </w:r>
        <w:r w:rsidR="008E1C57">
          <w:rPr>
            <w:noProof/>
            <w:webHidden/>
          </w:rPr>
          <w:t>118</w:t>
        </w:r>
        <w:r w:rsidR="008E1C57">
          <w:rPr>
            <w:noProof/>
            <w:webHidden/>
          </w:rPr>
          <w:fldChar w:fldCharType="end"/>
        </w:r>
      </w:hyperlink>
    </w:p>
    <w:p w14:paraId="5364F8BD" w14:textId="5554CE8B" w:rsidR="008E1C57" w:rsidRDefault="000F0FEE">
      <w:pPr>
        <w:pStyle w:val="TableofFigures"/>
        <w:tabs>
          <w:tab w:val="right" w:leader="dot" w:pos="9350"/>
        </w:tabs>
        <w:rPr>
          <w:rFonts w:asciiTheme="minorHAnsi" w:eastAsiaTheme="minorEastAsia" w:hAnsiTheme="minorHAnsi"/>
          <w:noProof/>
          <w:sz w:val="24"/>
          <w:szCs w:val="24"/>
        </w:rPr>
      </w:pPr>
      <w:hyperlink w:anchor="_Toc50392550" w:history="1">
        <w:r w:rsidR="008E1C57" w:rsidRPr="00112307">
          <w:rPr>
            <w:rStyle w:val="Hyperlink"/>
            <w:noProof/>
          </w:rPr>
          <w:t>Figure 12. Annual estimates of area-swept biomass from the NMFS EBS bottom trawl survey, by sex, maturity state, and management area. Red lines: total biomass; green lines: biomass in the eastern area; blue: biomass in the western area.</w:t>
        </w:r>
        <w:r w:rsidR="008E1C57">
          <w:rPr>
            <w:noProof/>
            <w:webHidden/>
          </w:rPr>
          <w:tab/>
        </w:r>
        <w:r w:rsidR="008E1C57">
          <w:rPr>
            <w:noProof/>
            <w:webHidden/>
          </w:rPr>
          <w:fldChar w:fldCharType="begin"/>
        </w:r>
        <w:r w:rsidR="008E1C57">
          <w:rPr>
            <w:noProof/>
            <w:webHidden/>
          </w:rPr>
          <w:instrText xml:space="preserve"> PAGEREF _Toc50392550 \h </w:instrText>
        </w:r>
        <w:r w:rsidR="008E1C57">
          <w:rPr>
            <w:noProof/>
            <w:webHidden/>
          </w:rPr>
        </w:r>
        <w:r w:rsidR="008E1C57">
          <w:rPr>
            <w:noProof/>
            <w:webHidden/>
          </w:rPr>
          <w:fldChar w:fldCharType="separate"/>
        </w:r>
        <w:r w:rsidR="008E1C57">
          <w:rPr>
            <w:noProof/>
            <w:webHidden/>
          </w:rPr>
          <w:t>122</w:t>
        </w:r>
        <w:r w:rsidR="008E1C57">
          <w:rPr>
            <w:noProof/>
            <w:webHidden/>
          </w:rPr>
          <w:fldChar w:fldCharType="end"/>
        </w:r>
      </w:hyperlink>
    </w:p>
    <w:p w14:paraId="63A75AFA" w14:textId="2272EEEC" w:rsidR="008E1C57" w:rsidRDefault="000F0FEE">
      <w:pPr>
        <w:pStyle w:val="TableofFigures"/>
        <w:tabs>
          <w:tab w:val="right" w:leader="dot" w:pos="9350"/>
        </w:tabs>
        <w:rPr>
          <w:rFonts w:asciiTheme="minorHAnsi" w:eastAsiaTheme="minorEastAsia" w:hAnsiTheme="minorHAnsi"/>
          <w:noProof/>
          <w:sz w:val="24"/>
          <w:szCs w:val="24"/>
        </w:rPr>
      </w:pPr>
      <w:hyperlink w:anchor="_Toc50392551" w:history="1">
        <w:r w:rsidR="008E1C57" w:rsidRPr="00112307">
          <w:rPr>
            <w:rStyle w:val="Hyperlink"/>
            <w:noProof/>
          </w:rPr>
          <w:t>Figure 13. Annual estimates of area-swept biomass from the NMFS EBS bottom trawl survey for preferred-size (&gt;125 mm CW) legal males . Red lines: total biomass; green lines: biomass in the eastern area; blue: biomass in the western area.</w:t>
        </w:r>
        <w:r w:rsidR="008E1C57">
          <w:rPr>
            <w:noProof/>
            <w:webHidden/>
          </w:rPr>
          <w:tab/>
        </w:r>
        <w:r w:rsidR="008E1C57">
          <w:rPr>
            <w:noProof/>
            <w:webHidden/>
          </w:rPr>
          <w:fldChar w:fldCharType="begin"/>
        </w:r>
        <w:r w:rsidR="008E1C57">
          <w:rPr>
            <w:noProof/>
            <w:webHidden/>
          </w:rPr>
          <w:instrText xml:space="preserve"> PAGEREF _Toc50392551 \h </w:instrText>
        </w:r>
        <w:r w:rsidR="008E1C57">
          <w:rPr>
            <w:noProof/>
            <w:webHidden/>
          </w:rPr>
        </w:r>
        <w:r w:rsidR="008E1C57">
          <w:rPr>
            <w:noProof/>
            <w:webHidden/>
          </w:rPr>
          <w:fldChar w:fldCharType="separate"/>
        </w:r>
        <w:r w:rsidR="008E1C57">
          <w:rPr>
            <w:noProof/>
            <w:webHidden/>
          </w:rPr>
          <w:t>124</w:t>
        </w:r>
        <w:r w:rsidR="008E1C57">
          <w:rPr>
            <w:noProof/>
            <w:webHidden/>
          </w:rPr>
          <w:fldChar w:fldCharType="end"/>
        </w:r>
      </w:hyperlink>
    </w:p>
    <w:p w14:paraId="265A0D60" w14:textId="49E82FB3" w:rsidR="008E1C57" w:rsidRDefault="000F0FEE">
      <w:pPr>
        <w:pStyle w:val="TableofFigures"/>
        <w:tabs>
          <w:tab w:val="right" w:leader="dot" w:pos="9350"/>
        </w:tabs>
        <w:rPr>
          <w:rFonts w:asciiTheme="minorHAnsi" w:eastAsiaTheme="minorEastAsia" w:hAnsiTheme="minorHAnsi"/>
          <w:noProof/>
          <w:sz w:val="24"/>
          <w:szCs w:val="24"/>
        </w:rPr>
      </w:pPr>
      <w:hyperlink w:anchor="_Toc50392552" w:history="1">
        <w:r w:rsidR="008E1C57" w:rsidRPr="00112307">
          <w:rPr>
            <w:rStyle w:val="Hyperlink"/>
            <w:noProof/>
          </w:rPr>
          <w:t>Figure 14. Spatial footprints (stations occupied in green) during the BSFRF-NMFS cooperative side-by-side (SBS) catchability studies in 2013-2017. Squares and circles represent stations in the standard NMFS EBS bottom trawl survey (which extends beyond the area shown in the maps).</w:t>
        </w:r>
        <w:r w:rsidR="008E1C57">
          <w:rPr>
            <w:noProof/>
            <w:webHidden/>
          </w:rPr>
          <w:tab/>
        </w:r>
        <w:r w:rsidR="008E1C57">
          <w:rPr>
            <w:noProof/>
            <w:webHidden/>
          </w:rPr>
          <w:fldChar w:fldCharType="begin"/>
        </w:r>
        <w:r w:rsidR="008E1C57">
          <w:rPr>
            <w:noProof/>
            <w:webHidden/>
          </w:rPr>
          <w:instrText xml:space="preserve"> PAGEREF _Toc50392552 \h </w:instrText>
        </w:r>
        <w:r w:rsidR="008E1C57">
          <w:rPr>
            <w:noProof/>
            <w:webHidden/>
          </w:rPr>
        </w:r>
        <w:r w:rsidR="008E1C57">
          <w:rPr>
            <w:noProof/>
            <w:webHidden/>
          </w:rPr>
          <w:fldChar w:fldCharType="separate"/>
        </w:r>
        <w:r w:rsidR="008E1C57">
          <w:rPr>
            <w:noProof/>
            <w:webHidden/>
          </w:rPr>
          <w:t>125</w:t>
        </w:r>
        <w:r w:rsidR="008E1C57">
          <w:rPr>
            <w:noProof/>
            <w:webHidden/>
          </w:rPr>
          <w:fldChar w:fldCharType="end"/>
        </w:r>
      </w:hyperlink>
    </w:p>
    <w:p w14:paraId="67BFEC92" w14:textId="3A90257A" w:rsidR="008E1C57" w:rsidRDefault="000F0FEE">
      <w:pPr>
        <w:pStyle w:val="TableofFigures"/>
        <w:tabs>
          <w:tab w:val="right" w:leader="dot" w:pos="9350"/>
        </w:tabs>
        <w:rPr>
          <w:rFonts w:asciiTheme="minorHAnsi" w:eastAsiaTheme="minorEastAsia" w:hAnsiTheme="minorHAnsi"/>
          <w:noProof/>
          <w:sz w:val="24"/>
          <w:szCs w:val="24"/>
        </w:rPr>
      </w:pPr>
      <w:hyperlink w:anchor="_Toc50392553" w:history="1">
        <w:r w:rsidR="008E1C57" w:rsidRPr="00112307">
          <w:rPr>
            <w:rStyle w:val="Hyperlink"/>
            <w:noProof/>
          </w:rPr>
          <w:t xml:space="preserve">Figure 15. Annual estimates of area-swept biomass from the BSFRF-NMFS cooperative side-by-side (SBS) catchability studies in 2013-2017. The SBS studies had different spatial footprints each year, so </w:t>
        </w:r>
        <w:r w:rsidR="008E1C57" w:rsidRPr="00112307">
          <w:rPr>
            <w:rStyle w:val="Hyperlink"/>
            <w:noProof/>
          </w:rPr>
          <w:lastRenderedPageBreak/>
          <w:t>annual changes in biomass do not necessarily reflect underlying population trends. Red lines: BSFRF; green lines: NMFS.</w:t>
        </w:r>
        <w:r w:rsidR="008E1C57">
          <w:rPr>
            <w:noProof/>
            <w:webHidden/>
          </w:rPr>
          <w:tab/>
        </w:r>
        <w:r w:rsidR="008E1C57">
          <w:rPr>
            <w:noProof/>
            <w:webHidden/>
          </w:rPr>
          <w:fldChar w:fldCharType="begin"/>
        </w:r>
        <w:r w:rsidR="008E1C57">
          <w:rPr>
            <w:noProof/>
            <w:webHidden/>
          </w:rPr>
          <w:instrText xml:space="preserve"> PAGEREF _Toc50392553 \h </w:instrText>
        </w:r>
        <w:r w:rsidR="008E1C57">
          <w:rPr>
            <w:noProof/>
            <w:webHidden/>
          </w:rPr>
        </w:r>
        <w:r w:rsidR="008E1C57">
          <w:rPr>
            <w:noProof/>
            <w:webHidden/>
          </w:rPr>
          <w:fldChar w:fldCharType="separate"/>
        </w:r>
        <w:r w:rsidR="008E1C57">
          <w:rPr>
            <w:noProof/>
            <w:webHidden/>
          </w:rPr>
          <w:t>126</w:t>
        </w:r>
        <w:r w:rsidR="008E1C57">
          <w:rPr>
            <w:noProof/>
            <w:webHidden/>
          </w:rPr>
          <w:fldChar w:fldCharType="end"/>
        </w:r>
      </w:hyperlink>
    </w:p>
    <w:p w14:paraId="48E38EEE" w14:textId="20163E89" w:rsidR="008E1C57" w:rsidRDefault="000F0FEE">
      <w:pPr>
        <w:pStyle w:val="TableofFigures"/>
        <w:tabs>
          <w:tab w:val="right" w:leader="dot" w:pos="9350"/>
        </w:tabs>
        <w:rPr>
          <w:rFonts w:asciiTheme="minorHAnsi" w:eastAsiaTheme="minorEastAsia" w:hAnsiTheme="minorHAnsi"/>
          <w:noProof/>
          <w:sz w:val="24"/>
          <w:szCs w:val="24"/>
        </w:rPr>
      </w:pPr>
      <w:hyperlink w:anchor="_Toc50392554" w:history="1">
        <w:r w:rsidR="008E1C57" w:rsidRPr="00112307">
          <w:rPr>
            <w:rStyle w:val="Hyperlink"/>
            <w:noProof/>
          </w:rPr>
          <w:t>Figure 16. Size compositions from the NMFS EBS bottom trawl survey for 1975-2019.</w:t>
        </w:r>
        <w:r w:rsidR="008E1C57">
          <w:rPr>
            <w:noProof/>
            <w:webHidden/>
          </w:rPr>
          <w:tab/>
        </w:r>
        <w:r w:rsidR="008E1C57">
          <w:rPr>
            <w:noProof/>
            <w:webHidden/>
          </w:rPr>
          <w:fldChar w:fldCharType="begin"/>
        </w:r>
        <w:r w:rsidR="008E1C57">
          <w:rPr>
            <w:noProof/>
            <w:webHidden/>
          </w:rPr>
          <w:instrText xml:space="preserve"> PAGEREF _Toc50392554 \h </w:instrText>
        </w:r>
        <w:r w:rsidR="008E1C57">
          <w:rPr>
            <w:noProof/>
            <w:webHidden/>
          </w:rPr>
        </w:r>
        <w:r w:rsidR="008E1C57">
          <w:rPr>
            <w:noProof/>
            <w:webHidden/>
          </w:rPr>
          <w:fldChar w:fldCharType="separate"/>
        </w:r>
        <w:r w:rsidR="008E1C57">
          <w:rPr>
            <w:noProof/>
            <w:webHidden/>
          </w:rPr>
          <w:t>127</w:t>
        </w:r>
        <w:r w:rsidR="008E1C57">
          <w:rPr>
            <w:noProof/>
            <w:webHidden/>
          </w:rPr>
          <w:fldChar w:fldCharType="end"/>
        </w:r>
      </w:hyperlink>
    </w:p>
    <w:p w14:paraId="5CEF1DE5" w14:textId="4DFD16E1" w:rsidR="008E1C57" w:rsidRDefault="000F0FEE">
      <w:pPr>
        <w:pStyle w:val="TableofFigures"/>
        <w:tabs>
          <w:tab w:val="right" w:leader="dot" w:pos="9350"/>
        </w:tabs>
        <w:rPr>
          <w:rFonts w:asciiTheme="minorHAnsi" w:eastAsiaTheme="minorEastAsia" w:hAnsiTheme="minorHAnsi"/>
          <w:noProof/>
          <w:sz w:val="24"/>
          <w:szCs w:val="24"/>
        </w:rPr>
      </w:pPr>
      <w:hyperlink w:anchor="_Toc50392555" w:history="1">
        <w:r w:rsidR="008E1C57" w:rsidRPr="00112307">
          <w:rPr>
            <w:rStyle w:val="Hyperlink"/>
            <w:noProof/>
          </w:rPr>
          <w:t>Figure 17. Annual size compositions of area-swept abundance by sex from the BSFRF-NMFS cooperative side-by-side (SBS) catchability studies in 2013-2016. Red lines: BSFRF; green lines: NMFS.</w:t>
        </w:r>
        <w:r w:rsidR="008E1C57">
          <w:rPr>
            <w:noProof/>
            <w:webHidden/>
          </w:rPr>
          <w:tab/>
        </w:r>
        <w:r w:rsidR="008E1C57">
          <w:rPr>
            <w:noProof/>
            <w:webHidden/>
          </w:rPr>
          <w:fldChar w:fldCharType="begin"/>
        </w:r>
        <w:r w:rsidR="008E1C57">
          <w:rPr>
            <w:noProof/>
            <w:webHidden/>
          </w:rPr>
          <w:instrText xml:space="preserve"> PAGEREF _Toc50392555 \h </w:instrText>
        </w:r>
        <w:r w:rsidR="008E1C57">
          <w:rPr>
            <w:noProof/>
            <w:webHidden/>
          </w:rPr>
        </w:r>
        <w:r w:rsidR="008E1C57">
          <w:rPr>
            <w:noProof/>
            <w:webHidden/>
          </w:rPr>
          <w:fldChar w:fldCharType="separate"/>
        </w:r>
        <w:r w:rsidR="008E1C57">
          <w:rPr>
            <w:noProof/>
            <w:webHidden/>
          </w:rPr>
          <w:t>128</w:t>
        </w:r>
        <w:r w:rsidR="008E1C57">
          <w:rPr>
            <w:noProof/>
            <w:webHidden/>
          </w:rPr>
          <w:fldChar w:fldCharType="end"/>
        </w:r>
      </w:hyperlink>
    </w:p>
    <w:p w14:paraId="5C5AC76F" w14:textId="3333AAA3" w:rsidR="008E1C57" w:rsidRDefault="000F0FEE">
      <w:pPr>
        <w:pStyle w:val="TableofFigures"/>
        <w:tabs>
          <w:tab w:val="right" w:leader="dot" w:pos="9350"/>
        </w:tabs>
        <w:rPr>
          <w:rFonts w:asciiTheme="minorHAnsi" w:eastAsiaTheme="minorEastAsia" w:hAnsiTheme="minorHAnsi"/>
          <w:noProof/>
          <w:sz w:val="24"/>
          <w:szCs w:val="24"/>
        </w:rPr>
      </w:pPr>
      <w:hyperlink w:anchor="_Toc50392556" w:history="1">
        <w:r w:rsidR="008E1C57" w:rsidRPr="00112307">
          <w:rPr>
            <w:rStyle w:val="Hyperlink"/>
            <w:noProof/>
          </w:rPr>
          <w:t>Figure 18. Annual estimates of area-swept abundance (blue circles) from the NMFS EBS bottom trawl survey, by sex and maturity state for 2014 and 2015. Local abundance scales with symbol area. The background “heatmap” represents bottom water temperatures at the time of the survey.</w:t>
        </w:r>
        <w:r w:rsidR="008E1C57">
          <w:rPr>
            <w:noProof/>
            <w:webHidden/>
          </w:rPr>
          <w:tab/>
        </w:r>
        <w:r w:rsidR="008E1C57">
          <w:rPr>
            <w:noProof/>
            <w:webHidden/>
          </w:rPr>
          <w:fldChar w:fldCharType="begin"/>
        </w:r>
        <w:r w:rsidR="008E1C57">
          <w:rPr>
            <w:noProof/>
            <w:webHidden/>
          </w:rPr>
          <w:instrText xml:space="preserve"> PAGEREF _Toc50392556 \h </w:instrText>
        </w:r>
        <w:r w:rsidR="008E1C57">
          <w:rPr>
            <w:noProof/>
            <w:webHidden/>
          </w:rPr>
        </w:r>
        <w:r w:rsidR="008E1C57">
          <w:rPr>
            <w:noProof/>
            <w:webHidden/>
          </w:rPr>
          <w:fldChar w:fldCharType="separate"/>
        </w:r>
        <w:r w:rsidR="008E1C57">
          <w:rPr>
            <w:noProof/>
            <w:webHidden/>
          </w:rPr>
          <w:t>130</w:t>
        </w:r>
        <w:r w:rsidR="008E1C57">
          <w:rPr>
            <w:noProof/>
            <w:webHidden/>
          </w:rPr>
          <w:fldChar w:fldCharType="end"/>
        </w:r>
      </w:hyperlink>
    </w:p>
    <w:p w14:paraId="21A1E716" w14:textId="1CB91F0D" w:rsidR="008E1C57" w:rsidRDefault="000F0FEE">
      <w:pPr>
        <w:pStyle w:val="TableofFigures"/>
        <w:tabs>
          <w:tab w:val="right" w:leader="dot" w:pos="9350"/>
        </w:tabs>
        <w:rPr>
          <w:rFonts w:asciiTheme="minorHAnsi" w:eastAsiaTheme="minorEastAsia" w:hAnsiTheme="minorHAnsi"/>
          <w:noProof/>
          <w:sz w:val="24"/>
          <w:szCs w:val="24"/>
        </w:rPr>
      </w:pPr>
      <w:hyperlink w:anchor="_Toc50392557" w:history="1">
        <w:r w:rsidR="008E1C57" w:rsidRPr="00112307">
          <w:rPr>
            <w:rStyle w:val="Hyperlink"/>
            <w:noProof/>
          </w:rPr>
          <w:t>Figure 19. Male maturity ogives (the fraction of new shell mature males, relative to all new shell males) as determined from chela height:carapace width ratios from the NMFS EBS bottom trawl survey for years when chela heights were collected with 0.1 mm precision..</w:t>
        </w:r>
        <w:r w:rsidR="008E1C57">
          <w:rPr>
            <w:noProof/>
            <w:webHidden/>
          </w:rPr>
          <w:tab/>
        </w:r>
        <w:r w:rsidR="008E1C57">
          <w:rPr>
            <w:noProof/>
            <w:webHidden/>
          </w:rPr>
          <w:fldChar w:fldCharType="begin"/>
        </w:r>
        <w:r w:rsidR="008E1C57">
          <w:rPr>
            <w:noProof/>
            <w:webHidden/>
          </w:rPr>
          <w:instrText xml:space="preserve"> PAGEREF _Toc50392557 \h </w:instrText>
        </w:r>
        <w:r w:rsidR="008E1C57">
          <w:rPr>
            <w:noProof/>
            <w:webHidden/>
          </w:rPr>
        </w:r>
        <w:r w:rsidR="008E1C57">
          <w:rPr>
            <w:noProof/>
            <w:webHidden/>
          </w:rPr>
          <w:fldChar w:fldCharType="separate"/>
        </w:r>
        <w:r w:rsidR="008E1C57">
          <w:rPr>
            <w:noProof/>
            <w:webHidden/>
          </w:rPr>
          <w:t>133</w:t>
        </w:r>
        <w:r w:rsidR="008E1C57">
          <w:rPr>
            <w:noProof/>
            <w:webHidden/>
          </w:rPr>
          <w:fldChar w:fldCharType="end"/>
        </w:r>
      </w:hyperlink>
    </w:p>
    <w:p w14:paraId="5B2AF0D6" w14:textId="360F2F9F" w:rsidR="008E1C57" w:rsidRDefault="000F0FEE">
      <w:pPr>
        <w:pStyle w:val="TableofFigures"/>
        <w:tabs>
          <w:tab w:val="right" w:leader="dot" w:pos="9350"/>
        </w:tabs>
        <w:rPr>
          <w:rFonts w:asciiTheme="minorHAnsi" w:eastAsiaTheme="minorEastAsia" w:hAnsiTheme="minorHAnsi"/>
          <w:noProof/>
          <w:sz w:val="24"/>
          <w:szCs w:val="24"/>
        </w:rPr>
      </w:pPr>
      <w:hyperlink w:anchor="_Toc50392558" w:history="1">
        <w:r w:rsidR="008E1C57" w:rsidRPr="00112307">
          <w:rPr>
            <w:rStyle w:val="Hyperlink"/>
            <w:noProof/>
          </w:rPr>
          <w:t>Figure 20. Molt increment data collected collaboratively by NMFS, BSFRF, and ADFG.</w:t>
        </w:r>
        <w:r w:rsidR="008E1C57">
          <w:rPr>
            <w:noProof/>
            <w:webHidden/>
          </w:rPr>
          <w:tab/>
        </w:r>
        <w:r w:rsidR="008E1C57">
          <w:rPr>
            <w:noProof/>
            <w:webHidden/>
          </w:rPr>
          <w:fldChar w:fldCharType="begin"/>
        </w:r>
        <w:r w:rsidR="008E1C57">
          <w:rPr>
            <w:noProof/>
            <w:webHidden/>
          </w:rPr>
          <w:instrText xml:space="preserve"> PAGEREF _Toc50392558 \h </w:instrText>
        </w:r>
        <w:r w:rsidR="008E1C57">
          <w:rPr>
            <w:noProof/>
            <w:webHidden/>
          </w:rPr>
        </w:r>
        <w:r w:rsidR="008E1C57">
          <w:rPr>
            <w:noProof/>
            <w:webHidden/>
          </w:rPr>
          <w:fldChar w:fldCharType="separate"/>
        </w:r>
        <w:r w:rsidR="008E1C57">
          <w:rPr>
            <w:noProof/>
            <w:webHidden/>
          </w:rPr>
          <w:t>133</w:t>
        </w:r>
        <w:r w:rsidR="008E1C57">
          <w:rPr>
            <w:noProof/>
            <w:webHidden/>
          </w:rPr>
          <w:fldChar w:fldCharType="end"/>
        </w:r>
      </w:hyperlink>
    </w:p>
    <w:p w14:paraId="19662447" w14:textId="770BEC05" w:rsidR="008E1C57" w:rsidRDefault="000F0FEE">
      <w:pPr>
        <w:pStyle w:val="TableofFigures"/>
        <w:tabs>
          <w:tab w:val="right" w:leader="dot" w:pos="9350"/>
        </w:tabs>
        <w:rPr>
          <w:rFonts w:asciiTheme="minorHAnsi" w:eastAsiaTheme="minorEastAsia" w:hAnsiTheme="minorHAnsi"/>
          <w:noProof/>
          <w:sz w:val="24"/>
          <w:szCs w:val="24"/>
        </w:rPr>
      </w:pPr>
      <w:hyperlink w:anchor="_Toc50392559" w:history="1">
        <w:r w:rsidR="008E1C57" w:rsidRPr="00112307">
          <w:rPr>
            <w:rStyle w:val="Hyperlink"/>
            <w:noProof/>
          </w:rPr>
          <w:t>Figure 21. Size-weight relationships developed from NMFS EBS summer trawl survey data.</w:t>
        </w:r>
        <w:r w:rsidR="008E1C57">
          <w:rPr>
            <w:noProof/>
            <w:webHidden/>
          </w:rPr>
          <w:tab/>
        </w:r>
        <w:r w:rsidR="008E1C57">
          <w:rPr>
            <w:noProof/>
            <w:webHidden/>
          </w:rPr>
          <w:fldChar w:fldCharType="begin"/>
        </w:r>
        <w:r w:rsidR="008E1C57">
          <w:rPr>
            <w:noProof/>
            <w:webHidden/>
          </w:rPr>
          <w:instrText xml:space="preserve"> PAGEREF _Toc50392559 \h </w:instrText>
        </w:r>
        <w:r w:rsidR="008E1C57">
          <w:rPr>
            <w:noProof/>
            <w:webHidden/>
          </w:rPr>
        </w:r>
        <w:r w:rsidR="008E1C57">
          <w:rPr>
            <w:noProof/>
            <w:webHidden/>
          </w:rPr>
          <w:fldChar w:fldCharType="separate"/>
        </w:r>
        <w:r w:rsidR="008E1C57">
          <w:rPr>
            <w:noProof/>
            <w:webHidden/>
          </w:rPr>
          <w:t>134</w:t>
        </w:r>
        <w:r w:rsidR="008E1C57">
          <w:rPr>
            <w:noProof/>
            <w:webHidden/>
          </w:rPr>
          <w:fldChar w:fldCharType="end"/>
        </w:r>
      </w:hyperlink>
    </w:p>
    <w:p w14:paraId="7E8A65CC" w14:textId="306A8910" w:rsidR="008E1C57" w:rsidRDefault="000F0FEE">
      <w:pPr>
        <w:pStyle w:val="TableofFigures"/>
        <w:tabs>
          <w:tab w:val="right" w:leader="dot" w:pos="9350"/>
        </w:tabs>
        <w:rPr>
          <w:rFonts w:asciiTheme="minorHAnsi" w:eastAsiaTheme="minorEastAsia" w:hAnsiTheme="minorHAnsi"/>
          <w:noProof/>
          <w:sz w:val="24"/>
          <w:szCs w:val="24"/>
        </w:rPr>
      </w:pPr>
      <w:hyperlink w:anchor="_Toc50392560" w:history="1">
        <w:r w:rsidR="008E1C57" w:rsidRPr="00112307">
          <w:rPr>
            <w:rStyle w:val="Hyperlink"/>
            <w:noProof/>
          </w:rPr>
          <w:t>Figure 22. Assumed size distribution for recruits entering the population.</w:t>
        </w:r>
        <w:r w:rsidR="008E1C57">
          <w:rPr>
            <w:noProof/>
            <w:webHidden/>
          </w:rPr>
          <w:tab/>
        </w:r>
        <w:r w:rsidR="008E1C57">
          <w:rPr>
            <w:noProof/>
            <w:webHidden/>
          </w:rPr>
          <w:fldChar w:fldCharType="begin"/>
        </w:r>
        <w:r w:rsidR="008E1C57">
          <w:rPr>
            <w:noProof/>
            <w:webHidden/>
          </w:rPr>
          <w:instrText xml:space="preserve"> PAGEREF _Toc50392560 \h </w:instrText>
        </w:r>
        <w:r w:rsidR="008E1C57">
          <w:rPr>
            <w:noProof/>
            <w:webHidden/>
          </w:rPr>
        </w:r>
        <w:r w:rsidR="008E1C57">
          <w:rPr>
            <w:noProof/>
            <w:webHidden/>
          </w:rPr>
          <w:fldChar w:fldCharType="separate"/>
        </w:r>
        <w:r w:rsidR="008E1C57">
          <w:rPr>
            <w:noProof/>
            <w:webHidden/>
          </w:rPr>
          <w:t>134</w:t>
        </w:r>
        <w:r w:rsidR="008E1C57">
          <w:rPr>
            <w:noProof/>
            <w:webHidden/>
          </w:rPr>
          <w:fldChar w:fldCharType="end"/>
        </w:r>
      </w:hyperlink>
    </w:p>
    <w:p w14:paraId="1E70312E" w14:textId="1083B7A1" w:rsidR="008E1C57" w:rsidRDefault="000F0FEE">
      <w:pPr>
        <w:pStyle w:val="TableofFigures"/>
        <w:tabs>
          <w:tab w:val="right" w:leader="dot" w:pos="9350"/>
        </w:tabs>
        <w:rPr>
          <w:rFonts w:asciiTheme="minorHAnsi" w:eastAsiaTheme="minorEastAsia" w:hAnsiTheme="minorHAnsi"/>
          <w:noProof/>
          <w:sz w:val="24"/>
          <w:szCs w:val="24"/>
        </w:rPr>
      </w:pPr>
      <w:hyperlink w:anchor="_Toc50392561" w:history="1">
        <w:r w:rsidR="008E1C57" w:rsidRPr="00112307">
          <w:rPr>
            <w:rStyle w:val="Hyperlink"/>
            <w:noProof/>
          </w:rPr>
          <w:t>Figure 23. Upper: Empirical availability for males in SBS study areas, by year. Red line and points: annual ratios of NMFS abundance-at-size in SBS study areas to full survey area; dashed blue line and fill: LOESS smooth. Lower: “best”-fitting GAMs using cubic spline smooths to the values in the upper plot.</w:t>
        </w:r>
        <w:r w:rsidR="008E1C57">
          <w:rPr>
            <w:noProof/>
            <w:webHidden/>
          </w:rPr>
          <w:tab/>
        </w:r>
        <w:r w:rsidR="008E1C57">
          <w:rPr>
            <w:noProof/>
            <w:webHidden/>
          </w:rPr>
          <w:fldChar w:fldCharType="begin"/>
        </w:r>
        <w:r w:rsidR="008E1C57">
          <w:rPr>
            <w:noProof/>
            <w:webHidden/>
          </w:rPr>
          <w:instrText xml:space="preserve"> PAGEREF _Toc50392561 \h </w:instrText>
        </w:r>
        <w:r w:rsidR="008E1C57">
          <w:rPr>
            <w:noProof/>
            <w:webHidden/>
          </w:rPr>
        </w:r>
        <w:r w:rsidR="008E1C57">
          <w:rPr>
            <w:noProof/>
            <w:webHidden/>
          </w:rPr>
          <w:fldChar w:fldCharType="separate"/>
        </w:r>
        <w:r w:rsidR="008E1C57">
          <w:rPr>
            <w:noProof/>
            <w:webHidden/>
          </w:rPr>
          <w:t>135</w:t>
        </w:r>
        <w:r w:rsidR="008E1C57">
          <w:rPr>
            <w:noProof/>
            <w:webHidden/>
          </w:rPr>
          <w:fldChar w:fldCharType="end"/>
        </w:r>
      </w:hyperlink>
    </w:p>
    <w:p w14:paraId="511B851B" w14:textId="0B12C2E3" w:rsidR="008E1C57" w:rsidRDefault="000F0FEE">
      <w:pPr>
        <w:pStyle w:val="TableofFigures"/>
        <w:tabs>
          <w:tab w:val="right" w:leader="dot" w:pos="9350"/>
        </w:tabs>
        <w:rPr>
          <w:rFonts w:asciiTheme="minorHAnsi" w:eastAsiaTheme="minorEastAsia" w:hAnsiTheme="minorHAnsi"/>
          <w:noProof/>
          <w:sz w:val="24"/>
          <w:szCs w:val="24"/>
        </w:rPr>
      </w:pPr>
      <w:hyperlink w:anchor="_Toc50392562" w:history="1">
        <w:r w:rsidR="008E1C57" w:rsidRPr="00112307">
          <w:rPr>
            <w:rStyle w:val="Hyperlink"/>
            <w:noProof/>
          </w:rPr>
          <w:t>Figure 24. Upper: Empirical availability for females in SBS study areas, by year. Red line and points: annual ratios of NMFS abundance-at-size in SBS study areas to full survey area; dashed blue line and fill: LOESS smooth. Lower: “best”-fitting GAMs using cubic spline smooths to the values in the upper plot.</w:t>
        </w:r>
        <w:r w:rsidR="008E1C57">
          <w:rPr>
            <w:noProof/>
            <w:webHidden/>
          </w:rPr>
          <w:tab/>
        </w:r>
        <w:r w:rsidR="008E1C57">
          <w:rPr>
            <w:noProof/>
            <w:webHidden/>
          </w:rPr>
          <w:fldChar w:fldCharType="begin"/>
        </w:r>
        <w:r w:rsidR="008E1C57">
          <w:rPr>
            <w:noProof/>
            <w:webHidden/>
          </w:rPr>
          <w:instrText xml:space="preserve"> PAGEREF _Toc50392562 \h </w:instrText>
        </w:r>
        <w:r w:rsidR="008E1C57">
          <w:rPr>
            <w:noProof/>
            <w:webHidden/>
          </w:rPr>
        </w:r>
        <w:r w:rsidR="008E1C57">
          <w:rPr>
            <w:noProof/>
            <w:webHidden/>
          </w:rPr>
          <w:fldChar w:fldCharType="separate"/>
        </w:r>
        <w:r w:rsidR="008E1C57">
          <w:rPr>
            <w:noProof/>
            <w:webHidden/>
          </w:rPr>
          <w:t>136</w:t>
        </w:r>
        <w:r w:rsidR="008E1C57">
          <w:rPr>
            <w:noProof/>
            <w:webHidden/>
          </w:rPr>
          <w:fldChar w:fldCharType="end"/>
        </w:r>
      </w:hyperlink>
    </w:p>
    <w:p w14:paraId="27CE3D05" w14:textId="6BBBD29E" w:rsidR="008E1C57" w:rsidRDefault="000F0FEE">
      <w:pPr>
        <w:pStyle w:val="TableofFigures"/>
        <w:tabs>
          <w:tab w:val="right" w:leader="dot" w:pos="9350"/>
        </w:tabs>
        <w:rPr>
          <w:rFonts w:asciiTheme="minorHAnsi" w:eastAsiaTheme="minorEastAsia" w:hAnsiTheme="minorHAnsi"/>
          <w:noProof/>
          <w:sz w:val="24"/>
          <w:szCs w:val="24"/>
        </w:rPr>
      </w:pPr>
      <w:hyperlink w:anchor="_Toc50392563" w:history="1">
        <w:r w:rsidR="008E1C57" w:rsidRPr="00112307">
          <w:rPr>
            <w:rStyle w:val="Hyperlink"/>
            <w:noProof/>
          </w:rPr>
          <w:t>Figure 25. “Best”-fitting selectivity function for females from a catch-ratio analysis of the BSFRF-NMFS SBS data.</w:t>
        </w:r>
        <w:r w:rsidR="008E1C57">
          <w:rPr>
            <w:noProof/>
            <w:webHidden/>
          </w:rPr>
          <w:tab/>
        </w:r>
        <w:r w:rsidR="008E1C57">
          <w:rPr>
            <w:noProof/>
            <w:webHidden/>
          </w:rPr>
          <w:fldChar w:fldCharType="begin"/>
        </w:r>
        <w:r w:rsidR="008E1C57">
          <w:rPr>
            <w:noProof/>
            <w:webHidden/>
          </w:rPr>
          <w:instrText xml:space="preserve"> PAGEREF _Toc50392563 \h </w:instrText>
        </w:r>
        <w:r w:rsidR="008E1C57">
          <w:rPr>
            <w:noProof/>
            <w:webHidden/>
          </w:rPr>
        </w:r>
        <w:r w:rsidR="008E1C57">
          <w:rPr>
            <w:noProof/>
            <w:webHidden/>
          </w:rPr>
          <w:fldChar w:fldCharType="separate"/>
        </w:r>
        <w:r w:rsidR="008E1C57">
          <w:rPr>
            <w:noProof/>
            <w:webHidden/>
          </w:rPr>
          <w:t>137</w:t>
        </w:r>
        <w:r w:rsidR="008E1C57">
          <w:rPr>
            <w:noProof/>
            <w:webHidden/>
          </w:rPr>
          <w:fldChar w:fldCharType="end"/>
        </w:r>
      </w:hyperlink>
    </w:p>
    <w:p w14:paraId="2E07A4FC" w14:textId="351CFE02" w:rsidR="008E1C57" w:rsidRDefault="000F0FEE">
      <w:pPr>
        <w:pStyle w:val="TableofFigures"/>
        <w:tabs>
          <w:tab w:val="right" w:leader="dot" w:pos="9350"/>
        </w:tabs>
        <w:rPr>
          <w:rFonts w:asciiTheme="minorHAnsi" w:eastAsiaTheme="minorEastAsia" w:hAnsiTheme="minorHAnsi"/>
          <w:noProof/>
          <w:sz w:val="24"/>
          <w:szCs w:val="24"/>
        </w:rPr>
      </w:pPr>
      <w:hyperlink w:anchor="_Toc50392564" w:history="1">
        <w:r w:rsidR="008E1C57" w:rsidRPr="00112307">
          <w:rPr>
            <w:rStyle w:val="Hyperlink"/>
            <w:noProof/>
          </w:rPr>
          <w:t>Figure 26. “Best”-fitting selectivity function for males from a catch-ratio analysis of the BSFRF-NMFS SBS data.</w:t>
        </w:r>
        <w:r w:rsidR="008E1C57">
          <w:rPr>
            <w:noProof/>
            <w:webHidden/>
          </w:rPr>
          <w:tab/>
        </w:r>
        <w:r w:rsidR="008E1C57">
          <w:rPr>
            <w:noProof/>
            <w:webHidden/>
          </w:rPr>
          <w:fldChar w:fldCharType="begin"/>
        </w:r>
        <w:r w:rsidR="008E1C57">
          <w:rPr>
            <w:noProof/>
            <w:webHidden/>
          </w:rPr>
          <w:instrText xml:space="preserve"> PAGEREF _Toc50392564 \h </w:instrText>
        </w:r>
        <w:r w:rsidR="008E1C57">
          <w:rPr>
            <w:noProof/>
            <w:webHidden/>
          </w:rPr>
        </w:r>
        <w:r w:rsidR="008E1C57">
          <w:rPr>
            <w:noProof/>
            <w:webHidden/>
          </w:rPr>
          <w:fldChar w:fldCharType="separate"/>
        </w:r>
        <w:r w:rsidR="008E1C57">
          <w:rPr>
            <w:noProof/>
            <w:webHidden/>
          </w:rPr>
          <w:t>137</w:t>
        </w:r>
        <w:r w:rsidR="008E1C57">
          <w:rPr>
            <w:noProof/>
            <w:webHidden/>
          </w:rPr>
          <w:fldChar w:fldCharType="end"/>
        </w:r>
      </w:hyperlink>
    </w:p>
    <w:p w14:paraId="76512BEA" w14:textId="25615055" w:rsidR="008E1C57" w:rsidRDefault="000F0FEE">
      <w:pPr>
        <w:pStyle w:val="TableofFigures"/>
        <w:tabs>
          <w:tab w:val="right" w:leader="dot" w:pos="9350"/>
        </w:tabs>
        <w:rPr>
          <w:rFonts w:asciiTheme="minorHAnsi" w:eastAsiaTheme="minorEastAsia" w:hAnsiTheme="minorHAnsi"/>
          <w:noProof/>
          <w:sz w:val="24"/>
          <w:szCs w:val="24"/>
        </w:rPr>
      </w:pPr>
      <w:hyperlink w:anchor="_Toc50392565" w:history="1">
        <w:r w:rsidR="008E1C57" w:rsidRPr="00112307">
          <w:rPr>
            <w:rStyle w:val="Hyperlink"/>
            <w:noProof/>
          </w:rPr>
          <w:t>Figure 27. Fits to retained catch biomass in the directed fishery from all model scenarios.</w:t>
        </w:r>
        <w:r w:rsidR="008E1C57">
          <w:rPr>
            <w:noProof/>
            <w:webHidden/>
          </w:rPr>
          <w:tab/>
        </w:r>
        <w:r w:rsidR="008E1C57">
          <w:rPr>
            <w:noProof/>
            <w:webHidden/>
          </w:rPr>
          <w:fldChar w:fldCharType="begin"/>
        </w:r>
        <w:r w:rsidR="008E1C57">
          <w:rPr>
            <w:noProof/>
            <w:webHidden/>
          </w:rPr>
          <w:instrText xml:space="preserve"> PAGEREF _Toc50392565 \h </w:instrText>
        </w:r>
        <w:r w:rsidR="008E1C57">
          <w:rPr>
            <w:noProof/>
            <w:webHidden/>
          </w:rPr>
        </w:r>
        <w:r w:rsidR="008E1C57">
          <w:rPr>
            <w:noProof/>
            <w:webHidden/>
          </w:rPr>
          <w:fldChar w:fldCharType="separate"/>
        </w:r>
        <w:r w:rsidR="008E1C57">
          <w:rPr>
            <w:noProof/>
            <w:webHidden/>
          </w:rPr>
          <w:t>138</w:t>
        </w:r>
        <w:r w:rsidR="008E1C57">
          <w:rPr>
            <w:noProof/>
            <w:webHidden/>
          </w:rPr>
          <w:fldChar w:fldCharType="end"/>
        </w:r>
      </w:hyperlink>
    </w:p>
    <w:p w14:paraId="230E9E14" w14:textId="328B1135" w:rsidR="008E1C57" w:rsidRDefault="000F0FEE">
      <w:pPr>
        <w:pStyle w:val="TableofFigures"/>
        <w:tabs>
          <w:tab w:val="right" w:leader="dot" w:pos="9350"/>
        </w:tabs>
        <w:rPr>
          <w:rFonts w:asciiTheme="minorHAnsi" w:eastAsiaTheme="minorEastAsia" w:hAnsiTheme="minorHAnsi"/>
          <w:noProof/>
          <w:sz w:val="24"/>
          <w:szCs w:val="24"/>
        </w:rPr>
      </w:pPr>
      <w:hyperlink w:anchor="_Toc50392566" w:history="1">
        <w:r w:rsidR="008E1C57" w:rsidRPr="00112307">
          <w:rPr>
            <w:rStyle w:val="Hyperlink"/>
            <w:noProof/>
          </w:rPr>
          <w:t>Figure 28. Fits to total catch biomass in the directed fishery from all model scenarios.</w:t>
        </w:r>
        <w:r w:rsidR="008E1C57">
          <w:rPr>
            <w:noProof/>
            <w:webHidden/>
          </w:rPr>
          <w:tab/>
        </w:r>
        <w:r w:rsidR="008E1C57">
          <w:rPr>
            <w:noProof/>
            <w:webHidden/>
          </w:rPr>
          <w:fldChar w:fldCharType="begin"/>
        </w:r>
        <w:r w:rsidR="008E1C57">
          <w:rPr>
            <w:noProof/>
            <w:webHidden/>
          </w:rPr>
          <w:instrText xml:space="preserve"> PAGEREF _Toc50392566 \h </w:instrText>
        </w:r>
        <w:r w:rsidR="008E1C57">
          <w:rPr>
            <w:noProof/>
            <w:webHidden/>
          </w:rPr>
        </w:r>
        <w:r w:rsidR="008E1C57">
          <w:rPr>
            <w:noProof/>
            <w:webHidden/>
          </w:rPr>
          <w:fldChar w:fldCharType="separate"/>
        </w:r>
        <w:r w:rsidR="008E1C57">
          <w:rPr>
            <w:noProof/>
            <w:webHidden/>
          </w:rPr>
          <w:t>139</w:t>
        </w:r>
        <w:r w:rsidR="008E1C57">
          <w:rPr>
            <w:noProof/>
            <w:webHidden/>
          </w:rPr>
          <w:fldChar w:fldCharType="end"/>
        </w:r>
      </w:hyperlink>
    </w:p>
    <w:p w14:paraId="02D338AA" w14:textId="11A5A5B4" w:rsidR="008E1C57" w:rsidRDefault="000F0FEE">
      <w:pPr>
        <w:pStyle w:val="TableofFigures"/>
        <w:tabs>
          <w:tab w:val="right" w:leader="dot" w:pos="9350"/>
        </w:tabs>
        <w:rPr>
          <w:rFonts w:asciiTheme="minorHAnsi" w:eastAsiaTheme="minorEastAsia" w:hAnsiTheme="minorHAnsi"/>
          <w:noProof/>
          <w:sz w:val="24"/>
          <w:szCs w:val="24"/>
        </w:rPr>
      </w:pPr>
      <w:hyperlink w:anchor="_Toc50392567" w:history="1">
        <w:r w:rsidR="008E1C57" w:rsidRPr="00112307">
          <w:rPr>
            <w:rStyle w:val="Hyperlink"/>
            <w:noProof/>
          </w:rPr>
          <w:t>Figure 29. Fits to total catch biomass in the snow crab fishery from all scenarios.</w:t>
        </w:r>
        <w:r w:rsidR="008E1C57">
          <w:rPr>
            <w:noProof/>
            <w:webHidden/>
          </w:rPr>
          <w:tab/>
        </w:r>
        <w:r w:rsidR="008E1C57">
          <w:rPr>
            <w:noProof/>
            <w:webHidden/>
          </w:rPr>
          <w:fldChar w:fldCharType="begin"/>
        </w:r>
        <w:r w:rsidR="008E1C57">
          <w:rPr>
            <w:noProof/>
            <w:webHidden/>
          </w:rPr>
          <w:instrText xml:space="preserve"> PAGEREF _Toc50392567 \h </w:instrText>
        </w:r>
        <w:r w:rsidR="008E1C57">
          <w:rPr>
            <w:noProof/>
            <w:webHidden/>
          </w:rPr>
        </w:r>
        <w:r w:rsidR="008E1C57">
          <w:rPr>
            <w:noProof/>
            <w:webHidden/>
          </w:rPr>
          <w:fldChar w:fldCharType="separate"/>
        </w:r>
        <w:r w:rsidR="008E1C57">
          <w:rPr>
            <w:noProof/>
            <w:webHidden/>
          </w:rPr>
          <w:t>140</w:t>
        </w:r>
        <w:r w:rsidR="008E1C57">
          <w:rPr>
            <w:noProof/>
            <w:webHidden/>
          </w:rPr>
          <w:fldChar w:fldCharType="end"/>
        </w:r>
      </w:hyperlink>
    </w:p>
    <w:p w14:paraId="7C318B99" w14:textId="5E107F32" w:rsidR="008E1C57" w:rsidRDefault="000F0FEE">
      <w:pPr>
        <w:pStyle w:val="TableofFigures"/>
        <w:tabs>
          <w:tab w:val="right" w:leader="dot" w:pos="9350"/>
        </w:tabs>
        <w:rPr>
          <w:rFonts w:asciiTheme="minorHAnsi" w:eastAsiaTheme="minorEastAsia" w:hAnsiTheme="minorHAnsi"/>
          <w:noProof/>
          <w:sz w:val="24"/>
          <w:szCs w:val="24"/>
        </w:rPr>
      </w:pPr>
      <w:hyperlink w:anchor="_Toc50392568" w:history="1">
        <w:r w:rsidR="008E1C57" w:rsidRPr="00112307">
          <w:rPr>
            <w:rStyle w:val="Hyperlink"/>
            <w:noProof/>
          </w:rPr>
          <w:t>Figure 30. Fits to total catch biomass in the BBRKC fishery from all scenarios.</w:t>
        </w:r>
        <w:r w:rsidR="008E1C57">
          <w:rPr>
            <w:noProof/>
            <w:webHidden/>
          </w:rPr>
          <w:tab/>
        </w:r>
        <w:r w:rsidR="008E1C57">
          <w:rPr>
            <w:noProof/>
            <w:webHidden/>
          </w:rPr>
          <w:fldChar w:fldCharType="begin"/>
        </w:r>
        <w:r w:rsidR="008E1C57">
          <w:rPr>
            <w:noProof/>
            <w:webHidden/>
          </w:rPr>
          <w:instrText xml:space="preserve"> PAGEREF _Toc50392568 \h </w:instrText>
        </w:r>
        <w:r w:rsidR="008E1C57">
          <w:rPr>
            <w:noProof/>
            <w:webHidden/>
          </w:rPr>
        </w:r>
        <w:r w:rsidR="008E1C57">
          <w:rPr>
            <w:noProof/>
            <w:webHidden/>
          </w:rPr>
          <w:fldChar w:fldCharType="separate"/>
        </w:r>
        <w:r w:rsidR="008E1C57">
          <w:rPr>
            <w:noProof/>
            <w:webHidden/>
          </w:rPr>
          <w:t>141</w:t>
        </w:r>
        <w:r w:rsidR="008E1C57">
          <w:rPr>
            <w:noProof/>
            <w:webHidden/>
          </w:rPr>
          <w:fldChar w:fldCharType="end"/>
        </w:r>
      </w:hyperlink>
    </w:p>
    <w:p w14:paraId="13C5757B" w14:textId="74C3906D" w:rsidR="008E1C57" w:rsidRDefault="000F0FEE">
      <w:pPr>
        <w:pStyle w:val="TableofFigures"/>
        <w:tabs>
          <w:tab w:val="right" w:leader="dot" w:pos="9350"/>
        </w:tabs>
        <w:rPr>
          <w:rFonts w:asciiTheme="minorHAnsi" w:eastAsiaTheme="minorEastAsia" w:hAnsiTheme="minorHAnsi"/>
          <w:noProof/>
          <w:sz w:val="24"/>
          <w:szCs w:val="24"/>
        </w:rPr>
      </w:pPr>
      <w:hyperlink w:anchor="_Toc50392569" w:history="1">
        <w:r w:rsidR="008E1C57" w:rsidRPr="00112307">
          <w:rPr>
            <w:rStyle w:val="Hyperlink"/>
            <w:noProof/>
          </w:rPr>
          <w:t>Figure 31. Fits to total catch biomass in the groundfish fisheries for all scenarios.</w:t>
        </w:r>
        <w:r w:rsidR="008E1C57">
          <w:rPr>
            <w:noProof/>
            <w:webHidden/>
          </w:rPr>
          <w:tab/>
        </w:r>
        <w:r w:rsidR="008E1C57">
          <w:rPr>
            <w:noProof/>
            <w:webHidden/>
          </w:rPr>
          <w:fldChar w:fldCharType="begin"/>
        </w:r>
        <w:r w:rsidR="008E1C57">
          <w:rPr>
            <w:noProof/>
            <w:webHidden/>
          </w:rPr>
          <w:instrText xml:space="preserve"> PAGEREF _Toc50392569 \h </w:instrText>
        </w:r>
        <w:r w:rsidR="008E1C57">
          <w:rPr>
            <w:noProof/>
            <w:webHidden/>
          </w:rPr>
        </w:r>
        <w:r w:rsidR="008E1C57">
          <w:rPr>
            <w:noProof/>
            <w:webHidden/>
          </w:rPr>
          <w:fldChar w:fldCharType="separate"/>
        </w:r>
        <w:r w:rsidR="008E1C57">
          <w:rPr>
            <w:noProof/>
            <w:webHidden/>
          </w:rPr>
          <w:t>142</w:t>
        </w:r>
        <w:r w:rsidR="008E1C57">
          <w:rPr>
            <w:noProof/>
            <w:webHidden/>
          </w:rPr>
          <w:fldChar w:fldCharType="end"/>
        </w:r>
      </w:hyperlink>
    </w:p>
    <w:p w14:paraId="1938B4B2" w14:textId="7552FC1F" w:rsidR="008E1C57" w:rsidRDefault="000F0FEE">
      <w:pPr>
        <w:pStyle w:val="TableofFigures"/>
        <w:tabs>
          <w:tab w:val="right" w:leader="dot" w:pos="9350"/>
        </w:tabs>
        <w:rPr>
          <w:rFonts w:asciiTheme="minorHAnsi" w:eastAsiaTheme="minorEastAsia" w:hAnsiTheme="minorHAnsi"/>
          <w:noProof/>
          <w:sz w:val="24"/>
          <w:szCs w:val="24"/>
        </w:rPr>
      </w:pPr>
      <w:hyperlink w:anchor="_Toc50392570" w:history="1">
        <w:r w:rsidR="008E1C57" w:rsidRPr="00112307">
          <w:rPr>
            <w:rStyle w:val="Hyperlink"/>
            <w:noProof/>
          </w:rPr>
          <w:t>Figure 32. Fits to time series of all male (upper graph), immature female (center graph), and mature female (lower plot) biomass from the NMFS EBS shelf bottom trawl survey.</w:t>
        </w:r>
        <w:r w:rsidR="008E1C57">
          <w:rPr>
            <w:noProof/>
            <w:webHidden/>
          </w:rPr>
          <w:tab/>
        </w:r>
        <w:r w:rsidR="008E1C57">
          <w:rPr>
            <w:noProof/>
            <w:webHidden/>
          </w:rPr>
          <w:fldChar w:fldCharType="begin"/>
        </w:r>
        <w:r w:rsidR="008E1C57">
          <w:rPr>
            <w:noProof/>
            <w:webHidden/>
          </w:rPr>
          <w:instrText xml:space="preserve"> PAGEREF _Toc50392570 \h </w:instrText>
        </w:r>
        <w:r w:rsidR="008E1C57">
          <w:rPr>
            <w:noProof/>
            <w:webHidden/>
          </w:rPr>
        </w:r>
        <w:r w:rsidR="008E1C57">
          <w:rPr>
            <w:noProof/>
            <w:webHidden/>
          </w:rPr>
          <w:fldChar w:fldCharType="separate"/>
        </w:r>
        <w:r w:rsidR="008E1C57">
          <w:rPr>
            <w:noProof/>
            <w:webHidden/>
          </w:rPr>
          <w:t>143</w:t>
        </w:r>
        <w:r w:rsidR="008E1C57">
          <w:rPr>
            <w:noProof/>
            <w:webHidden/>
          </w:rPr>
          <w:fldChar w:fldCharType="end"/>
        </w:r>
      </w:hyperlink>
    </w:p>
    <w:p w14:paraId="2F78CF4E" w14:textId="3F030AFE" w:rsidR="008E1C57" w:rsidRDefault="000F0FEE">
      <w:pPr>
        <w:pStyle w:val="TableofFigures"/>
        <w:tabs>
          <w:tab w:val="right" w:leader="dot" w:pos="9350"/>
        </w:tabs>
        <w:rPr>
          <w:rFonts w:asciiTheme="minorHAnsi" w:eastAsiaTheme="minorEastAsia" w:hAnsiTheme="minorHAnsi"/>
          <w:noProof/>
          <w:sz w:val="24"/>
          <w:szCs w:val="24"/>
        </w:rPr>
      </w:pPr>
      <w:hyperlink w:anchor="_Toc50392571" w:history="1">
        <w:r w:rsidR="008E1C57" w:rsidRPr="00112307">
          <w:rPr>
            <w:rStyle w:val="Hyperlink"/>
            <w:noProof/>
          </w:rPr>
          <w:t>Figure 33. Fits to survey biomass from the BSFRF SBS bottom trawl survey data for scenario 20.07.</w:t>
        </w:r>
        <w:r w:rsidR="008E1C57">
          <w:rPr>
            <w:noProof/>
            <w:webHidden/>
          </w:rPr>
          <w:tab/>
        </w:r>
        <w:r w:rsidR="008E1C57">
          <w:rPr>
            <w:noProof/>
            <w:webHidden/>
          </w:rPr>
          <w:fldChar w:fldCharType="begin"/>
        </w:r>
        <w:r w:rsidR="008E1C57">
          <w:rPr>
            <w:noProof/>
            <w:webHidden/>
          </w:rPr>
          <w:instrText xml:space="preserve"> PAGEREF _Toc50392571 \h </w:instrText>
        </w:r>
        <w:r w:rsidR="008E1C57">
          <w:rPr>
            <w:noProof/>
            <w:webHidden/>
          </w:rPr>
        </w:r>
        <w:r w:rsidR="008E1C57">
          <w:rPr>
            <w:noProof/>
            <w:webHidden/>
          </w:rPr>
          <w:fldChar w:fldCharType="separate"/>
        </w:r>
        <w:r w:rsidR="008E1C57">
          <w:rPr>
            <w:noProof/>
            <w:webHidden/>
          </w:rPr>
          <w:t>144</w:t>
        </w:r>
        <w:r w:rsidR="008E1C57">
          <w:rPr>
            <w:noProof/>
            <w:webHidden/>
          </w:rPr>
          <w:fldChar w:fldCharType="end"/>
        </w:r>
      </w:hyperlink>
    </w:p>
    <w:p w14:paraId="48B5B77B" w14:textId="6782E2BD" w:rsidR="008E1C57" w:rsidRDefault="000F0FEE">
      <w:pPr>
        <w:pStyle w:val="TableofFigures"/>
        <w:tabs>
          <w:tab w:val="right" w:leader="dot" w:pos="9350"/>
        </w:tabs>
        <w:rPr>
          <w:rFonts w:asciiTheme="minorHAnsi" w:eastAsiaTheme="minorEastAsia" w:hAnsiTheme="minorHAnsi"/>
          <w:noProof/>
          <w:sz w:val="24"/>
          <w:szCs w:val="24"/>
        </w:rPr>
      </w:pPr>
      <w:hyperlink w:anchor="_Toc50392572" w:history="1">
        <w:r w:rsidR="008E1C57" w:rsidRPr="00112307">
          <w:rPr>
            <w:rStyle w:val="Hyperlink"/>
            <w:noProof/>
          </w:rPr>
          <w:t>Figure 34. Fits to molt increment data for all scenarios.</w:t>
        </w:r>
        <w:r w:rsidR="008E1C57">
          <w:rPr>
            <w:noProof/>
            <w:webHidden/>
          </w:rPr>
          <w:tab/>
        </w:r>
        <w:r w:rsidR="008E1C57">
          <w:rPr>
            <w:noProof/>
            <w:webHidden/>
          </w:rPr>
          <w:fldChar w:fldCharType="begin"/>
        </w:r>
        <w:r w:rsidR="008E1C57">
          <w:rPr>
            <w:noProof/>
            <w:webHidden/>
          </w:rPr>
          <w:instrText xml:space="preserve"> PAGEREF _Toc50392572 \h </w:instrText>
        </w:r>
        <w:r w:rsidR="008E1C57">
          <w:rPr>
            <w:noProof/>
            <w:webHidden/>
          </w:rPr>
        </w:r>
        <w:r w:rsidR="008E1C57">
          <w:rPr>
            <w:noProof/>
            <w:webHidden/>
          </w:rPr>
          <w:fldChar w:fldCharType="separate"/>
        </w:r>
        <w:r w:rsidR="008E1C57">
          <w:rPr>
            <w:noProof/>
            <w:webHidden/>
          </w:rPr>
          <w:t>145</w:t>
        </w:r>
        <w:r w:rsidR="008E1C57">
          <w:rPr>
            <w:noProof/>
            <w:webHidden/>
          </w:rPr>
          <w:fldChar w:fldCharType="end"/>
        </w:r>
      </w:hyperlink>
    </w:p>
    <w:p w14:paraId="7E4CC2D8" w14:textId="6EA63DC7" w:rsidR="008E1C57" w:rsidRDefault="000F0FEE">
      <w:pPr>
        <w:pStyle w:val="TableofFigures"/>
        <w:tabs>
          <w:tab w:val="right" w:leader="dot" w:pos="9350"/>
        </w:tabs>
        <w:rPr>
          <w:rFonts w:asciiTheme="minorHAnsi" w:eastAsiaTheme="minorEastAsia" w:hAnsiTheme="minorHAnsi"/>
          <w:noProof/>
          <w:sz w:val="24"/>
          <w:szCs w:val="24"/>
        </w:rPr>
      </w:pPr>
      <w:hyperlink w:anchor="_Toc50392573" w:history="1">
        <w:r w:rsidR="008E1C57" w:rsidRPr="00112307">
          <w:rPr>
            <w:rStyle w:val="Hyperlink"/>
            <w:noProof/>
          </w:rPr>
          <w:t>Figure 35. Fits to male maturity ogive data for all scenarios.</w:t>
        </w:r>
        <w:r w:rsidR="008E1C57">
          <w:rPr>
            <w:noProof/>
            <w:webHidden/>
          </w:rPr>
          <w:tab/>
        </w:r>
        <w:r w:rsidR="008E1C57">
          <w:rPr>
            <w:noProof/>
            <w:webHidden/>
          </w:rPr>
          <w:fldChar w:fldCharType="begin"/>
        </w:r>
        <w:r w:rsidR="008E1C57">
          <w:rPr>
            <w:noProof/>
            <w:webHidden/>
          </w:rPr>
          <w:instrText xml:space="preserve"> PAGEREF _Toc50392573 \h </w:instrText>
        </w:r>
        <w:r w:rsidR="008E1C57">
          <w:rPr>
            <w:noProof/>
            <w:webHidden/>
          </w:rPr>
        </w:r>
        <w:r w:rsidR="008E1C57">
          <w:rPr>
            <w:noProof/>
            <w:webHidden/>
          </w:rPr>
          <w:fldChar w:fldCharType="separate"/>
        </w:r>
        <w:r w:rsidR="008E1C57">
          <w:rPr>
            <w:noProof/>
            <w:webHidden/>
          </w:rPr>
          <w:t>146</w:t>
        </w:r>
        <w:r w:rsidR="008E1C57">
          <w:rPr>
            <w:noProof/>
            <w:webHidden/>
          </w:rPr>
          <w:fldChar w:fldCharType="end"/>
        </w:r>
      </w:hyperlink>
    </w:p>
    <w:p w14:paraId="61DBDE84" w14:textId="6D531719" w:rsidR="008E1C57" w:rsidRDefault="000F0FEE">
      <w:pPr>
        <w:pStyle w:val="TableofFigures"/>
        <w:tabs>
          <w:tab w:val="right" w:leader="dot" w:pos="9350"/>
        </w:tabs>
        <w:rPr>
          <w:rFonts w:asciiTheme="minorHAnsi" w:eastAsiaTheme="minorEastAsia" w:hAnsiTheme="minorHAnsi"/>
          <w:noProof/>
          <w:sz w:val="24"/>
          <w:szCs w:val="24"/>
        </w:rPr>
      </w:pPr>
      <w:hyperlink w:anchor="_Toc50392574" w:history="1">
        <w:r w:rsidR="008E1C57" w:rsidRPr="00112307">
          <w:rPr>
            <w:rStyle w:val="Hyperlink"/>
            <w:noProof/>
          </w:rPr>
          <w:t>Figure 36. Directed fishery catchability (capture rates) from all model scenarios.</w:t>
        </w:r>
        <w:r w:rsidR="008E1C57">
          <w:rPr>
            <w:noProof/>
            <w:webHidden/>
          </w:rPr>
          <w:tab/>
        </w:r>
        <w:r w:rsidR="008E1C57">
          <w:rPr>
            <w:noProof/>
            <w:webHidden/>
          </w:rPr>
          <w:fldChar w:fldCharType="begin"/>
        </w:r>
        <w:r w:rsidR="008E1C57">
          <w:rPr>
            <w:noProof/>
            <w:webHidden/>
          </w:rPr>
          <w:instrText xml:space="preserve"> PAGEREF _Toc50392574 \h </w:instrText>
        </w:r>
        <w:r w:rsidR="008E1C57">
          <w:rPr>
            <w:noProof/>
            <w:webHidden/>
          </w:rPr>
        </w:r>
        <w:r w:rsidR="008E1C57">
          <w:rPr>
            <w:noProof/>
            <w:webHidden/>
          </w:rPr>
          <w:fldChar w:fldCharType="separate"/>
        </w:r>
        <w:r w:rsidR="008E1C57">
          <w:rPr>
            <w:noProof/>
            <w:webHidden/>
          </w:rPr>
          <w:t>148</w:t>
        </w:r>
        <w:r w:rsidR="008E1C57">
          <w:rPr>
            <w:noProof/>
            <w:webHidden/>
          </w:rPr>
          <w:fldChar w:fldCharType="end"/>
        </w:r>
      </w:hyperlink>
    </w:p>
    <w:p w14:paraId="4AF44625" w14:textId="25501E01" w:rsidR="008E1C57" w:rsidRDefault="000F0FEE">
      <w:pPr>
        <w:pStyle w:val="TableofFigures"/>
        <w:tabs>
          <w:tab w:val="right" w:leader="dot" w:pos="9350"/>
        </w:tabs>
        <w:rPr>
          <w:rFonts w:asciiTheme="minorHAnsi" w:eastAsiaTheme="minorEastAsia" w:hAnsiTheme="minorHAnsi"/>
          <w:noProof/>
          <w:sz w:val="24"/>
          <w:szCs w:val="24"/>
        </w:rPr>
      </w:pPr>
      <w:hyperlink w:anchor="_Toc50392575" w:history="1">
        <w:r w:rsidR="008E1C57" w:rsidRPr="00112307">
          <w:rPr>
            <w:rStyle w:val="Hyperlink"/>
            <w:noProof/>
          </w:rPr>
          <w:t>Figure 37. Directed fishery selectivity curves from all scenarios. The size-at-50%-selected parameter varies annually for 1991+.</w:t>
        </w:r>
        <w:r w:rsidR="008E1C57">
          <w:rPr>
            <w:noProof/>
            <w:webHidden/>
          </w:rPr>
          <w:tab/>
        </w:r>
        <w:r w:rsidR="008E1C57">
          <w:rPr>
            <w:noProof/>
            <w:webHidden/>
          </w:rPr>
          <w:fldChar w:fldCharType="begin"/>
        </w:r>
        <w:r w:rsidR="008E1C57">
          <w:rPr>
            <w:noProof/>
            <w:webHidden/>
          </w:rPr>
          <w:instrText xml:space="preserve"> PAGEREF _Toc50392575 \h </w:instrText>
        </w:r>
        <w:r w:rsidR="008E1C57">
          <w:rPr>
            <w:noProof/>
            <w:webHidden/>
          </w:rPr>
        </w:r>
        <w:r w:rsidR="008E1C57">
          <w:rPr>
            <w:noProof/>
            <w:webHidden/>
          </w:rPr>
          <w:fldChar w:fldCharType="separate"/>
        </w:r>
        <w:r w:rsidR="008E1C57">
          <w:rPr>
            <w:noProof/>
            <w:webHidden/>
          </w:rPr>
          <w:t>149</w:t>
        </w:r>
        <w:r w:rsidR="008E1C57">
          <w:rPr>
            <w:noProof/>
            <w:webHidden/>
          </w:rPr>
          <w:fldChar w:fldCharType="end"/>
        </w:r>
      </w:hyperlink>
    </w:p>
    <w:p w14:paraId="1833CB44" w14:textId="547BF9CD" w:rsidR="008E1C57" w:rsidRDefault="000F0FEE">
      <w:pPr>
        <w:pStyle w:val="TableofFigures"/>
        <w:tabs>
          <w:tab w:val="right" w:leader="dot" w:pos="9350"/>
        </w:tabs>
        <w:rPr>
          <w:rFonts w:asciiTheme="minorHAnsi" w:eastAsiaTheme="minorEastAsia" w:hAnsiTheme="minorHAnsi"/>
          <w:noProof/>
          <w:sz w:val="24"/>
          <w:szCs w:val="24"/>
        </w:rPr>
      </w:pPr>
      <w:hyperlink w:anchor="_Toc50392576" w:history="1">
        <w:r w:rsidR="008E1C57" w:rsidRPr="00112307">
          <w:rPr>
            <w:rStyle w:val="Hyperlink"/>
            <w:noProof/>
          </w:rPr>
          <w:t>Figure 38. Directed fishery retention curves from all scenarios for the pre-1991, 1991-1996, and post-2004 time periods.</w:t>
        </w:r>
        <w:r w:rsidR="008E1C57">
          <w:rPr>
            <w:noProof/>
            <w:webHidden/>
          </w:rPr>
          <w:tab/>
        </w:r>
        <w:r w:rsidR="008E1C57">
          <w:rPr>
            <w:noProof/>
            <w:webHidden/>
          </w:rPr>
          <w:fldChar w:fldCharType="begin"/>
        </w:r>
        <w:r w:rsidR="008E1C57">
          <w:rPr>
            <w:noProof/>
            <w:webHidden/>
          </w:rPr>
          <w:instrText xml:space="preserve"> PAGEREF _Toc50392576 \h </w:instrText>
        </w:r>
        <w:r w:rsidR="008E1C57">
          <w:rPr>
            <w:noProof/>
            <w:webHidden/>
          </w:rPr>
        </w:r>
        <w:r w:rsidR="008E1C57">
          <w:rPr>
            <w:noProof/>
            <w:webHidden/>
          </w:rPr>
          <w:fldChar w:fldCharType="separate"/>
        </w:r>
        <w:r w:rsidR="008E1C57">
          <w:rPr>
            <w:noProof/>
            <w:webHidden/>
          </w:rPr>
          <w:t>153</w:t>
        </w:r>
        <w:r w:rsidR="008E1C57">
          <w:rPr>
            <w:noProof/>
            <w:webHidden/>
          </w:rPr>
          <w:fldChar w:fldCharType="end"/>
        </w:r>
      </w:hyperlink>
    </w:p>
    <w:p w14:paraId="1609B0AB" w14:textId="005ECCC2" w:rsidR="008E1C57" w:rsidRDefault="000F0FEE">
      <w:pPr>
        <w:pStyle w:val="TableofFigures"/>
        <w:tabs>
          <w:tab w:val="right" w:leader="dot" w:pos="9350"/>
        </w:tabs>
        <w:rPr>
          <w:rFonts w:asciiTheme="minorHAnsi" w:eastAsiaTheme="minorEastAsia" w:hAnsiTheme="minorHAnsi"/>
          <w:noProof/>
          <w:sz w:val="24"/>
          <w:szCs w:val="24"/>
        </w:rPr>
      </w:pPr>
      <w:hyperlink w:anchor="_Toc50392577" w:history="1">
        <w:r w:rsidR="008E1C57" w:rsidRPr="00112307">
          <w:rPr>
            <w:rStyle w:val="Hyperlink"/>
            <w:noProof/>
          </w:rPr>
          <w:t>Figure 39. Snow crab fishery catchability (capture rates) from all scenarios.</w:t>
        </w:r>
        <w:r w:rsidR="008E1C57">
          <w:rPr>
            <w:noProof/>
            <w:webHidden/>
          </w:rPr>
          <w:tab/>
        </w:r>
        <w:r w:rsidR="008E1C57">
          <w:rPr>
            <w:noProof/>
            <w:webHidden/>
          </w:rPr>
          <w:fldChar w:fldCharType="begin"/>
        </w:r>
        <w:r w:rsidR="008E1C57">
          <w:rPr>
            <w:noProof/>
            <w:webHidden/>
          </w:rPr>
          <w:instrText xml:space="preserve"> PAGEREF _Toc50392577 \h </w:instrText>
        </w:r>
        <w:r w:rsidR="008E1C57">
          <w:rPr>
            <w:noProof/>
            <w:webHidden/>
          </w:rPr>
        </w:r>
        <w:r w:rsidR="008E1C57">
          <w:rPr>
            <w:noProof/>
            <w:webHidden/>
          </w:rPr>
          <w:fldChar w:fldCharType="separate"/>
        </w:r>
        <w:r w:rsidR="008E1C57">
          <w:rPr>
            <w:noProof/>
            <w:webHidden/>
          </w:rPr>
          <w:t>154</w:t>
        </w:r>
        <w:r w:rsidR="008E1C57">
          <w:rPr>
            <w:noProof/>
            <w:webHidden/>
          </w:rPr>
          <w:fldChar w:fldCharType="end"/>
        </w:r>
      </w:hyperlink>
    </w:p>
    <w:p w14:paraId="0CCB561C" w14:textId="3CDEAFAA" w:rsidR="008E1C57" w:rsidRDefault="000F0FEE">
      <w:pPr>
        <w:pStyle w:val="TableofFigures"/>
        <w:tabs>
          <w:tab w:val="right" w:leader="dot" w:pos="9350"/>
        </w:tabs>
        <w:rPr>
          <w:rFonts w:asciiTheme="minorHAnsi" w:eastAsiaTheme="minorEastAsia" w:hAnsiTheme="minorHAnsi"/>
          <w:noProof/>
          <w:sz w:val="24"/>
          <w:szCs w:val="24"/>
        </w:rPr>
      </w:pPr>
      <w:hyperlink w:anchor="_Toc50392578" w:history="1">
        <w:r w:rsidR="008E1C57" w:rsidRPr="00112307">
          <w:rPr>
            <w:rStyle w:val="Hyperlink"/>
            <w:noProof/>
          </w:rPr>
          <w:t>Figure 40. Snow crab fishery selectivity curves from all scenarios for 3 time periods: pre-1997, 1997-2004, 2005+.</w:t>
        </w:r>
        <w:r w:rsidR="008E1C57">
          <w:rPr>
            <w:noProof/>
            <w:webHidden/>
          </w:rPr>
          <w:tab/>
        </w:r>
        <w:r w:rsidR="008E1C57">
          <w:rPr>
            <w:noProof/>
            <w:webHidden/>
          </w:rPr>
          <w:fldChar w:fldCharType="begin"/>
        </w:r>
        <w:r w:rsidR="008E1C57">
          <w:rPr>
            <w:noProof/>
            <w:webHidden/>
          </w:rPr>
          <w:instrText xml:space="preserve"> PAGEREF _Toc50392578 \h </w:instrText>
        </w:r>
        <w:r w:rsidR="008E1C57">
          <w:rPr>
            <w:noProof/>
            <w:webHidden/>
          </w:rPr>
        </w:r>
        <w:r w:rsidR="008E1C57">
          <w:rPr>
            <w:noProof/>
            <w:webHidden/>
          </w:rPr>
          <w:fldChar w:fldCharType="separate"/>
        </w:r>
        <w:r w:rsidR="008E1C57">
          <w:rPr>
            <w:noProof/>
            <w:webHidden/>
          </w:rPr>
          <w:t>155</w:t>
        </w:r>
        <w:r w:rsidR="008E1C57">
          <w:rPr>
            <w:noProof/>
            <w:webHidden/>
          </w:rPr>
          <w:fldChar w:fldCharType="end"/>
        </w:r>
      </w:hyperlink>
    </w:p>
    <w:p w14:paraId="6FB3164F" w14:textId="78474500" w:rsidR="008E1C57" w:rsidRDefault="000F0FEE">
      <w:pPr>
        <w:pStyle w:val="TableofFigures"/>
        <w:tabs>
          <w:tab w:val="right" w:leader="dot" w:pos="9350"/>
        </w:tabs>
        <w:rPr>
          <w:rFonts w:asciiTheme="minorHAnsi" w:eastAsiaTheme="minorEastAsia" w:hAnsiTheme="minorHAnsi"/>
          <w:noProof/>
          <w:sz w:val="24"/>
          <w:szCs w:val="24"/>
        </w:rPr>
      </w:pPr>
      <w:hyperlink w:anchor="_Toc50392579" w:history="1">
        <w:r w:rsidR="008E1C57" w:rsidRPr="00112307">
          <w:rPr>
            <w:rStyle w:val="Hyperlink"/>
            <w:noProof/>
          </w:rPr>
          <w:t>Figure 41. BBRKC fishery catchability (capture rates) from all scenarios.</w:t>
        </w:r>
        <w:r w:rsidR="008E1C57">
          <w:rPr>
            <w:noProof/>
            <w:webHidden/>
          </w:rPr>
          <w:tab/>
        </w:r>
        <w:r w:rsidR="008E1C57">
          <w:rPr>
            <w:noProof/>
            <w:webHidden/>
          </w:rPr>
          <w:fldChar w:fldCharType="begin"/>
        </w:r>
        <w:r w:rsidR="008E1C57">
          <w:rPr>
            <w:noProof/>
            <w:webHidden/>
          </w:rPr>
          <w:instrText xml:space="preserve"> PAGEREF _Toc50392579 \h </w:instrText>
        </w:r>
        <w:r w:rsidR="008E1C57">
          <w:rPr>
            <w:noProof/>
            <w:webHidden/>
          </w:rPr>
        </w:r>
        <w:r w:rsidR="008E1C57">
          <w:rPr>
            <w:noProof/>
            <w:webHidden/>
          </w:rPr>
          <w:fldChar w:fldCharType="separate"/>
        </w:r>
        <w:r w:rsidR="008E1C57">
          <w:rPr>
            <w:noProof/>
            <w:webHidden/>
          </w:rPr>
          <w:t>156</w:t>
        </w:r>
        <w:r w:rsidR="008E1C57">
          <w:rPr>
            <w:noProof/>
            <w:webHidden/>
          </w:rPr>
          <w:fldChar w:fldCharType="end"/>
        </w:r>
      </w:hyperlink>
    </w:p>
    <w:p w14:paraId="446BBFFF" w14:textId="0F28D2EF" w:rsidR="008E1C57" w:rsidRDefault="000F0FEE">
      <w:pPr>
        <w:pStyle w:val="TableofFigures"/>
        <w:tabs>
          <w:tab w:val="right" w:leader="dot" w:pos="9350"/>
        </w:tabs>
        <w:rPr>
          <w:rFonts w:asciiTheme="minorHAnsi" w:eastAsiaTheme="minorEastAsia" w:hAnsiTheme="minorHAnsi"/>
          <w:noProof/>
          <w:sz w:val="24"/>
          <w:szCs w:val="24"/>
        </w:rPr>
      </w:pPr>
      <w:hyperlink w:anchor="_Toc50392580" w:history="1">
        <w:r w:rsidR="008E1C57" w:rsidRPr="00112307">
          <w:rPr>
            <w:rStyle w:val="Hyperlink"/>
            <w:noProof/>
          </w:rPr>
          <w:t>Figure 42. BBRKC fishery selectivity curves from all scenarios for 3 time periods: pre-1997, 1997-2004, 2005+.</w:t>
        </w:r>
        <w:r w:rsidR="008E1C57">
          <w:rPr>
            <w:noProof/>
            <w:webHidden/>
          </w:rPr>
          <w:tab/>
        </w:r>
        <w:r w:rsidR="008E1C57">
          <w:rPr>
            <w:noProof/>
            <w:webHidden/>
          </w:rPr>
          <w:fldChar w:fldCharType="begin"/>
        </w:r>
        <w:r w:rsidR="008E1C57">
          <w:rPr>
            <w:noProof/>
            <w:webHidden/>
          </w:rPr>
          <w:instrText xml:space="preserve"> PAGEREF _Toc50392580 \h </w:instrText>
        </w:r>
        <w:r w:rsidR="008E1C57">
          <w:rPr>
            <w:noProof/>
            <w:webHidden/>
          </w:rPr>
        </w:r>
        <w:r w:rsidR="008E1C57">
          <w:rPr>
            <w:noProof/>
            <w:webHidden/>
          </w:rPr>
          <w:fldChar w:fldCharType="separate"/>
        </w:r>
        <w:r w:rsidR="008E1C57">
          <w:rPr>
            <w:noProof/>
            <w:webHidden/>
          </w:rPr>
          <w:t>157</w:t>
        </w:r>
        <w:r w:rsidR="008E1C57">
          <w:rPr>
            <w:noProof/>
            <w:webHidden/>
          </w:rPr>
          <w:fldChar w:fldCharType="end"/>
        </w:r>
      </w:hyperlink>
    </w:p>
    <w:p w14:paraId="74B177AB" w14:textId="727CD339" w:rsidR="008E1C57" w:rsidRDefault="000F0FEE">
      <w:pPr>
        <w:pStyle w:val="TableofFigures"/>
        <w:tabs>
          <w:tab w:val="right" w:leader="dot" w:pos="9350"/>
        </w:tabs>
        <w:rPr>
          <w:rFonts w:asciiTheme="minorHAnsi" w:eastAsiaTheme="minorEastAsia" w:hAnsiTheme="minorHAnsi"/>
          <w:noProof/>
          <w:sz w:val="24"/>
          <w:szCs w:val="24"/>
        </w:rPr>
      </w:pPr>
      <w:hyperlink w:anchor="_Toc50392581" w:history="1">
        <w:r w:rsidR="008E1C57" w:rsidRPr="00112307">
          <w:rPr>
            <w:rStyle w:val="Hyperlink"/>
            <w:noProof/>
          </w:rPr>
          <w:t>Figure 43. Catchability (capture rates) in the groundfish fisheries from all scenarios.</w:t>
        </w:r>
        <w:r w:rsidR="008E1C57">
          <w:rPr>
            <w:noProof/>
            <w:webHidden/>
          </w:rPr>
          <w:tab/>
        </w:r>
        <w:r w:rsidR="008E1C57">
          <w:rPr>
            <w:noProof/>
            <w:webHidden/>
          </w:rPr>
          <w:fldChar w:fldCharType="begin"/>
        </w:r>
        <w:r w:rsidR="008E1C57">
          <w:rPr>
            <w:noProof/>
            <w:webHidden/>
          </w:rPr>
          <w:instrText xml:space="preserve"> PAGEREF _Toc50392581 \h </w:instrText>
        </w:r>
        <w:r w:rsidR="008E1C57">
          <w:rPr>
            <w:noProof/>
            <w:webHidden/>
          </w:rPr>
        </w:r>
        <w:r w:rsidR="008E1C57">
          <w:rPr>
            <w:noProof/>
            <w:webHidden/>
          </w:rPr>
          <w:fldChar w:fldCharType="separate"/>
        </w:r>
        <w:r w:rsidR="008E1C57">
          <w:rPr>
            <w:noProof/>
            <w:webHidden/>
          </w:rPr>
          <w:t>158</w:t>
        </w:r>
        <w:r w:rsidR="008E1C57">
          <w:rPr>
            <w:noProof/>
            <w:webHidden/>
          </w:rPr>
          <w:fldChar w:fldCharType="end"/>
        </w:r>
      </w:hyperlink>
    </w:p>
    <w:p w14:paraId="5748D9C0" w14:textId="572D2360" w:rsidR="008E1C57" w:rsidRDefault="000F0FEE">
      <w:pPr>
        <w:pStyle w:val="TableofFigures"/>
        <w:tabs>
          <w:tab w:val="right" w:leader="dot" w:pos="9350"/>
        </w:tabs>
        <w:rPr>
          <w:rFonts w:asciiTheme="minorHAnsi" w:eastAsiaTheme="minorEastAsia" w:hAnsiTheme="minorHAnsi"/>
          <w:noProof/>
          <w:sz w:val="24"/>
          <w:szCs w:val="24"/>
        </w:rPr>
      </w:pPr>
      <w:hyperlink w:anchor="_Toc50392582" w:history="1">
        <w:r w:rsidR="008E1C57" w:rsidRPr="00112307">
          <w:rPr>
            <w:rStyle w:val="Hyperlink"/>
            <w:noProof/>
          </w:rPr>
          <w:t>Figure 44. Groundfish fisheries selectivity curves from all scenarios estimated for 3 time periods: pre-1997, 1997-2004, 2005+.</w:t>
        </w:r>
        <w:r w:rsidR="008E1C57">
          <w:rPr>
            <w:noProof/>
            <w:webHidden/>
          </w:rPr>
          <w:tab/>
        </w:r>
        <w:r w:rsidR="008E1C57">
          <w:rPr>
            <w:noProof/>
            <w:webHidden/>
          </w:rPr>
          <w:fldChar w:fldCharType="begin"/>
        </w:r>
        <w:r w:rsidR="008E1C57">
          <w:rPr>
            <w:noProof/>
            <w:webHidden/>
          </w:rPr>
          <w:instrText xml:space="preserve"> PAGEREF _Toc50392582 \h </w:instrText>
        </w:r>
        <w:r w:rsidR="008E1C57">
          <w:rPr>
            <w:noProof/>
            <w:webHidden/>
          </w:rPr>
        </w:r>
        <w:r w:rsidR="008E1C57">
          <w:rPr>
            <w:noProof/>
            <w:webHidden/>
          </w:rPr>
          <w:fldChar w:fldCharType="separate"/>
        </w:r>
        <w:r w:rsidR="008E1C57">
          <w:rPr>
            <w:noProof/>
            <w:webHidden/>
          </w:rPr>
          <w:t>159</w:t>
        </w:r>
        <w:r w:rsidR="008E1C57">
          <w:rPr>
            <w:noProof/>
            <w:webHidden/>
          </w:rPr>
          <w:fldChar w:fldCharType="end"/>
        </w:r>
      </w:hyperlink>
    </w:p>
    <w:p w14:paraId="20D673B1" w14:textId="5693CCDF" w:rsidR="008E1C57" w:rsidRDefault="000F0FEE">
      <w:pPr>
        <w:pStyle w:val="TableofFigures"/>
        <w:tabs>
          <w:tab w:val="right" w:leader="dot" w:pos="9350"/>
        </w:tabs>
        <w:rPr>
          <w:rFonts w:asciiTheme="minorHAnsi" w:eastAsiaTheme="minorEastAsia" w:hAnsiTheme="minorHAnsi"/>
          <w:noProof/>
          <w:sz w:val="24"/>
          <w:szCs w:val="24"/>
        </w:rPr>
      </w:pPr>
      <w:hyperlink w:anchor="_Toc50392583" w:history="1">
        <w:r w:rsidR="008E1C57" w:rsidRPr="00112307">
          <w:rPr>
            <w:rStyle w:val="Hyperlink"/>
            <w:noProof/>
          </w:rPr>
          <w:t>Figure 45. NMFS survey selectivity functions for males from all scenarios for the 1975-1981 and 1982+ time periods.</w:t>
        </w:r>
        <w:r w:rsidR="008E1C57">
          <w:rPr>
            <w:noProof/>
            <w:webHidden/>
          </w:rPr>
          <w:tab/>
        </w:r>
        <w:r w:rsidR="008E1C57">
          <w:rPr>
            <w:noProof/>
            <w:webHidden/>
          </w:rPr>
          <w:fldChar w:fldCharType="begin"/>
        </w:r>
        <w:r w:rsidR="008E1C57">
          <w:rPr>
            <w:noProof/>
            <w:webHidden/>
          </w:rPr>
          <w:instrText xml:space="preserve"> PAGEREF _Toc50392583 \h </w:instrText>
        </w:r>
        <w:r w:rsidR="008E1C57">
          <w:rPr>
            <w:noProof/>
            <w:webHidden/>
          </w:rPr>
        </w:r>
        <w:r w:rsidR="008E1C57">
          <w:rPr>
            <w:noProof/>
            <w:webHidden/>
          </w:rPr>
          <w:fldChar w:fldCharType="separate"/>
        </w:r>
        <w:r w:rsidR="008E1C57">
          <w:rPr>
            <w:noProof/>
            <w:webHidden/>
          </w:rPr>
          <w:t>160</w:t>
        </w:r>
        <w:r w:rsidR="008E1C57">
          <w:rPr>
            <w:noProof/>
            <w:webHidden/>
          </w:rPr>
          <w:fldChar w:fldCharType="end"/>
        </w:r>
      </w:hyperlink>
    </w:p>
    <w:p w14:paraId="5E211814" w14:textId="7670F638" w:rsidR="008E1C57" w:rsidRDefault="000F0FEE">
      <w:pPr>
        <w:pStyle w:val="TableofFigures"/>
        <w:tabs>
          <w:tab w:val="right" w:leader="dot" w:pos="9350"/>
        </w:tabs>
        <w:rPr>
          <w:rFonts w:asciiTheme="minorHAnsi" w:eastAsiaTheme="minorEastAsia" w:hAnsiTheme="minorHAnsi"/>
          <w:noProof/>
          <w:sz w:val="24"/>
          <w:szCs w:val="24"/>
        </w:rPr>
      </w:pPr>
      <w:hyperlink w:anchor="_Toc50392584" w:history="1">
        <w:r w:rsidR="008E1C57" w:rsidRPr="00112307">
          <w:rPr>
            <w:rStyle w:val="Hyperlink"/>
            <w:noProof/>
          </w:rPr>
          <w:t>Figure 46. NMFS survey selectivity functions for females from all scenarios for the 1975-1981 and 1982+ time periods.</w:t>
        </w:r>
        <w:r w:rsidR="008E1C57">
          <w:rPr>
            <w:noProof/>
            <w:webHidden/>
          </w:rPr>
          <w:tab/>
        </w:r>
        <w:r w:rsidR="008E1C57">
          <w:rPr>
            <w:noProof/>
            <w:webHidden/>
          </w:rPr>
          <w:fldChar w:fldCharType="begin"/>
        </w:r>
        <w:r w:rsidR="008E1C57">
          <w:rPr>
            <w:noProof/>
            <w:webHidden/>
          </w:rPr>
          <w:instrText xml:space="preserve"> PAGEREF _Toc50392584 \h </w:instrText>
        </w:r>
        <w:r w:rsidR="008E1C57">
          <w:rPr>
            <w:noProof/>
            <w:webHidden/>
          </w:rPr>
        </w:r>
        <w:r w:rsidR="008E1C57">
          <w:rPr>
            <w:noProof/>
            <w:webHidden/>
          </w:rPr>
          <w:fldChar w:fldCharType="separate"/>
        </w:r>
        <w:r w:rsidR="008E1C57">
          <w:rPr>
            <w:noProof/>
            <w:webHidden/>
          </w:rPr>
          <w:t>161</w:t>
        </w:r>
        <w:r w:rsidR="008E1C57">
          <w:rPr>
            <w:noProof/>
            <w:webHidden/>
          </w:rPr>
          <w:fldChar w:fldCharType="end"/>
        </w:r>
      </w:hyperlink>
    </w:p>
    <w:p w14:paraId="36A59BBF" w14:textId="326D31B3" w:rsidR="008E1C57" w:rsidRDefault="000F0FEE">
      <w:pPr>
        <w:pStyle w:val="TableofFigures"/>
        <w:tabs>
          <w:tab w:val="right" w:leader="dot" w:pos="9350"/>
        </w:tabs>
        <w:rPr>
          <w:rFonts w:asciiTheme="minorHAnsi" w:eastAsiaTheme="minorEastAsia" w:hAnsiTheme="minorHAnsi"/>
          <w:noProof/>
          <w:sz w:val="24"/>
          <w:szCs w:val="24"/>
        </w:rPr>
      </w:pPr>
      <w:hyperlink w:anchor="_Toc50392585" w:history="1">
        <w:r w:rsidR="008E1C57" w:rsidRPr="00112307">
          <w:rPr>
            <w:rStyle w:val="Hyperlink"/>
            <w:noProof/>
          </w:rPr>
          <w:t>Figure 47. NMFS survey capture probabilities (fully-selected catchability x selectivity) for males from all scenarios for the 1975-1981 and 1982+ time periods.</w:t>
        </w:r>
        <w:r w:rsidR="008E1C57">
          <w:rPr>
            <w:noProof/>
            <w:webHidden/>
          </w:rPr>
          <w:tab/>
        </w:r>
        <w:r w:rsidR="008E1C57">
          <w:rPr>
            <w:noProof/>
            <w:webHidden/>
          </w:rPr>
          <w:fldChar w:fldCharType="begin"/>
        </w:r>
        <w:r w:rsidR="008E1C57">
          <w:rPr>
            <w:noProof/>
            <w:webHidden/>
          </w:rPr>
          <w:instrText xml:space="preserve"> PAGEREF _Toc50392585 \h </w:instrText>
        </w:r>
        <w:r w:rsidR="008E1C57">
          <w:rPr>
            <w:noProof/>
            <w:webHidden/>
          </w:rPr>
        </w:r>
        <w:r w:rsidR="008E1C57">
          <w:rPr>
            <w:noProof/>
            <w:webHidden/>
          </w:rPr>
          <w:fldChar w:fldCharType="separate"/>
        </w:r>
        <w:r w:rsidR="008E1C57">
          <w:rPr>
            <w:noProof/>
            <w:webHidden/>
          </w:rPr>
          <w:t>162</w:t>
        </w:r>
        <w:r w:rsidR="008E1C57">
          <w:rPr>
            <w:noProof/>
            <w:webHidden/>
          </w:rPr>
          <w:fldChar w:fldCharType="end"/>
        </w:r>
      </w:hyperlink>
    </w:p>
    <w:p w14:paraId="0A54B81F" w14:textId="2BE584E4" w:rsidR="008E1C57" w:rsidRDefault="000F0FEE">
      <w:pPr>
        <w:pStyle w:val="TableofFigures"/>
        <w:tabs>
          <w:tab w:val="right" w:leader="dot" w:pos="9350"/>
        </w:tabs>
        <w:rPr>
          <w:rFonts w:asciiTheme="minorHAnsi" w:eastAsiaTheme="minorEastAsia" w:hAnsiTheme="minorHAnsi"/>
          <w:noProof/>
          <w:sz w:val="24"/>
          <w:szCs w:val="24"/>
        </w:rPr>
      </w:pPr>
      <w:hyperlink w:anchor="_Toc50392586" w:history="1">
        <w:r w:rsidR="008E1C57" w:rsidRPr="00112307">
          <w:rPr>
            <w:rStyle w:val="Hyperlink"/>
            <w:noProof/>
          </w:rPr>
          <w:t>Figure 48. NMFS survey capture probabilities (fully-selected catchability x selectivity) for females from all scenarios for the 1975-1981 and 1982+ time periods.</w:t>
        </w:r>
        <w:r w:rsidR="008E1C57">
          <w:rPr>
            <w:noProof/>
            <w:webHidden/>
          </w:rPr>
          <w:tab/>
        </w:r>
        <w:r w:rsidR="008E1C57">
          <w:rPr>
            <w:noProof/>
            <w:webHidden/>
          </w:rPr>
          <w:fldChar w:fldCharType="begin"/>
        </w:r>
        <w:r w:rsidR="008E1C57">
          <w:rPr>
            <w:noProof/>
            <w:webHidden/>
          </w:rPr>
          <w:instrText xml:space="preserve"> PAGEREF _Toc50392586 \h </w:instrText>
        </w:r>
        <w:r w:rsidR="008E1C57">
          <w:rPr>
            <w:noProof/>
            <w:webHidden/>
          </w:rPr>
        </w:r>
        <w:r w:rsidR="008E1C57">
          <w:rPr>
            <w:noProof/>
            <w:webHidden/>
          </w:rPr>
          <w:fldChar w:fldCharType="separate"/>
        </w:r>
        <w:r w:rsidR="008E1C57">
          <w:rPr>
            <w:noProof/>
            <w:webHidden/>
          </w:rPr>
          <w:t>163</w:t>
        </w:r>
        <w:r w:rsidR="008E1C57">
          <w:rPr>
            <w:noProof/>
            <w:webHidden/>
          </w:rPr>
          <w:fldChar w:fldCharType="end"/>
        </w:r>
      </w:hyperlink>
    </w:p>
    <w:p w14:paraId="6F28268B" w14:textId="507521D0" w:rsidR="008E1C57" w:rsidRDefault="000F0FEE">
      <w:pPr>
        <w:pStyle w:val="TableofFigures"/>
        <w:tabs>
          <w:tab w:val="right" w:leader="dot" w:pos="9350"/>
        </w:tabs>
        <w:rPr>
          <w:rFonts w:asciiTheme="minorHAnsi" w:eastAsiaTheme="minorEastAsia" w:hAnsiTheme="minorHAnsi"/>
          <w:noProof/>
          <w:sz w:val="24"/>
          <w:szCs w:val="24"/>
        </w:rPr>
      </w:pPr>
      <w:hyperlink w:anchor="_Toc50392587" w:history="1">
        <w:r w:rsidR="008E1C57" w:rsidRPr="00112307">
          <w:rPr>
            <w:rStyle w:val="Hyperlink"/>
            <w:noProof/>
          </w:rPr>
          <w:t>Figure 49. Annual availability functions for males in the BSFRF SBS surveys, for scenarios that include BSFRF SBS data. Availability functions were determined outside the model for Scenario 20.07.</w:t>
        </w:r>
        <w:r w:rsidR="008E1C57">
          <w:rPr>
            <w:noProof/>
            <w:webHidden/>
          </w:rPr>
          <w:tab/>
        </w:r>
        <w:r w:rsidR="008E1C57">
          <w:rPr>
            <w:noProof/>
            <w:webHidden/>
          </w:rPr>
          <w:fldChar w:fldCharType="begin"/>
        </w:r>
        <w:r w:rsidR="008E1C57">
          <w:rPr>
            <w:noProof/>
            <w:webHidden/>
          </w:rPr>
          <w:instrText xml:space="preserve"> PAGEREF _Toc50392587 \h </w:instrText>
        </w:r>
        <w:r w:rsidR="008E1C57">
          <w:rPr>
            <w:noProof/>
            <w:webHidden/>
          </w:rPr>
        </w:r>
        <w:r w:rsidR="008E1C57">
          <w:rPr>
            <w:noProof/>
            <w:webHidden/>
          </w:rPr>
          <w:fldChar w:fldCharType="separate"/>
        </w:r>
        <w:r w:rsidR="008E1C57">
          <w:rPr>
            <w:noProof/>
            <w:webHidden/>
          </w:rPr>
          <w:t>164</w:t>
        </w:r>
        <w:r w:rsidR="008E1C57">
          <w:rPr>
            <w:noProof/>
            <w:webHidden/>
          </w:rPr>
          <w:fldChar w:fldCharType="end"/>
        </w:r>
      </w:hyperlink>
    </w:p>
    <w:p w14:paraId="725BA5EB" w14:textId="47052F6F" w:rsidR="008E1C57" w:rsidRDefault="000F0FEE">
      <w:pPr>
        <w:pStyle w:val="TableofFigures"/>
        <w:tabs>
          <w:tab w:val="right" w:leader="dot" w:pos="9350"/>
        </w:tabs>
        <w:rPr>
          <w:rFonts w:asciiTheme="minorHAnsi" w:eastAsiaTheme="minorEastAsia" w:hAnsiTheme="minorHAnsi"/>
          <w:noProof/>
          <w:sz w:val="24"/>
          <w:szCs w:val="24"/>
        </w:rPr>
      </w:pPr>
      <w:hyperlink w:anchor="_Toc50392588" w:history="1">
        <w:r w:rsidR="008E1C57" w:rsidRPr="00112307">
          <w:rPr>
            <w:rStyle w:val="Hyperlink"/>
            <w:noProof/>
          </w:rPr>
          <w:t>Figure 50. Annual availability functions for females in the BSFRF SBS surveys, for scenarios that include BSFRF SBS data. Availability functions were determined outside the model for Scenario 20.07.</w:t>
        </w:r>
        <w:r w:rsidR="008E1C57">
          <w:rPr>
            <w:noProof/>
            <w:webHidden/>
          </w:rPr>
          <w:tab/>
        </w:r>
        <w:r w:rsidR="008E1C57">
          <w:rPr>
            <w:noProof/>
            <w:webHidden/>
          </w:rPr>
          <w:fldChar w:fldCharType="begin"/>
        </w:r>
        <w:r w:rsidR="008E1C57">
          <w:rPr>
            <w:noProof/>
            <w:webHidden/>
          </w:rPr>
          <w:instrText xml:space="preserve"> PAGEREF _Toc50392588 \h </w:instrText>
        </w:r>
        <w:r w:rsidR="008E1C57">
          <w:rPr>
            <w:noProof/>
            <w:webHidden/>
          </w:rPr>
        </w:r>
        <w:r w:rsidR="008E1C57">
          <w:rPr>
            <w:noProof/>
            <w:webHidden/>
          </w:rPr>
          <w:fldChar w:fldCharType="separate"/>
        </w:r>
        <w:r w:rsidR="008E1C57">
          <w:rPr>
            <w:noProof/>
            <w:webHidden/>
          </w:rPr>
          <w:t>165</w:t>
        </w:r>
        <w:r w:rsidR="008E1C57">
          <w:rPr>
            <w:noProof/>
            <w:webHidden/>
          </w:rPr>
          <w:fldChar w:fldCharType="end"/>
        </w:r>
      </w:hyperlink>
    </w:p>
    <w:p w14:paraId="40F9194A" w14:textId="5537B155" w:rsidR="008E1C57" w:rsidRDefault="000F0FEE">
      <w:pPr>
        <w:pStyle w:val="TableofFigures"/>
        <w:tabs>
          <w:tab w:val="right" w:leader="dot" w:pos="9350"/>
        </w:tabs>
        <w:rPr>
          <w:rFonts w:asciiTheme="minorHAnsi" w:eastAsiaTheme="minorEastAsia" w:hAnsiTheme="minorHAnsi"/>
          <w:noProof/>
          <w:sz w:val="24"/>
          <w:szCs w:val="24"/>
        </w:rPr>
      </w:pPr>
      <w:hyperlink w:anchor="_Toc50392589" w:history="1">
        <w:r w:rsidR="008E1C57" w:rsidRPr="00112307">
          <w:rPr>
            <w:rStyle w:val="Hyperlink"/>
            <w:noProof/>
          </w:rPr>
          <w:t>Figure 51. Estimates of natural mortality from all scenarios.</w:t>
        </w:r>
        <w:r w:rsidR="008E1C57">
          <w:rPr>
            <w:noProof/>
            <w:webHidden/>
          </w:rPr>
          <w:tab/>
        </w:r>
        <w:r w:rsidR="008E1C57">
          <w:rPr>
            <w:noProof/>
            <w:webHidden/>
          </w:rPr>
          <w:fldChar w:fldCharType="begin"/>
        </w:r>
        <w:r w:rsidR="008E1C57">
          <w:rPr>
            <w:noProof/>
            <w:webHidden/>
          </w:rPr>
          <w:instrText xml:space="preserve"> PAGEREF _Toc50392589 \h </w:instrText>
        </w:r>
        <w:r w:rsidR="008E1C57">
          <w:rPr>
            <w:noProof/>
            <w:webHidden/>
          </w:rPr>
        </w:r>
        <w:r w:rsidR="008E1C57">
          <w:rPr>
            <w:noProof/>
            <w:webHidden/>
          </w:rPr>
          <w:fldChar w:fldCharType="separate"/>
        </w:r>
        <w:r w:rsidR="008E1C57">
          <w:rPr>
            <w:noProof/>
            <w:webHidden/>
          </w:rPr>
          <w:t>166</w:t>
        </w:r>
        <w:r w:rsidR="008E1C57">
          <w:rPr>
            <w:noProof/>
            <w:webHidden/>
          </w:rPr>
          <w:fldChar w:fldCharType="end"/>
        </w:r>
      </w:hyperlink>
    </w:p>
    <w:p w14:paraId="2F4BFB88" w14:textId="75149DE2" w:rsidR="008E1C57" w:rsidRDefault="000F0FEE">
      <w:pPr>
        <w:pStyle w:val="TableofFigures"/>
        <w:tabs>
          <w:tab w:val="right" w:leader="dot" w:pos="9350"/>
        </w:tabs>
        <w:rPr>
          <w:rFonts w:asciiTheme="minorHAnsi" w:eastAsiaTheme="minorEastAsia" w:hAnsiTheme="minorHAnsi"/>
          <w:noProof/>
          <w:sz w:val="24"/>
          <w:szCs w:val="24"/>
        </w:rPr>
      </w:pPr>
      <w:hyperlink w:anchor="_Toc50392590" w:history="1">
        <w:r w:rsidR="008E1C57" w:rsidRPr="00112307">
          <w:rPr>
            <w:rStyle w:val="Hyperlink"/>
            <w:noProof/>
          </w:rPr>
          <w:t>Figure 52. Estimates of the probability of terminal molt from all scenarios.</w:t>
        </w:r>
        <w:r w:rsidR="008E1C57">
          <w:rPr>
            <w:noProof/>
            <w:webHidden/>
          </w:rPr>
          <w:tab/>
        </w:r>
        <w:r w:rsidR="008E1C57">
          <w:rPr>
            <w:noProof/>
            <w:webHidden/>
          </w:rPr>
          <w:fldChar w:fldCharType="begin"/>
        </w:r>
        <w:r w:rsidR="008E1C57">
          <w:rPr>
            <w:noProof/>
            <w:webHidden/>
          </w:rPr>
          <w:instrText xml:space="preserve"> PAGEREF _Toc50392590 \h </w:instrText>
        </w:r>
        <w:r w:rsidR="008E1C57">
          <w:rPr>
            <w:noProof/>
            <w:webHidden/>
          </w:rPr>
        </w:r>
        <w:r w:rsidR="008E1C57">
          <w:rPr>
            <w:noProof/>
            <w:webHidden/>
          </w:rPr>
          <w:fldChar w:fldCharType="separate"/>
        </w:r>
        <w:r w:rsidR="008E1C57">
          <w:rPr>
            <w:noProof/>
            <w:webHidden/>
          </w:rPr>
          <w:t>167</w:t>
        </w:r>
        <w:r w:rsidR="008E1C57">
          <w:rPr>
            <w:noProof/>
            <w:webHidden/>
          </w:rPr>
          <w:fldChar w:fldCharType="end"/>
        </w:r>
      </w:hyperlink>
    </w:p>
    <w:p w14:paraId="10FD6D78" w14:textId="3F67C2F8" w:rsidR="008E1C57" w:rsidRDefault="000F0FEE">
      <w:pPr>
        <w:pStyle w:val="TableofFigures"/>
        <w:tabs>
          <w:tab w:val="right" w:leader="dot" w:pos="9350"/>
        </w:tabs>
        <w:rPr>
          <w:rFonts w:asciiTheme="minorHAnsi" w:eastAsiaTheme="minorEastAsia" w:hAnsiTheme="minorHAnsi"/>
          <w:noProof/>
          <w:sz w:val="24"/>
          <w:szCs w:val="24"/>
        </w:rPr>
      </w:pPr>
      <w:hyperlink w:anchor="_Toc50392591" w:history="1">
        <w:r w:rsidR="008E1C57" w:rsidRPr="00112307">
          <w:rPr>
            <w:rStyle w:val="Hyperlink"/>
            <w:noProof/>
          </w:rPr>
          <w:t>Figure 53. Estimates of mean growth from all scenarios. Dashed line is 1:1.</w:t>
        </w:r>
        <w:r w:rsidR="008E1C57">
          <w:rPr>
            <w:noProof/>
            <w:webHidden/>
          </w:rPr>
          <w:tab/>
        </w:r>
        <w:r w:rsidR="008E1C57">
          <w:rPr>
            <w:noProof/>
            <w:webHidden/>
          </w:rPr>
          <w:fldChar w:fldCharType="begin"/>
        </w:r>
        <w:r w:rsidR="008E1C57">
          <w:rPr>
            <w:noProof/>
            <w:webHidden/>
          </w:rPr>
          <w:instrText xml:space="preserve"> PAGEREF _Toc50392591 \h </w:instrText>
        </w:r>
        <w:r w:rsidR="008E1C57">
          <w:rPr>
            <w:noProof/>
            <w:webHidden/>
          </w:rPr>
        </w:r>
        <w:r w:rsidR="008E1C57">
          <w:rPr>
            <w:noProof/>
            <w:webHidden/>
          </w:rPr>
          <w:fldChar w:fldCharType="separate"/>
        </w:r>
        <w:r w:rsidR="008E1C57">
          <w:rPr>
            <w:noProof/>
            <w:webHidden/>
          </w:rPr>
          <w:t>168</w:t>
        </w:r>
        <w:r w:rsidR="008E1C57">
          <w:rPr>
            <w:noProof/>
            <w:webHidden/>
          </w:rPr>
          <w:fldChar w:fldCharType="end"/>
        </w:r>
      </w:hyperlink>
    </w:p>
    <w:p w14:paraId="655D5EFF" w14:textId="7262A9C6" w:rsidR="008E1C57" w:rsidRDefault="000F0FEE">
      <w:pPr>
        <w:pStyle w:val="TableofFigures"/>
        <w:tabs>
          <w:tab w:val="right" w:leader="dot" w:pos="9350"/>
        </w:tabs>
        <w:rPr>
          <w:rFonts w:asciiTheme="minorHAnsi" w:eastAsiaTheme="minorEastAsia" w:hAnsiTheme="minorHAnsi"/>
          <w:noProof/>
          <w:sz w:val="24"/>
          <w:szCs w:val="24"/>
        </w:rPr>
      </w:pPr>
      <w:hyperlink w:anchor="_Toc50392592" w:history="1">
        <w:r w:rsidR="008E1C57" w:rsidRPr="00112307">
          <w:rPr>
            <w:rStyle w:val="Hyperlink"/>
            <w:noProof/>
          </w:rPr>
          <w:t>Figure 54. Estimated recruitment time series from all scenarios.</w:t>
        </w:r>
        <w:r w:rsidR="008E1C57">
          <w:rPr>
            <w:noProof/>
            <w:webHidden/>
          </w:rPr>
          <w:tab/>
        </w:r>
        <w:r w:rsidR="008E1C57">
          <w:rPr>
            <w:noProof/>
            <w:webHidden/>
          </w:rPr>
          <w:fldChar w:fldCharType="begin"/>
        </w:r>
        <w:r w:rsidR="008E1C57">
          <w:rPr>
            <w:noProof/>
            <w:webHidden/>
          </w:rPr>
          <w:instrText xml:space="preserve"> PAGEREF _Toc50392592 \h </w:instrText>
        </w:r>
        <w:r w:rsidR="008E1C57">
          <w:rPr>
            <w:noProof/>
            <w:webHidden/>
          </w:rPr>
        </w:r>
        <w:r w:rsidR="008E1C57">
          <w:rPr>
            <w:noProof/>
            <w:webHidden/>
          </w:rPr>
          <w:fldChar w:fldCharType="separate"/>
        </w:r>
        <w:r w:rsidR="008E1C57">
          <w:rPr>
            <w:noProof/>
            <w:webHidden/>
          </w:rPr>
          <w:t>169</w:t>
        </w:r>
        <w:r w:rsidR="008E1C57">
          <w:rPr>
            <w:noProof/>
            <w:webHidden/>
          </w:rPr>
          <w:fldChar w:fldCharType="end"/>
        </w:r>
      </w:hyperlink>
    </w:p>
    <w:p w14:paraId="4A1244A3" w14:textId="3BB3B359" w:rsidR="008E1C57" w:rsidRDefault="000F0FEE">
      <w:pPr>
        <w:pStyle w:val="TableofFigures"/>
        <w:tabs>
          <w:tab w:val="right" w:leader="dot" w:pos="9350"/>
        </w:tabs>
        <w:rPr>
          <w:rFonts w:asciiTheme="minorHAnsi" w:eastAsiaTheme="minorEastAsia" w:hAnsiTheme="minorHAnsi"/>
          <w:noProof/>
          <w:sz w:val="24"/>
          <w:szCs w:val="24"/>
        </w:rPr>
      </w:pPr>
      <w:hyperlink w:anchor="_Toc50392593" w:history="1">
        <w:r w:rsidR="008E1C57" w:rsidRPr="00112307">
          <w:rPr>
            <w:rStyle w:val="Hyperlink"/>
            <w:noProof/>
          </w:rPr>
          <w:t>Figure 55. Estimated recent recruitment time series from all scenarios.</w:t>
        </w:r>
        <w:r w:rsidR="008E1C57">
          <w:rPr>
            <w:noProof/>
            <w:webHidden/>
          </w:rPr>
          <w:tab/>
        </w:r>
        <w:r w:rsidR="008E1C57">
          <w:rPr>
            <w:noProof/>
            <w:webHidden/>
          </w:rPr>
          <w:fldChar w:fldCharType="begin"/>
        </w:r>
        <w:r w:rsidR="008E1C57">
          <w:rPr>
            <w:noProof/>
            <w:webHidden/>
          </w:rPr>
          <w:instrText xml:space="preserve"> PAGEREF _Toc50392593 \h </w:instrText>
        </w:r>
        <w:r w:rsidR="008E1C57">
          <w:rPr>
            <w:noProof/>
            <w:webHidden/>
          </w:rPr>
        </w:r>
        <w:r w:rsidR="008E1C57">
          <w:rPr>
            <w:noProof/>
            <w:webHidden/>
          </w:rPr>
          <w:fldChar w:fldCharType="separate"/>
        </w:r>
        <w:r w:rsidR="008E1C57">
          <w:rPr>
            <w:noProof/>
            <w:webHidden/>
          </w:rPr>
          <w:t>170</w:t>
        </w:r>
        <w:r w:rsidR="008E1C57">
          <w:rPr>
            <w:noProof/>
            <w:webHidden/>
          </w:rPr>
          <w:fldChar w:fldCharType="end"/>
        </w:r>
      </w:hyperlink>
    </w:p>
    <w:p w14:paraId="39DFFF8D" w14:textId="2AC5274C" w:rsidR="008E1C57" w:rsidRDefault="000F0FEE">
      <w:pPr>
        <w:pStyle w:val="TableofFigures"/>
        <w:tabs>
          <w:tab w:val="right" w:leader="dot" w:pos="9350"/>
        </w:tabs>
        <w:rPr>
          <w:rFonts w:asciiTheme="minorHAnsi" w:eastAsiaTheme="minorEastAsia" w:hAnsiTheme="minorHAnsi"/>
          <w:noProof/>
          <w:sz w:val="24"/>
          <w:szCs w:val="24"/>
        </w:rPr>
      </w:pPr>
      <w:hyperlink w:anchor="_Toc50392594" w:history="1">
        <w:r w:rsidR="008E1C57" w:rsidRPr="00112307">
          <w:rPr>
            <w:rStyle w:val="Hyperlink"/>
            <w:noProof/>
          </w:rPr>
          <w:t>Figure 56. Estimated (Feb. 15) mature biomass time series from all scenarios.</w:t>
        </w:r>
        <w:r w:rsidR="008E1C57">
          <w:rPr>
            <w:noProof/>
            <w:webHidden/>
          </w:rPr>
          <w:tab/>
        </w:r>
        <w:r w:rsidR="008E1C57">
          <w:rPr>
            <w:noProof/>
            <w:webHidden/>
          </w:rPr>
          <w:fldChar w:fldCharType="begin"/>
        </w:r>
        <w:r w:rsidR="008E1C57">
          <w:rPr>
            <w:noProof/>
            <w:webHidden/>
          </w:rPr>
          <w:instrText xml:space="preserve"> PAGEREF _Toc50392594 \h </w:instrText>
        </w:r>
        <w:r w:rsidR="008E1C57">
          <w:rPr>
            <w:noProof/>
            <w:webHidden/>
          </w:rPr>
        </w:r>
        <w:r w:rsidR="008E1C57">
          <w:rPr>
            <w:noProof/>
            <w:webHidden/>
          </w:rPr>
          <w:fldChar w:fldCharType="separate"/>
        </w:r>
        <w:r w:rsidR="008E1C57">
          <w:rPr>
            <w:noProof/>
            <w:webHidden/>
          </w:rPr>
          <w:t>171</w:t>
        </w:r>
        <w:r w:rsidR="008E1C57">
          <w:rPr>
            <w:noProof/>
            <w:webHidden/>
          </w:rPr>
          <w:fldChar w:fldCharType="end"/>
        </w:r>
      </w:hyperlink>
    </w:p>
    <w:p w14:paraId="615B91FF" w14:textId="099B3DCF" w:rsidR="008E1C57" w:rsidRDefault="000F0FEE">
      <w:pPr>
        <w:pStyle w:val="TableofFigures"/>
        <w:tabs>
          <w:tab w:val="right" w:leader="dot" w:pos="9350"/>
        </w:tabs>
        <w:rPr>
          <w:rFonts w:asciiTheme="minorHAnsi" w:eastAsiaTheme="minorEastAsia" w:hAnsiTheme="minorHAnsi"/>
          <w:noProof/>
          <w:sz w:val="24"/>
          <w:szCs w:val="24"/>
        </w:rPr>
      </w:pPr>
      <w:hyperlink w:anchor="_Toc50392595" w:history="1">
        <w:r w:rsidR="008E1C57" w:rsidRPr="00112307">
          <w:rPr>
            <w:rStyle w:val="Hyperlink"/>
            <w:noProof/>
          </w:rPr>
          <w:t>Figure 57. Estimated recent (Feb. 15) mature biomass time series from all scenarios.</w:t>
        </w:r>
        <w:r w:rsidR="008E1C57">
          <w:rPr>
            <w:noProof/>
            <w:webHidden/>
          </w:rPr>
          <w:tab/>
        </w:r>
        <w:r w:rsidR="008E1C57">
          <w:rPr>
            <w:noProof/>
            <w:webHidden/>
          </w:rPr>
          <w:fldChar w:fldCharType="begin"/>
        </w:r>
        <w:r w:rsidR="008E1C57">
          <w:rPr>
            <w:noProof/>
            <w:webHidden/>
          </w:rPr>
          <w:instrText xml:space="preserve"> PAGEREF _Toc50392595 \h </w:instrText>
        </w:r>
        <w:r w:rsidR="008E1C57">
          <w:rPr>
            <w:noProof/>
            <w:webHidden/>
          </w:rPr>
        </w:r>
        <w:r w:rsidR="008E1C57">
          <w:rPr>
            <w:noProof/>
            <w:webHidden/>
          </w:rPr>
          <w:fldChar w:fldCharType="separate"/>
        </w:r>
        <w:r w:rsidR="008E1C57">
          <w:rPr>
            <w:noProof/>
            <w:webHidden/>
          </w:rPr>
          <w:t>172</w:t>
        </w:r>
        <w:r w:rsidR="008E1C57">
          <w:rPr>
            <w:noProof/>
            <w:webHidden/>
          </w:rPr>
          <w:fldChar w:fldCharType="end"/>
        </w:r>
      </w:hyperlink>
    </w:p>
    <w:p w14:paraId="10FCD24F" w14:textId="241F89A6" w:rsidR="008E1C57" w:rsidRDefault="000F0FEE">
      <w:pPr>
        <w:pStyle w:val="TableofFigures"/>
        <w:tabs>
          <w:tab w:val="right" w:leader="dot" w:pos="9350"/>
        </w:tabs>
        <w:rPr>
          <w:rFonts w:asciiTheme="minorHAnsi" w:eastAsiaTheme="minorEastAsia" w:hAnsiTheme="minorHAnsi"/>
          <w:noProof/>
          <w:sz w:val="24"/>
          <w:szCs w:val="24"/>
        </w:rPr>
      </w:pPr>
      <w:hyperlink w:anchor="_Toc50392596" w:history="1">
        <w:r w:rsidR="008E1C57" w:rsidRPr="00112307">
          <w:rPr>
            <w:rStyle w:val="Hyperlink"/>
            <w:noProof/>
          </w:rPr>
          <w:t>Figure 58. Estimated biomass (on July 1) time series by population category for all scenarios.</w:t>
        </w:r>
        <w:r w:rsidR="008E1C57">
          <w:rPr>
            <w:noProof/>
            <w:webHidden/>
          </w:rPr>
          <w:tab/>
        </w:r>
        <w:r w:rsidR="008E1C57">
          <w:rPr>
            <w:noProof/>
            <w:webHidden/>
          </w:rPr>
          <w:fldChar w:fldCharType="begin"/>
        </w:r>
        <w:r w:rsidR="008E1C57">
          <w:rPr>
            <w:noProof/>
            <w:webHidden/>
          </w:rPr>
          <w:instrText xml:space="preserve"> PAGEREF _Toc50392596 \h </w:instrText>
        </w:r>
        <w:r w:rsidR="008E1C57">
          <w:rPr>
            <w:noProof/>
            <w:webHidden/>
          </w:rPr>
        </w:r>
        <w:r w:rsidR="008E1C57">
          <w:rPr>
            <w:noProof/>
            <w:webHidden/>
          </w:rPr>
          <w:fldChar w:fldCharType="separate"/>
        </w:r>
        <w:r w:rsidR="008E1C57">
          <w:rPr>
            <w:noProof/>
            <w:webHidden/>
          </w:rPr>
          <w:t>173</w:t>
        </w:r>
        <w:r w:rsidR="008E1C57">
          <w:rPr>
            <w:noProof/>
            <w:webHidden/>
          </w:rPr>
          <w:fldChar w:fldCharType="end"/>
        </w:r>
      </w:hyperlink>
    </w:p>
    <w:p w14:paraId="4E1CDF0A" w14:textId="1B16950C" w:rsidR="008E1C57" w:rsidRDefault="000F0FEE">
      <w:pPr>
        <w:pStyle w:val="TableofFigures"/>
        <w:tabs>
          <w:tab w:val="right" w:leader="dot" w:pos="9350"/>
        </w:tabs>
        <w:rPr>
          <w:rFonts w:asciiTheme="minorHAnsi" w:eastAsiaTheme="minorEastAsia" w:hAnsiTheme="minorHAnsi"/>
          <w:noProof/>
          <w:sz w:val="24"/>
          <w:szCs w:val="24"/>
        </w:rPr>
      </w:pPr>
      <w:hyperlink w:anchor="_Toc50392597" w:history="1">
        <w:r w:rsidR="008E1C57" w:rsidRPr="00112307">
          <w:rPr>
            <w:rStyle w:val="Hyperlink"/>
            <w:noProof/>
          </w:rPr>
          <w:t>Figure 59. Estimated recent biomass (on July 1) time series by population category for all scenarios.</w:t>
        </w:r>
        <w:r w:rsidR="008E1C57">
          <w:rPr>
            <w:noProof/>
            <w:webHidden/>
          </w:rPr>
          <w:tab/>
        </w:r>
        <w:r w:rsidR="008E1C57">
          <w:rPr>
            <w:noProof/>
            <w:webHidden/>
          </w:rPr>
          <w:fldChar w:fldCharType="begin"/>
        </w:r>
        <w:r w:rsidR="008E1C57">
          <w:rPr>
            <w:noProof/>
            <w:webHidden/>
          </w:rPr>
          <w:instrText xml:space="preserve"> PAGEREF _Toc50392597 \h </w:instrText>
        </w:r>
        <w:r w:rsidR="008E1C57">
          <w:rPr>
            <w:noProof/>
            <w:webHidden/>
          </w:rPr>
        </w:r>
        <w:r w:rsidR="008E1C57">
          <w:rPr>
            <w:noProof/>
            <w:webHidden/>
          </w:rPr>
          <w:fldChar w:fldCharType="separate"/>
        </w:r>
        <w:r w:rsidR="008E1C57">
          <w:rPr>
            <w:noProof/>
            <w:webHidden/>
          </w:rPr>
          <w:t>174</w:t>
        </w:r>
        <w:r w:rsidR="008E1C57">
          <w:rPr>
            <w:noProof/>
            <w:webHidden/>
          </w:rPr>
          <w:fldChar w:fldCharType="end"/>
        </w:r>
      </w:hyperlink>
    </w:p>
    <w:p w14:paraId="44A56144" w14:textId="551A55F1" w:rsidR="008E1C57" w:rsidRDefault="000F0FEE">
      <w:pPr>
        <w:pStyle w:val="TableofFigures"/>
        <w:tabs>
          <w:tab w:val="right" w:leader="dot" w:pos="9350"/>
        </w:tabs>
        <w:rPr>
          <w:rFonts w:asciiTheme="minorHAnsi" w:eastAsiaTheme="minorEastAsia" w:hAnsiTheme="minorHAnsi"/>
          <w:noProof/>
          <w:sz w:val="24"/>
          <w:szCs w:val="24"/>
        </w:rPr>
      </w:pPr>
      <w:hyperlink w:anchor="_Toc50392598" w:history="1">
        <w:r w:rsidR="008E1C57" w:rsidRPr="00112307">
          <w:rPr>
            <w:rStyle w:val="Hyperlink"/>
            <w:noProof/>
          </w:rPr>
          <w:t>Figure 60. Retrospective patterns for Scenario 19.03(2020). Upper: recruitment. Lower: MMB.</w:t>
        </w:r>
        <w:r w:rsidR="008E1C57">
          <w:rPr>
            <w:noProof/>
            <w:webHidden/>
          </w:rPr>
          <w:tab/>
        </w:r>
        <w:r w:rsidR="008E1C57">
          <w:rPr>
            <w:noProof/>
            <w:webHidden/>
          </w:rPr>
          <w:fldChar w:fldCharType="begin"/>
        </w:r>
        <w:r w:rsidR="008E1C57">
          <w:rPr>
            <w:noProof/>
            <w:webHidden/>
          </w:rPr>
          <w:instrText xml:space="preserve"> PAGEREF _Toc50392598 \h </w:instrText>
        </w:r>
        <w:r w:rsidR="008E1C57">
          <w:rPr>
            <w:noProof/>
            <w:webHidden/>
          </w:rPr>
        </w:r>
        <w:r w:rsidR="008E1C57">
          <w:rPr>
            <w:noProof/>
            <w:webHidden/>
          </w:rPr>
          <w:fldChar w:fldCharType="separate"/>
        </w:r>
        <w:r w:rsidR="008E1C57">
          <w:rPr>
            <w:noProof/>
            <w:webHidden/>
          </w:rPr>
          <w:t>175</w:t>
        </w:r>
        <w:r w:rsidR="008E1C57">
          <w:rPr>
            <w:noProof/>
            <w:webHidden/>
          </w:rPr>
          <w:fldChar w:fldCharType="end"/>
        </w:r>
      </w:hyperlink>
    </w:p>
    <w:p w14:paraId="1791575B" w14:textId="2261C82C" w:rsidR="008E1C57" w:rsidRDefault="000F0FEE">
      <w:pPr>
        <w:pStyle w:val="TableofFigures"/>
        <w:tabs>
          <w:tab w:val="right" w:leader="dot" w:pos="9350"/>
        </w:tabs>
        <w:rPr>
          <w:rFonts w:asciiTheme="minorHAnsi" w:eastAsiaTheme="minorEastAsia" w:hAnsiTheme="minorHAnsi"/>
          <w:noProof/>
          <w:sz w:val="24"/>
          <w:szCs w:val="24"/>
        </w:rPr>
      </w:pPr>
      <w:hyperlink w:anchor="_Toc50392599" w:history="1">
        <w:r w:rsidR="008E1C57" w:rsidRPr="00112307">
          <w:rPr>
            <w:rStyle w:val="Hyperlink"/>
            <w:noProof/>
          </w:rPr>
          <w:t>Figure 61. Retrospective patterns for Scenario 20.10. Upper: recruitment. Lower: MMB.</w:t>
        </w:r>
        <w:r w:rsidR="008E1C57">
          <w:rPr>
            <w:noProof/>
            <w:webHidden/>
          </w:rPr>
          <w:tab/>
        </w:r>
        <w:r w:rsidR="008E1C57">
          <w:rPr>
            <w:noProof/>
            <w:webHidden/>
          </w:rPr>
          <w:fldChar w:fldCharType="begin"/>
        </w:r>
        <w:r w:rsidR="008E1C57">
          <w:rPr>
            <w:noProof/>
            <w:webHidden/>
          </w:rPr>
          <w:instrText xml:space="preserve"> PAGEREF _Toc50392599 \h </w:instrText>
        </w:r>
        <w:r w:rsidR="008E1C57">
          <w:rPr>
            <w:noProof/>
            <w:webHidden/>
          </w:rPr>
        </w:r>
        <w:r w:rsidR="008E1C57">
          <w:rPr>
            <w:noProof/>
            <w:webHidden/>
          </w:rPr>
          <w:fldChar w:fldCharType="separate"/>
        </w:r>
        <w:r w:rsidR="008E1C57">
          <w:rPr>
            <w:noProof/>
            <w:webHidden/>
          </w:rPr>
          <w:t>176</w:t>
        </w:r>
        <w:r w:rsidR="008E1C57">
          <w:rPr>
            <w:noProof/>
            <w:webHidden/>
          </w:rPr>
          <w:fldChar w:fldCharType="end"/>
        </w:r>
      </w:hyperlink>
    </w:p>
    <w:p w14:paraId="3DD0F5E1" w14:textId="0FA32355" w:rsidR="008E1C57" w:rsidRDefault="000F0FEE">
      <w:pPr>
        <w:pStyle w:val="TableofFigures"/>
        <w:tabs>
          <w:tab w:val="right" w:leader="dot" w:pos="9350"/>
        </w:tabs>
        <w:rPr>
          <w:rFonts w:asciiTheme="minorHAnsi" w:eastAsiaTheme="minorEastAsia" w:hAnsiTheme="minorHAnsi"/>
          <w:noProof/>
          <w:sz w:val="24"/>
          <w:szCs w:val="24"/>
        </w:rPr>
      </w:pPr>
      <w:hyperlink w:anchor="_Toc50392600" w:history="1">
        <w:r w:rsidR="008E1C57" w:rsidRPr="00112307">
          <w:rPr>
            <w:rStyle w:val="Hyperlink"/>
            <w:noProof/>
          </w:rPr>
          <w:t>Figure 62. Traces for OFL-related quantities from 4 MCMC chains for Scenario 19.03(2020). Chains were run for 1 million iterations, with a 2,000 step burn-in and every 2,000th iteration saved.</w:t>
        </w:r>
        <w:r w:rsidR="008E1C57">
          <w:rPr>
            <w:noProof/>
            <w:webHidden/>
          </w:rPr>
          <w:tab/>
        </w:r>
        <w:r w:rsidR="008E1C57">
          <w:rPr>
            <w:noProof/>
            <w:webHidden/>
          </w:rPr>
          <w:fldChar w:fldCharType="begin"/>
        </w:r>
        <w:r w:rsidR="008E1C57">
          <w:rPr>
            <w:noProof/>
            <w:webHidden/>
          </w:rPr>
          <w:instrText xml:space="preserve"> PAGEREF _Toc50392600 \h </w:instrText>
        </w:r>
        <w:r w:rsidR="008E1C57">
          <w:rPr>
            <w:noProof/>
            <w:webHidden/>
          </w:rPr>
        </w:r>
        <w:r w:rsidR="008E1C57">
          <w:rPr>
            <w:noProof/>
            <w:webHidden/>
          </w:rPr>
          <w:fldChar w:fldCharType="separate"/>
        </w:r>
        <w:r w:rsidR="008E1C57">
          <w:rPr>
            <w:noProof/>
            <w:webHidden/>
          </w:rPr>
          <w:t>177</w:t>
        </w:r>
        <w:r w:rsidR="008E1C57">
          <w:rPr>
            <w:noProof/>
            <w:webHidden/>
          </w:rPr>
          <w:fldChar w:fldCharType="end"/>
        </w:r>
      </w:hyperlink>
    </w:p>
    <w:p w14:paraId="14759EF2" w14:textId="0A5DCC88" w:rsidR="008E1C57" w:rsidRDefault="000F0FEE">
      <w:pPr>
        <w:pStyle w:val="TableofFigures"/>
        <w:tabs>
          <w:tab w:val="right" w:leader="dot" w:pos="9350"/>
        </w:tabs>
        <w:rPr>
          <w:rFonts w:asciiTheme="minorHAnsi" w:eastAsiaTheme="minorEastAsia" w:hAnsiTheme="minorHAnsi"/>
          <w:noProof/>
          <w:sz w:val="24"/>
          <w:szCs w:val="24"/>
        </w:rPr>
      </w:pPr>
      <w:hyperlink w:anchor="_Toc50392601" w:history="1">
        <w:r w:rsidR="008E1C57" w:rsidRPr="00112307">
          <w:rPr>
            <w:rStyle w:val="Hyperlink"/>
            <w:noProof/>
          </w:rPr>
          <w:t>Figure 63. Histograms for OFL-related quantities from 4 MCMC chains for Scenario 19.03(2020). Chains were run for 1 million iterations, with a 2,000 step burn-in and every 2,000th iteration saved.</w:t>
        </w:r>
        <w:r w:rsidR="008E1C57">
          <w:rPr>
            <w:noProof/>
            <w:webHidden/>
          </w:rPr>
          <w:tab/>
        </w:r>
        <w:r w:rsidR="008E1C57">
          <w:rPr>
            <w:noProof/>
            <w:webHidden/>
          </w:rPr>
          <w:fldChar w:fldCharType="begin"/>
        </w:r>
        <w:r w:rsidR="008E1C57">
          <w:rPr>
            <w:noProof/>
            <w:webHidden/>
          </w:rPr>
          <w:instrText xml:space="preserve"> PAGEREF _Toc50392601 \h </w:instrText>
        </w:r>
        <w:r w:rsidR="008E1C57">
          <w:rPr>
            <w:noProof/>
            <w:webHidden/>
          </w:rPr>
        </w:r>
        <w:r w:rsidR="008E1C57">
          <w:rPr>
            <w:noProof/>
            <w:webHidden/>
          </w:rPr>
          <w:fldChar w:fldCharType="separate"/>
        </w:r>
        <w:r w:rsidR="008E1C57">
          <w:rPr>
            <w:noProof/>
            <w:webHidden/>
          </w:rPr>
          <w:t>178</w:t>
        </w:r>
        <w:r w:rsidR="008E1C57">
          <w:rPr>
            <w:noProof/>
            <w:webHidden/>
          </w:rPr>
          <w:fldChar w:fldCharType="end"/>
        </w:r>
      </w:hyperlink>
    </w:p>
    <w:p w14:paraId="7F5F5418" w14:textId="110AF95C" w:rsidR="008E1C57" w:rsidRDefault="000F0FEE">
      <w:pPr>
        <w:pStyle w:val="TableofFigures"/>
        <w:tabs>
          <w:tab w:val="right" w:leader="dot" w:pos="9350"/>
        </w:tabs>
        <w:rPr>
          <w:rFonts w:asciiTheme="minorHAnsi" w:eastAsiaTheme="minorEastAsia" w:hAnsiTheme="minorHAnsi"/>
          <w:noProof/>
          <w:sz w:val="24"/>
          <w:szCs w:val="24"/>
        </w:rPr>
      </w:pPr>
      <w:hyperlink w:anchor="_Toc50392602" w:history="1">
        <w:r w:rsidR="008E1C57" w:rsidRPr="00112307">
          <w:rPr>
            <w:rStyle w:val="Hyperlink"/>
            <w:noProof/>
          </w:rPr>
          <w:t>Figure 64. Traces for OFL-related quantities from 4 MCMC chains for Scenario 20.07. Chains were run for 1 million iterations, with a 2,000 step burn-in and every 2,000th iteration saved.</w:t>
        </w:r>
        <w:r w:rsidR="008E1C57">
          <w:rPr>
            <w:noProof/>
            <w:webHidden/>
          </w:rPr>
          <w:tab/>
        </w:r>
        <w:r w:rsidR="008E1C57">
          <w:rPr>
            <w:noProof/>
            <w:webHidden/>
          </w:rPr>
          <w:fldChar w:fldCharType="begin"/>
        </w:r>
        <w:r w:rsidR="008E1C57">
          <w:rPr>
            <w:noProof/>
            <w:webHidden/>
          </w:rPr>
          <w:instrText xml:space="preserve"> PAGEREF _Toc50392602 \h </w:instrText>
        </w:r>
        <w:r w:rsidR="008E1C57">
          <w:rPr>
            <w:noProof/>
            <w:webHidden/>
          </w:rPr>
        </w:r>
        <w:r w:rsidR="008E1C57">
          <w:rPr>
            <w:noProof/>
            <w:webHidden/>
          </w:rPr>
          <w:fldChar w:fldCharType="separate"/>
        </w:r>
        <w:r w:rsidR="008E1C57">
          <w:rPr>
            <w:noProof/>
            <w:webHidden/>
          </w:rPr>
          <w:t>179</w:t>
        </w:r>
        <w:r w:rsidR="008E1C57">
          <w:rPr>
            <w:noProof/>
            <w:webHidden/>
          </w:rPr>
          <w:fldChar w:fldCharType="end"/>
        </w:r>
      </w:hyperlink>
    </w:p>
    <w:p w14:paraId="072A270A" w14:textId="02A7D004" w:rsidR="008E1C57" w:rsidRDefault="000F0FEE">
      <w:pPr>
        <w:pStyle w:val="TableofFigures"/>
        <w:tabs>
          <w:tab w:val="right" w:leader="dot" w:pos="9350"/>
        </w:tabs>
        <w:rPr>
          <w:rFonts w:asciiTheme="minorHAnsi" w:eastAsiaTheme="minorEastAsia" w:hAnsiTheme="minorHAnsi"/>
          <w:noProof/>
          <w:sz w:val="24"/>
          <w:szCs w:val="24"/>
        </w:rPr>
      </w:pPr>
      <w:hyperlink w:anchor="_Toc50392603" w:history="1">
        <w:r w:rsidR="008E1C57" w:rsidRPr="00112307">
          <w:rPr>
            <w:rStyle w:val="Hyperlink"/>
            <w:noProof/>
          </w:rPr>
          <w:t>Figure 65. Histograms for OFL-related quantities from 4 MCMC chains for Scenario 20.07. Chains were run for 1 million iterations, with a 2,000 step burn-in and every 2,000th iteration saved.</w:t>
        </w:r>
        <w:r w:rsidR="008E1C57">
          <w:rPr>
            <w:noProof/>
            <w:webHidden/>
          </w:rPr>
          <w:tab/>
        </w:r>
        <w:r w:rsidR="008E1C57">
          <w:rPr>
            <w:noProof/>
            <w:webHidden/>
          </w:rPr>
          <w:fldChar w:fldCharType="begin"/>
        </w:r>
        <w:r w:rsidR="008E1C57">
          <w:rPr>
            <w:noProof/>
            <w:webHidden/>
          </w:rPr>
          <w:instrText xml:space="preserve"> PAGEREF _Toc50392603 \h </w:instrText>
        </w:r>
        <w:r w:rsidR="008E1C57">
          <w:rPr>
            <w:noProof/>
            <w:webHidden/>
          </w:rPr>
        </w:r>
        <w:r w:rsidR="008E1C57">
          <w:rPr>
            <w:noProof/>
            <w:webHidden/>
          </w:rPr>
          <w:fldChar w:fldCharType="separate"/>
        </w:r>
        <w:r w:rsidR="008E1C57">
          <w:rPr>
            <w:noProof/>
            <w:webHidden/>
          </w:rPr>
          <w:t>180</w:t>
        </w:r>
        <w:r w:rsidR="008E1C57">
          <w:rPr>
            <w:noProof/>
            <w:webHidden/>
          </w:rPr>
          <w:fldChar w:fldCharType="end"/>
        </w:r>
      </w:hyperlink>
    </w:p>
    <w:p w14:paraId="77286A18" w14:textId="135B4B48" w:rsidR="008E1C57" w:rsidRDefault="000F0FEE">
      <w:pPr>
        <w:pStyle w:val="TableofFigures"/>
        <w:tabs>
          <w:tab w:val="right" w:leader="dot" w:pos="9350"/>
        </w:tabs>
        <w:rPr>
          <w:rFonts w:asciiTheme="minorHAnsi" w:eastAsiaTheme="minorEastAsia" w:hAnsiTheme="minorHAnsi"/>
          <w:noProof/>
          <w:sz w:val="24"/>
          <w:szCs w:val="24"/>
        </w:rPr>
      </w:pPr>
      <w:hyperlink w:anchor="_Toc50392604" w:history="1">
        <w:r w:rsidR="008E1C57" w:rsidRPr="00112307">
          <w:rPr>
            <w:rStyle w:val="Hyperlink"/>
            <w:noProof/>
          </w:rPr>
          <w:t>Figure 66. The F</w:t>
        </w:r>
        <w:r w:rsidR="008E1C57" w:rsidRPr="00112307">
          <w:rPr>
            <w:rStyle w:val="Hyperlink"/>
            <w:noProof/>
            <w:vertAlign w:val="subscript"/>
          </w:rPr>
          <w:t>OFL</w:t>
        </w:r>
        <w:r w:rsidR="008E1C57" w:rsidRPr="00112307">
          <w:rPr>
            <w:rStyle w:val="Hyperlink"/>
            <w:noProof/>
          </w:rPr>
          <w:t xml:space="preserve"> harvest control rule.</w:t>
        </w:r>
        <w:r w:rsidR="008E1C57">
          <w:rPr>
            <w:noProof/>
            <w:webHidden/>
          </w:rPr>
          <w:tab/>
        </w:r>
        <w:r w:rsidR="008E1C57">
          <w:rPr>
            <w:noProof/>
            <w:webHidden/>
          </w:rPr>
          <w:fldChar w:fldCharType="begin"/>
        </w:r>
        <w:r w:rsidR="008E1C57">
          <w:rPr>
            <w:noProof/>
            <w:webHidden/>
          </w:rPr>
          <w:instrText xml:space="preserve"> PAGEREF _Toc50392604 \h </w:instrText>
        </w:r>
        <w:r w:rsidR="008E1C57">
          <w:rPr>
            <w:noProof/>
            <w:webHidden/>
          </w:rPr>
        </w:r>
        <w:r w:rsidR="008E1C57">
          <w:rPr>
            <w:noProof/>
            <w:webHidden/>
          </w:rPr>
          <w:fldChar w:fldCharType="separate"/>
        </w:r>
        <w:r w:rsidR="008E1C57">
          <w:rPr>
            <w:noProof/>
            <w:webHidden/>
          </w:rPr>
          <w:t>181</w:t>
        </w:r>
        <w:r w:rsidR="008E1C57">
          <w:rPr>
            <w:noProof/>
            <w:webHidden/>
          </w:rPr>
          <w:fldChar w:fldCharType="end"/>
        </w:r>
      </w:hyperlink>
    </w:p>
    <w:p w14:paraId="647B1526" w14:textId="247EFA98" w:rsidR="008E1C57" w:rsidRDefault="000F0FEE">
      <w:pPr>
        <w:pStyle w:val="TableofFigures"/>
        <w:tabs>
          <w:tab w:val="right" w:leader="dot" w:pos="9350"/>
        </w:tabs>
        <w:rPr>
          <w:rFonts w:asciiTheme="minorHAnsi" w:eastAsiaTheme="minorEastAsia" w:hAnsiTheme="minorHAnsi"/>
          <w:noProof/>
          <w:sz w:val="24"/>
          <w:szCs w:val="24"/>
        </w:rPr>
      </w:pPr>
      <w:hyperlink w:anchor="_Toc50392605" w:history="1">
        <w:r w:rsidR="008E1C57" w:rsidRPr="00112307">
          <w:rPr>
            <w:rStyle w:val="Hyperlink"/>
            <w:noProof/>
          </w:rPr>
          <w:t>Figure 67. The OFL and ABC from the author’s preferred model, scenario 20.07. 4 MCMC chains were merged to obtain the empirical distribution determining the p-star ABC.</w:t>
        </w:r>
        <w:r w:rsidR="008E1C57">
          <w:rPr>
            <w:noProof/>
            <w:webHidden/>
          </w:rPr>
          <w:tab/>
        </w:r>
        <w:r w:rsidR="008E1C57">
          <w:rPr>
            <w:noProof/>
            <w:webHidden/>
          </w:rPr>
          <w:fldChar w:fldCharType="begin"/>
        </w:r>
        <w:r w:rsidR="008E1C57">
          <w:rPr>
            <w:noProof/>
            <w:webHidden/>
          </w:rPr>
          <w:instrText xml:space="preserve"> PAGEREF _Toc50392605 \h </w:instrText>
        </w:r>
        <w:r w:rsidR="008E1C57">
          <w:rPr>
            <w:noProof/>
            <w:webHidden/>
          </w:rPr>
        </w:r>
        <w:r w:rsidR="008E1C57">
          <w:rPr>
            <w:noProof/>
            <w:webHidden/>
          </w:rPr>
          <w:fldChar w:fldCharType="separate"/>
        </w:r>
        <w:r w:rsidR="008E1C57">
          <w:rPr>
            <w:noProof/>
            <w:webHidden/>
          </w:rPr>
          <w:t>182</w:t>
        </w:r>
        <w:r w:rsidR="008E1C57">
          <w:rPr>
            <w:noProof/>
            <w:webHidden/>
          </w:rPr>
          <w:fldChar w:fldCharType="end"/>
        </w:r>
      </w:hyperlink>
    </w:p>
    <w:p w14:paraId="60E74B83" w14:textId="454CBB84" w:rsidR="008E1C57" w:rsidRDefault="000F0FEE">
      <w:pPr>
        <w:pStyle w:val="TableofFigures"/>
        <w:tabs>
          <w:tab w:val="right" w:leader="dot" w:pos="9350"/>
        </w:tabs>
        <w:rPr>
          <w:rFonts w:asciiTheme="minorHAnsi" w:eastAsiaTheme="minorEastAsia" w:hAnsiTheme="minorHAnsi"/>
          <w:noProof/>
          <w:sz w:val="24"/>
          <w:szCs w:val="24"/>
        </w:rPr>
      </w:pPr>
      <w:hyperlink w:anchor="_Toc50392606" w:history="1">
        <w:r w:rsidR="008E1C57" w:rsidRPr="00112307">
          <w:rPr>
            <w:rStyle w:val="Hyperlink"/>
            <w:noProof/>
          </w:rPr>
          <w:t>Figure 68. Quad plot for the author’s preferred model, Scenario 20.07.</w:t>
        </w:r>
        <w:r w:rsidR="008E1C57">
          <w:rPr>
            <w:noProof/>
            <w:webHidden/>
          </w:rPr>
          <w:tab/>
        </w:r>
        <w:r w:rsidR="008E1C57">
          <w:rPr>
            <w:noProof/>
            <w:webHidden/>
          </w:rPr>
          <w:fldChar w:fldCharType="begin"/>
        </w:r>
        <w:r w:rsidR="008E1C57">
          <w:rPr>
            <w:noProof/>
            <w:webHidden/>
          </w:rPr>
          <w:instrText xml:space="preserve"> PAGEREF _Toc50392606 \h </w:instrText>
        </w:r>
        <w:r w:rsidR="008E1C57">
          <w:rPr>
            <w:noProof/>
            <w:webHidden/>
          </w:rPr>
        </w:r>
        <w:r w:rsidR="008E1C57">
          <w:rPr>
            <w:noProof/>
            <w:webHidden/>
          </w:rPr>
          <w:fldChar w:fldCharType="separate"/>
        </w:r>
        <w:r w:rsidR="008E1C57">
          <w:rPr>
            <w:noProof/>
            <w:webHidden/>
          </w:rPr>
          <w:t>183</w:t>
        </w:r>
        <w:r w:rsidR="008E1C57">
          <w:rPr>
            <w:noProof/>
            <w:webHidden/>
          </w:rPr>
          <w:fldChar w:fldCharType="end"/>
        </w:r>
      </w:hyperlink>
    </w:p>
    <w:p w14:paraId="305D85B5" w14:textId="2448D255" w:rsidR="00E5030C" w:rsidRDefault="00D35417" w:rsidP="006D788A">
      <w:pPr>
        <w:autoSpaceDE w:val="0"/>
        <w:autoSpaceDN w:val="0"/>
        <w:adjustRightInd w:val="0"/>
        <w:spacing w:after="0"/>
        <w:rPr>
          <w:rFonts w:eastAsia="Times New Roman" w:cs="Times New Roman"/>
        </w:rPr>
      </w:pPr>
      <w:r w:rsidRPr="0015116B">
        <w:rPr>
          <w:rFonts w:eastAsia="Times New Roman" w:cs="Times New Roman"/>
        </w:rPr>
        <w:fldChar w:fldCharType="end"/>
      </w:r>
    </w:p>
    <w:p w14:paraId="17E1BA9F" w14:textId="49C13616" w:rsidR="00CB27AF" w:rsidRDefault="00CB27AF">
      <w:pPr>
        <w:spacing w:after="200" w:line="276" w:lineRule="auto"/>
        <w:rPr>
          <w:rFonts w:eastAsia="Times New Roman" w:cs="Times New Roman"/>
        </w:rPr>
      </w:pPr>
      <w:r>
        <w:rPr>
          <w:rFonts w:eastAsia="Times New Roman" w:cs="Times New Roman"/>
        </w:rPr>
        <w:br w:type="page"/>
      </w:r>
    </w:p>
    <w:p w14:paraId="79E9BD74" w14:textId="77777777" w:rsidR="00CB27AF" w:rsidRPr="00302C1D" w:rsidRDefault="00CB27AF" w:rsidP="002E541D">
      <w:pPr>
        <w:pStyle w:val="Heading1"/>
      </w:pPr>
      <w:r>
        <w:lastRenderedPageBreak/>
        <w:t xml:space="preserve"> </w:t>
      </w:r>
      <w:r w:rsidRPr="00302C1D">
        <w:t>Tables</w:t>
      </w:r>
    </w:p>
    <w:p w14:paraId="17160ABF" w14:textId="77777777" w:rsidR="00CB27AF" w:rsidRPr="00302C1D" w:rsidRDefault="00CB27AF" w:rsidP="00D37106">
      <w:pPr>
        <w:pStyle w:val="TableCaption"/>
      </w:pPr>
      <w:bookmarkStart w:id="0" w:name="_Toc397874021"/>
      <w:bookmarkStart w:id="1" w:name="_Toc397874150"/>
      <w:bookmarkStart w:id="2" w:name="_Toc397922856"/>
      <w:bookmarkStart w:id="3" w:name="_Toc397931460"/>
      <w:bookmarkStart w:id="4" w:name="_Toc428863564"/>
      <w:bookmarkStart w:id="5" w:name="_Toc428946412"/>
      <w:bookmarkStart w:id="6" w:name="_Toc429115779"/>
      <w:bookmarkStart w:id="7" w:name="_Toc429117959"/>
      <w:bookmarkStart w:id="8" w:name="_Toc429307577"/>
      <w:bookmarkStart w:id="9" w:name="_Toc50392502"/>
      <w:r w:rsidRPr="00302C1D">
        <w:t xml:space="preserve">Table </w:t>
      </w:r>
      <w:r w:rsidRPr="00302C1D">
        <w:rPr>
          <w:noProof/>
        </w:rPr>
        <w:fldChar w:fldCharType="begin"/>
      </w:r>
      <w:r w:rsidRPr="00302C1D">
        <w:rPr>
          <w:noProof/>
        </w:rPr>
        <w:instrText xml:space="preserve"> SEQ Table \* ARABIC </w:instrText>
      </w:r>
      <w:r w:rsidRPr="00302C1D">
        <w:rPr>
          <w:noProof/>
        </w:rPr>
        <w:fldChar w:fldCharType="separate"/>
      </w:r>
      <w:r>
        <w:rPr>
          <w:noProof/>
        </w:rPr>
        <w:t>1</w:t>
      </w:r>
      <w:r w:rsidRPr="00302C1D">
        <w:rPr>
          <w:noProof/>
        </w:rPr>
        <w:fldChar w:fldCharType="end"/>
      </w:r>
      <w:r w:rsidRPr="00302C1D">
        <w:t>. Retained catch (males) in directed Tanner crab fisheries (1965/66-2000/01).</w:t>
      </w:r>
      <w:bookmarkEnd w:id="0"/>
      <w:bookmarkEnd w:id="1"/>
      <w:bookmarkEnd w:id="2"/>
      <w:bookmarkEnd w:id="3"/>
      <w:bookmarkEnd w:id="4"/>
      <w:bookmarkEnd w:id="5"/>
      <w:bookmarkEnd w:id="6"/>
      <w:bookmarkEnd w:id="7"/>
      <w:bookmarkEnd w:id="8"/>
      <w:r w:rsidRPr="00302C1D">
        <w:t xml:space="preserve"> Catch units are metric tons. Asterisks denote a closure of the directed domestic fishery.</w:t>
      </w:r>
      <w:bookmarkEnd w:id="9"/>
    </w:p>
    <w:p w14:paraId="43A701C0" w14:textId="77777777" w:rsidR="00CB27AF" w:rsidRPr="00302C1D" w:rsidRDefault="00CB27AF" w:rsidP="00D37106">
      <w:pPr>
        <w:jc w:val="center"/>
      </w:pPr>
      <w:r w:rsidRPr="00302C1D">
        <w:rPr>
          <w:noProof/>
        </w:rPr>
        <w:drawing>
          <wp:inline distT="0" distB="0" distL="0" distR="0" wp14:anchorId="079019BC" wp14:editId="3E3805A2">
            <wp:extent cx="3154680" cy="7315200"/>
            <wp:effectExtent l="0" t="0" r="0" b="0"/>
            <wp:docPr id="49" name="Picture 49"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49" name="Picture 49" descr="A screenshot of a cell phone&#10;&#10;Description automatically generated"/>
                    <pic:cNvPicPr/>
                  </pic:nvPicPr>
                  <pic:blipFill>
                    <a:blip r:embed="rId21" cstate="email">
                      <a:extLst>
                        <a:ext uri="{28A0092B-C50C-407E-A947-70E740481C1C}">
                          <a14:useLocalDpi xmlns:a14="http://schemas.microsoft.com/office/drawing/2010/main"/>
                        </a:ext>
                      </a:extLst>
                    </a:blip>
                    <a:stretch>
                      <a:fillRect/>
                    </a:stretch>
                  </pic:blipFill>
                  <pic:spPr>
                    <a:xfrm>
                      <a:off x="0" y="0"/>
                      <a:ext cx="3154680" cy="7315200"/>
                    </a:xfrm>
                    <a:prstGeom prst="rect">
                      <a:avLst/>
                    </a:prstGeom>
                  </pic:spPr>
                </pic:pic>
              </a:graphicData>
            </a:graphic>
          </wp:inline>
        </w:drawing>
      </w:r>
      <w:r w:rsidRPr="00302C1D">
        <w:br w:type="page"/>
      </w:r>
    </w:p>
    <w:p w14:paraId="78FAFDB6" w14:textId="77777777" w:rsidR="00CB27AF" w:rsidRPr="00302C1D" w:rsidRDefault="00CB27AF" w:rsidP="00D37106">
      <w:pPr>
        <w:pStyle w:val="TableCaption"/>
      </w:pPr>
      <w:r w:rsidRPr="00302C1D">
        <w:lastRenderedPageBreak/>
        <w:t xml:space="preserve">Table </w:t>
      </w:r>
      <w:r w:rsidRPr="00302C1D">
        <w:rPr>
          <w:noProof/>
        </w:rPr>
        <w:fldChar w:fldCharType="begin"/>
      </w:r>
      <w:r w:rsidRPr="00302C1D">
        <w:rPr>
          <w:noProof/>
        </w:rPr>
        <w:instrText xml:space="preserve"> SEQ Table \* ARABIC \c </w:instrText>
      </w:r>
      <w:r w:rsidRPr="00302C1D">
        <w:rPr>
          <w:noProof/>
        </w:rPr>
        <w:fldChar w:fldCharType="separate"/>
      </w:r>
      <w:r>
        <w:rPr>
          <w:noProof/>
        </w:rPr>
        <w:t>1</w:t>
      </w:r>
      <w:r w:rsidRPr="00302C1D">
        <w:rPr>
          <w:noProof/>
        </w:rPr>
        <w:fldChar w:fldCharType="end"/>
      </w:r>
      <w:r w:rsidRPr="00302C1D">
        <w:rPr>
          <w:noProof/>
        </w:rPr>
        <w:t xml:space="preserve"> (cont.)</w:t>
      </w:r>
      <w:r w:rsidRPr="00302C1D">
        <w:t>. Retained catch (males) in directed Tanner crab fisheries (2001/02-2018/19). Catch units are metric tons. Asterisks denote a closure of the directed domestic fishery; retained catch in these years represent incidentally retained Tanner crab in the snow crab and Bristol Bay red king crab fisheries.</w:t>
      </w:r>
    </w:p>
    <w:p w14:paraId="4FE41C96" w14:textId="77777777" w:rsidR="00CB27AF" w:rsidRPr="00302C1D" w:rsidRDefault="00CB27AF" w:rsidP="00D37106">
      <w:pPr>
        <w:jc w:val="center"/>
      </w:pPr>
      <w:r w:rsidRPr="00302C1D">
        <w:rPr>
          <w:noProof/>
        </w:rPr>
        <w:drawing>
          <wp:inline distT="0" distB="0" distL="0" distR="0" wp14:anchorId="063CE482" wp14:editId="6916FBBB">
            <wp:extent cx="3154680" cy="40050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3154680" cy="4005072"/>
                    </a:xfrm>
                    <a:prstGeom prst="rect">
                      <a:avLst/>
                    </a:prstGeom>
                  </pic:spPr>
                </pic:pic>
              </a:graphicData>
            </a:graphic>
          </wp:inline>
        </w:drawing>
      </w:r>
      <w:r w:rsidRPr="00302C1D">
        <w:br w:type="page"/>
      </w:r>
    </w:p>
    <w:p w14:paraId="7D298EDD" w14:textId="77777777" w:rsidR="00CB27AF" w:rsidRPr="00302C1D" w:rsidRDefault="00CB27AF" w:rsidP="00D37106">
      <w:pPr>
        <w:pStyle w:val="TableCaption"/>
      </w:pPr>
      <w:bookmarkStart w:id="10" w:name="_Toc397874022"/>
      <w:bookmarkStart w:id="11" w:name="_Toc397874151"/>
      <w:bookmarkStart w:id="12" w:name="_Toc397922857"/>
      <w:bookmarkStart w:id="13" w:name="_Toc397931461"/>
      <w:bookmarkStart w:id="14" w:name="_Toc428863565"/>
      <w:bookmarkStart w:id="15" w:name="_Toc428946413"/>
      <w:bookmarkStart w:id="16" w:name="_Toc429115780"/>
      <w:bookmarkStart w:id="17" w:name="_Toc429117960"/>
      <w:bookmarkStart w:id="18" w:name="_Toc429307578"/>
      <w:bookmarkStart w:id="19" w:name="_Toc50392503"/>
      <w:r w:rsidRPr="00302C1D">
        <w:lastRenderedPageBreak/>
        <w:t xml:space="preserve">Table </w:t>
      </w:r>
      <w:r w:rsidRPr="00302C1D">
        <w:rPr>
          <w:noProof/>
        </w:rPr>
        <w:fldChar w:fldCharType="begin"/>
      </w:r>
      <w:r w:rsidRPr="00302C1D">
        <w:rPr>
          <w:noProof/>
        </w:rPr>
        <w:instrText xml:space="preserve"> SEQ Table \* ARABIC </w:instrText>
      </w:r>
      <w:r w:rsidRPr="00302C1D">
        <w:rPr>
          <w:noProof/>
        </w:rPr>
        <w:fldChar w:fldCharType="separate"/>
      </w:r>
      <w:r>
        <w:rPr>
          <w:noProof/>
        </w:rPr>
        <w:t>2</w:t>
      </w:r>
      <w:r w:rsidRPr="00302C1D">
        <w:rPr>
          <w:noProof/>
        </w:rPr>
        <w:fldChar w:fldCharType="end"/>
      </w:r>
      <w:r w:rsidRPr="00302C1D">
        <w:t>. Retained catch (males) in the US domestic pot fishery. Information from the Community Development Quota (CDQ) fisheries is included in the table for fishery years 2005/06 to the present. Total crab caught and total harvest include deadloss. The “Fishery Year” YYYY/YY+1 runs from July 1, YYYY to June 30, YYYY+1. The ADFG year (in parentheses, if different from the “Fishery Year”) indicates the year ADFG assigned to the fishery season in compiled reports.</w:t>
      </w:r>
      <w:bookmarkEnd w:id="10"/>
      <w:bookmarkEnd w:id="11"/>
      <w:bookmarkEnd w:id="12"/>
      <w:bookmarkEnd w:id="13"/>
      <w:bookmarkEnd w:id="14"/>
      <w:bookmarkEnd w:id="15"/>
      <w:bookmarkEnd w:id="16"/>
      <w:bookmarkEnd w:id="17"/>
      <w:bookmarkEnd w:id="18"/>
      <w:bookmarkEnd w:id="19"/>
    </w:p>
    <w:p w14:paraId="3E5AB576" w14:textId="77777777" w:rsidR="00CB27AF" w:rsidRPr="00302C1D" w:rsidRDefault="00CB27AF" w:rsidP="00D37106">
      <w:pPr>
        <w:jc w:val="center"/>
      </w:pPr>
      <w:r w:rsidRPr="00302C1D">
        <w:rPr>
          <w:noProof/>
        </w:rPr>
        <w:drawing>
          <wp:inline distT="0" distB="0" distL="0" distR="0" wp14:anchorId="31C43117" wp14:editId="4E9C185F">
            <wp:extent cx="5943600" cy="72523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5943600" cy="7252335"/>
                    </a:xfrm>
                    <a:prstGeom prst="rect">
                      <a:avLst/>
                    </a:prstGeom>
                  </pic:spPr>
                </pic:pic>
              </a:graphicData>
            </a:graphic>
          </wp:inline>
        </w:drawing>
      </w:r>
      <w:r w:rsidRPr="00302C1D">
        <w:t xml:space="preserve"> </w:t>
      </w:r>
      <w:r w:rsidRPr="00302C1D">
        <w:br w:type="page"/>
      </w:r>
    </w:p>
    <w:p w14:paraId="38F04F67" w14:textId="77777777" w:rsidR="00CB27AF" w:rsidRPr="00302C1D" w:rsidRDefault="00CB27AF" w:rsidP="00D37106">
      <w:pPr>
        <w:pStyle w:val="TableCaption"/>
      </w:pPr>
      <w:bookmarkStart w:id="20" w:name="_Toc50392504"/>
      <w:r w:rsidRPr="00302C1D">
        <w:lastRenderedPageBreak/>
        <w:t xml:space="preserve">Table </w:t>
      </w:r>
      <w:r w:rsidRPr="00302C1D">
        <w:rPr>
          <w:noProof/>
        </w:rPr>
        <w:fldChar w:fldCharType="begin"/>
      </w:r>
      <w:r w:rsidRPr="00302C1D">
        <w:rPr>
          <w:noProof/>
        </w:rPr>
        <w:instrText xml:space="preserve"> SEQ Table \* ARABIC </w:instrText>
      </w:r>
      <w:r w:rsidRPr="00302C1D">
        <w:rPr>
          <w:noProof/>
        </w:rPr>
        <w:fldChar w:fldCharType="separate"/>
      </w:r>
      <w:r>
        <w:rPr>
          <w:noProof/>
        </w:rPr>
        <w:t>3</w:t>
      </w:r>
      <w:r w:rsidRPr="00302C1D">
        <w:rPr>
          <w:noProof/>
        </w:rPr>
        <w:fldChar w:fldCharType="end"/>
      </w:r>
      <w:r w:rsidRPr="00302C1D">
        <w:t>. Total catch (retained + discarded) of Tanner crab in various fisheries, as estimated from observer data. Units are 1000’s t. TCF: directed Tanner crab fishery; SCF: snow crab fishery; RKF: Bristol Bay red king crab fishery; GTF: groundfish fisheries.</w:t>
      </w:r>
      <w:bookmarkEnd w:id="20"/>
    </w:p>
    <w:p w14:paraId="7622EC98" w14:textId="77777777" w:rsidR="00CB27AF" w:rsidRPr="00302C1D" w:rsidRDefault="00CB27AF" w:rsidP="00D37106">
      <w:pPr>
        <w:jc w:val="center"/>
      </w:pPr>
      <w:r>
        <w:rPr>
          <w:noProof/>
        </w:rPr>
        <w:drawing>
          <wp:inline distT="0" distB="0" distL="0" distR="0" wp14:anchorId="555FC642" wp14:editId="5645B255">
            <wp:extent cx="5943600" cy="4330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5943600" cy="4330700"/>
                    </a:xfrm>
                    <a:prstGeom prst="rect">
                      <a:avLst/>
                    </a:prstGeom>
                  </pic:spPr>
                </pic:pic>
              </a:graphicData>
            </a:graphic>
          </wp:inline>
        </w:drawing>
      </w:r>
    </w:p>
    <w:p w14:paraId="34DB7CAE" w14:textId="77777777" w:rsidR="00CB27AF" w:rsidRDefault="00CB27AF" w:rsidP="00D37106">
      <w:pPr>
        <w:spacing w:after="200" w:line="276" w:lineRule="auto"/>
        <w:rPr>
          <w:highlight w:val="yellow"/>
        </w:rPr>
        <w:sectPr w:rsidR="00CB27AF" w:rsidSect="00012453">
          <w:footerReference w:type="even" r:id="rId25"/>
          <w:footerReference w:type="default" r:id="rId26"/>
          <w:pgSz w:w="12240" w:h="15840"/>
          <w:pgMar w:top="1440" w:right="1440" w:bottom="1440" w:left="1440" w:header="720" w:footer="720" w:gutter="0"/>
          <w:cols w:space="720"/>
          <w:titlePg/>
          <w:docGrid w:linePitch="360"/>
        </w:sectPr>
      </w:pPr>
      <w:r w:rsidRPr="006528AB">
        <w:rPr>
          <w:highlight w:val="yellow"/>
        </w:rPr>
        <w:br w:type="page"/>
      </w:r>
    </w:p>
    <w:p w14:paraId="634AE39E" w14:textId="77777777" w:rsidR="00CB27AF" w:rsidRPr="00244FE6" w:rsidRDefault="00CB27AF" w:rsidP="00D37106">
      <w:pPr>
        <w:pStyle w:val="TableCaption"/>
      </w:pPr>
      <w:r w:rsidRPr="00244FE6">
        <w:lastRenderedPageBreak/>
        <w:t xml:space="preserve">Table </w:t>
      </w:r>
      <w:r w:rsidRPr="00244FE6">
        <w:rPr>
          <w:noProof/>
        </w:rPr>
        <w:fldChar w:fldCharType="begin"/>
      </w:r>
      <w:r w:rsidRPr="00244FE6">
        <w:rPr>
          <w:noProof/>
        </w:rPr>
        <w:instrText xml:space="preserve"> SEQ Table \* ARABIC \c </w:instrText>
      </w:r>
      <w:r w:rsidRPr="00244FE6">
        <w:rPr>
          <w:noProof/>
        </w:rPr>
        <w:fldChar w:fldCharType="separate"/>
      </w:r>
      <w:r>
        <w:rPr>
          <w:noProof/>
        </w:rPr>
        <w:t>3</w:t>
      </w:r>
      <w:r w:rsidRPr="00244FE6">
        <w:rPr>
          <w:noProof/>
        </w:rPr>
        <w:fldChar w:fldCharType="end"/>
      </w:r>
      <w:r w:rsidRPr="00244FE6">
        <w:rPr>
          <w:noProof/>
        </w:rPr>
        <w:t xml:space="preserve"> (cont.)</w:t>
      </w:r>
      <w:r w:rsidRPr="00244FE6">
        <w:t>. Total catch (retained + discarded) of Tanner crab in various fisheries, as estimated from observer data. Units are 1000’s t. TCF: directed Tanner crab fishery; SCF: snow crab fishery; RKF: Bristol Bay red king crab fishery; GTF: groundfish fisheries.</w:t>
      </w:r>
    </w:p>
    <w:p w14:paraId="4B0B1E62" w14:textId="77777777" w:rsidR="00CB27AF" w:rsidRDefault="00CB27AF" w:rsidP="00244FE6">
      <w:pPr>
        <w:rPr>
          <w:highlight w:val="yellow"/>
        </w:rPr>
      </w:pPr>
      <w:r>
        <w:rPr>
          <w:noProof/>
        </w:rPr>
        <w:drawing>
          <wp:inline distT="0" distB="0" distL="0" distR="0" wp14:anchorId="4AD75759" wp14:editId="423EBD76">
            <wp:extent cx="8229600" cy="3730752"/>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email">
                      <a:extLst>
                        <a:ext uri="{28A0092B-C50C-407E-A947-70E740481C1C}">
                          <a14:useLocalDpi xmlns:a14="http://schemas.microsoft.com/office/drawing/2010/main"/>
                        </a:ext>
                      </a:extLst>
                    </a:blip>
                    <a:stretch>
                      <a:fillRect/>
                    </a:stretch>
                  </pic:blipFill>
                  <pic:spPr>
                    <a:xfrm>
                      <a:off x="0" y="0"/>
                      <a:ext cx="8229600" cy="3730752"/>
                    </a:xfrm>
                    <a:prstGeom prst="rect">
                      <a:avLst/>
                    </a:prstGeom>
                  </pic:spPr>
                </pic:pic>
              </a:graphicData>
            </a:graphic>
          </wp:inline>
        </w:drawing>
      </w:r>
    </w:p>
    <w:p w14:paraId="0499645B" w14:textId="77777777" w:rsidR="00CB27AF" w:rsidRDefault="00CB27AF">
      <w:pPr>
        <w:spacing w:after="200" w:line="276" w:lineRule="auto"/>
        <w:rPr>
          <w:highlight w:val="yellow"/>
        </w:rPr>
      </w:pPr>
      <w:r>
        <w:rPr>
          <w:highlight w:val="yellow"/>
        </w:rPr>
        <w:br w:type="page"/>
      </w:r>
    </w:p>
    <w:p w14:paraId="0BABA6DE" w14:textId="77777777" w:rsidR="00CB27AF" w:rsidRPr="00B04C44" w:rsidRDefault="00CB27AF" w:rsidP="00622A30">
      <w:pPr>
        <w:pStyle w:val="TableCaption"/>
      </w:pPr>
      <w:bookmarkStart w:id="21" w:name="_Toc50392505"/>
      <w:bookmarkStart w:id="22" w:name="_Toc397874023"/>
      <w:bookmarkStart w:id="23" w:name="_Toc397874152"/>
      <w:bookmarkStart w:id="24" w:name="_Toc397922858"/>
      <w:bookmarkStart w:id="25" w:name="_Toc397931462"/>
      <w:bookmarkStart w:id="26" w:name="_Toc428863566"/>
      <w:bookmarkStart w:id="27" w:name="_Toc428946414"/>
      <w:bookmarkStart w:id="28" w:name="_Toc429115781"/>
      <w:bookmarkStart w:id="29" w:name="_Toc429117961"/>
      <w:bookmarkStart w:id="30" w:name="_Toc429307579"/>
      <w:r w:rsidRPr="00B04C44">
        <w:lastRenderedPageBreak/>
        <w:t xml:space="preserve">Table </w:t>
      </w:r>
      <w:r w:rsidRPr="00B04C44">
        <w:rPr>
          <w:noProof/>
        </w:rPr>
        <w:fldChar w:fldCharType="begin"/>
      </w:r>
      <w:r w:rsidRPr="00B04C44">
        <w:rPr>
          <w:noProof/>
        </w:rPr>
        <w:instrText xml:space="preserve"> SEQ Table \* ARABIC </w:instrText>
      </w:r>
      <w:r w:rsidRPr="00B04C44">
        <w:rPr>
          <w:noProof/>
        </w:rPr>
        <w:fldChar w:fldCharType="separate"/>
      </w:r>
      <w:r>
        <w:rPr>
          <w:noProof/>
        </w:rPr>
        <w:t>4</w:t>
      </w:r>
      <w:r w:rsidRPr="00B04C44">
        <w:rPr>
          <w:noProof/>
        </w:rPr>
        <w:fldChar w:fldCharType="end"/>
      </w:r>
      <w:r w:rsidRPr="00B04C44">
        <w:t>. Retained catch biomass in the directed Tanner crab (TCF), snow crab (SCF), and BBRKC (RKF) fisheries since 2005. The directed fishery was completely closed from 2010/11 to 2012/13, as well as in 2016/17 and 2019/20. Legal-sized Tanner crab can be incidentally-retained in the snow crab and BBRKC fisheries up to a cap of 5% the target catch.</w:t>
      </w:r>
      <w:bookmarkEnd w:id="21"/>
    </w:p>
    <w:p w14:paraId="532D41C7" w14:textId="77777777" w:rsidR="00CB27AF" w:rsidRPr="00B04C44" w:rsidRDefault="00CB27AF" w:rsidP="00622A30">
      <w:pPr>
        <w:pStyle w:val="TableCaption"/>
      </w:pPr>
      <w:r w:rsidRPr="00B04C44">
        <w:rPr>
          <w:noProof/>
        </w:rPr>
        <w:drawing>
          <wp:inline distT="0" distB="0" distL="0" distR="0" wp14:anchorId="7BF72052" wp14:editId="529FDC6E">
            <wp:extent cx="8229600" cy="2642616"/>
            <wp:effectExtent l="0" t="0" r="0" b="0"/>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ell phone&#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8229600" cy="2642616"/>
                    </a:xfrm>
                    <a:prstGeom prst="rect">
                      <a:avLst/>
                    </a:prstGeom>
                  </pic:spPr>
                </pic:pic>
              </a:graphicData>
            </a:graphic>
          </wp:inline>
        </w:drawing>
      </w:r>
    </w:p>
    <w:p w14:paraId="0A4152CD" w14:textId="77777777" w:rsidR="00CB27AF" w:rsidRDefault="00CB27AF">
      <w:pPr>
        <w:spacing w:after="200" w:line="276" w:lineRule="auto"/>
        <w:rPr>
          <w:highlight w:val="yellow"/>
        </w:rPr>
        <w:sectPr w:rsidR="00CB27AF" w:rsidSect="00F10826">
          <w:pgSz w:w="15840" w:h="12240" w:orient="landscape"/>
          <w:pgMar w:top="1440" w:right="1440" w:bottom="1440" w:left="1440" w:header="720" w:footer="720" w:gutter="0"/>
          <w:cols w:space="720"/>
          <w:docGrid w:linePitch="360"/>
        </w:sectPr>
      </w:pPr>
      <w:r>
        <w:rPr>
          <w:highlight w:val="yellow"/>
        </w:rPr>
        <w:br w:type="page"/>
      </w:r>
    </w:p>
    <w:p w14:paraId="07123E58" w14:textId="77777777" w:rsidR="00CB27AF" w:rsidRPr="009D440D" w:rsidRDefault="00CB27AF" w:rsidP="00622A30">
      <w:pPr>
        <w:pStyle w:val="TableCaption"/>
      </w:pPr>
      <w:bookmarkStart w:id="31" w:name="_Toc397874024"/>
      <w:bookmarkStart w:id="32" w:name="_Toc397874153"/>
      <w:bookmarkStart w:id="33" w:name="_Toc397922859"/>
      <w:bookmarkStart w:id="34" w:name="_Toc397931463"/>
      <w:bookmarkStart w:id="35" w:name="_Toc428863567"/>
      <w:bookmarkStart w:id="36" w:name="_Toc428946415"/>
      <w:bookmarkStart w:id="37" w:name="_Toc429115782"/>
      <w:bookmarkStart w:id="38" w:name="_Toc429117962"/>
      <w:bookmarkStart w:id="39" w:name="_Toc429307580"/>
      <w:bookmarkStart w:id="40" w:name="_Toc50392506"/>
      <w:bookmarkEnd w:id="22"/>
      <w:bookmarkEnd w:id="23"/>
      <w:bookmarkEnd w:id="24"/>
      <w:bookmarkEnd w:id="25"/>
      <w:bookmarkEnd w:id="26"/>
      <w:bookmarkEnd w:id="27"/>
      <w:bookmarkEnd w:id="28"/>
      <w:bookmarkEnd w:id="29"/>
      <w:bookmarkEnd w:id="30"/>
      <w:r w:rsidRPr="009D440D">
        <w:lastRenderedPageBreak/>
        <w:t xml:space="preserve">Table </w:t>
      </w:r>
      <w:r w:rsidRPr="009D440D">
        <w:rPr>
          <w:noProof/>
        </w:rPr>
        <w:fldChar w:fldCharType="begin"/>
      </w:r>
      <w:r w:rsidRPr="009D440D">
        <w:rPr>
          <w:noProof/>
        </w:rPr>
        <w:instrText xml:space="preserve"> SEQ Table \* ARABIC </w:instrText>
      </w:r>
      <w:r w:rsidRPr="009D440D">
        <w:rPr>
          <w:noProof/>
        </w:rPr>
        <w:fldChar w:fldCharType="separate"/>
      </w:r>
      <w:r>
        <w:rPr>
          <w:noProof/>
        </w:rPr>
        <w:t>5</w:t>
      </w:r>
      <w:r w:rsidRPr="009D440D">
        <w:rPr>
          <w:noProof/>
        </w:rPr>
        <w:fldChar w:fldCharType="end"/>
      </w:r>
      <w:r w:rsidRPr="009D440D">
        <w:t xml:space="preserve">. Sample sizes for retained </w:t>
      </w:r>
      <w:r>
        <w:t xml:space="preserve">and total </w:t>
      </w:r>
      <w:r w:rsidRPr="009D440D">
        <w:t>catch-at-size in the directed fishery. N = number of individuals. N</w:t>
      </w:r>
      <w:r>
        <w:t>’</w:t>
      </w:r>
      <w:r w:rsidRPr="009D440D">
        <w:t xml:space="preserve"> = scaled sample size used in assessment.</w:t>
      </w:r>
      <w:bookmarkEnd w:id="31"/>
      <w:bookmarkEnd w:id="32"/>
      <w:bookmarkEnd w:id="33"/>
      <w:bookmarkEnd w:id="34"/>
      <w:bookmarkEnd w:id="35"/>
      <w:bookmarkEnd w:id="36"/>
      <w:bookmarkEnd w:id="37"/>
      <w:bookmarkEnd w:id="38"/>
      <w:bookmarkEnd w:id="39"/>
      <w:bookmarkEnd w:id="40"/>
    </w:p>
    <w:p w14:paraId="61EE6E77" w14:textId="77777777" w:rsidR="00CB27AF" w:rsidRPr="009D440D" w:rsidRDefault="00CB27AF" w:rsidP="003769D7">
      <w:pPr>
        <w:pStyle w:val="Caption"/>
        <w:jc w:val="center"/>
      </w:pPr>
      <w:r w:rsidRPr="00B57BF2">
        <w:rPr>
          <w:noProof/>
        </w:rPr>
        <w:drawing>
          <wp:inline distT="0" distB="0" distL="0" distR="0" wp14:anchorId="59D83E80" wp14:editId="57E2ACD5">
            <wp:extent cx="4724400" cy="56007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4724400" cy="5600700"/>
                    </a:xfrm>
                    <a:prstGeom prst="rect">
                      <a:avLst/>
                    </a:prstGeom>
                  </pic:spPr>
                </pic:pic>
              </a:graphicData>
            </a:graphic>
          </wp:inline>
        </w:drawing>
      </w:r>
    </w:p>
    <w:p w14:paraId="1310A36D" w14:textId="77777777" w:rsidR="00CB27AF" w:rsidRPr="00B57BF2" w:rsidRDefault="00CB27AF">
      <w:pPr>
        <w:spacing w:after="200" w:line="276" w:lineRule="auto"/>
        <w:rPr>
          <w:bCs/>
          <w:szCs w:val="18"/>
        </w:rPr>
      </w:pPr>
      <w:r w:rsidRPr="00B57BF2">
        <w:br w:type="page"/>
      </w:r>
    </w:p>
    <w:p w14:paraId="005A380F" w14:textId="77777777" w:rsidR="00CB27AF" w:rsidRPr="00B57BF2" w:rsidRDefault="00CB27AF" w:rsidP="00622A30">
      <w:pPr>
        <w:pStyle w:val="TableCaption"/>
      </w:pPr>
      <w:bookmarkStart w:id="41" w:name="_Toc397874026"/>
      <w:bookmarkStart w:id="42" w:name="_Toc397874155"/>
      <w:bookmarkStart w:id="43" w:name="_Toc397922861"/>
      <w:bookmarkStart w:id="44" w:name="_Toc397931465"/>
      <w:bookmarkStart w:id="45" w:name="_Toc428863569"/>
      <w:bookmarkStart w:id="46" w:name="_Toc428946417"/>
      <w:bookmarkStart w:id="47" w:name="_Toc429115784"/>
      <w:bookmarkStart w:id="48" w:name="_Toc429117964"/>
      <w:bookmarkStart w:id="49" w:name="_Toc429307582"/>
      <w:bookmarkStart w:id="50" w:name="_Toc50392507"/>
      <w:r w:rsidRPr="00B57BF2">
        <w:lastRenderedPageBreak/>
        <w:t xml:space="preserve">Table </w:t>
      </w:r>
      <w:r w:rsidRPr="00B57BF2">
        <w:rPr>
          <w:noProof/>
        </w:rPr>
        <w:fldChar w:fldCharType="begin"/>
      </w:r>
      <w:r w:rsidRPr="00B57BF2">
        <w:rPr>
          <w:noProof/>
        </w:rPr>
        <w:instrText xml:space="preserve"> SEQ Table \* ARABIC </w:instrText>
      </w:r>
      <w:r w:rsidRPr="00B57BF2">
        <w:rPr>
          <w:noProof/>
        </w:rPr>
        <w:fldChar w:fldCharType="separate"/>
      </w:r>
      <w:r>
        <w:rPr>
          <w:noProof/>
        </w:rPr>
        <w:t>6</w:t>
      </w:r>
      <w:r w:rsidRPr="00B57BF2">
        <w:rPr>
          <w:noProof/>
        </w:rPr>
        <w:fldChar w:fldCharType="end"/>
      </w:r>
      <w:r w:rsidRPr="00B57BF2">
        <w:t>. Sample sizes for total bycatch-at-size in the snow crab and Bristol Bay red king crab (BBRKC) fisheries, from crab observer sampling. N = number of individuals. N` = scaled sample size used in assessment.</w:t>
      </w:r>
      <w:bookmarkEnd w:id="41"/>
      <w:bookmarkEnd w:id="42"/>
      <w:bookmarkEnd w:id="43"/>
      <w:bookmarkEnd w:id="44"/>
      <w:bookmarkEnd w:id="45"/>
      <w:bookmarkEnd w:id="46"/>
      <w:bookmarkEnd w:id="47"/>
      <w:bookmarkEnd w:id="48"/>
      <w:bookmarkEnd w:id="49"/>
      <w:bookmarkEnd w:id="50"/>
    </w:p>
    <w:p w14:paraId="2025586A" w14:textId="77777777" w:rsidR="00CB27AF" w:rsidRPr="006528AB" w:rsidRDefault="00CB27AF" w:rsidP="00F334BF">
      <w:pPr>
        <w:pStyle w:val="Caption"/>
        <w:jc w:val="center"/>
        <w:rPr>
          <w:highlight w:val="yellow"/>
        </w:rPr>
      </w:pPr>
      <w:r w:rsidRPr="00B57BF2">
        <w:rPr>
          <w:noProof/>
        </w:rPr>
        <w:drawing>
          <wp:inline distT="0" distB="0" distL="0" distR="0" wp14:anchorId="2E0D5CA5" wp14:editId="51A7E3AE">
            <wp:extent cx="5943600" cy="62420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5943600" cy="6242050"/>
                    </a:xfrm>
                    <a:prstGeom prst="rect">
                      <a:avLst/>
                    </a:prstGeom>
                  </pic:spPr>
                </pic:pic>
              </a:graphicData>
            </a:graphic>
          </wp:inline>
        </w:drawing>
      </w:r>
    </w:p>
    <w:p w14:paraId="53BDA07E" w14:textId="77777777" w:rsidR="00CB27AF" w:rsidRPr="006528AB" w:rsidRDefault="00CB27AF">
      <w:pPr>
        <w:spacing w:after="200" w:line="276" w:lineRule="auto"/>
        <w:rPr>
          <w:bCs/>
          <w:szCs w:val="18"/>
          <w:highlight w:val="yellow"/>
        </w:rPr>
      </w:pPr>
      <w:r w:rsidRPr="006528AB">
        <w:rPr>
          <w:highlight w:val="yellow"/>
        </w:rPr>
        <w:br w:type="page"/>
      </w:r>
    </w:p>
    <w:p w14:paraId="2CC2DCAA" w14:textId="77777777" w:rsidR="00CB27AF" w:rsidRPr="00B57BF2" w:rsidRDefault="00CB27AF" w:rsidP="00622A30">
      <w:pPr>
        <w:pStyle w:val="TableCaption"/>
      </w:pPr>
      <w:bookmarkStart w:id="51" w:name="_Toc397874028"/>
      <w:bookmarkStart w:id="52" w:name="_Toc397874157"/>
      <w:bookmarkStart w:id="53" w:name="_Toc397922863"/>
      <w:bookmarkStart w:id="54" w:name="_Toc397931467"/>
      <w:bookmarkStart w:id="55" w:name="_Toc428863571"/>
      <w:bookmarkStart w:id="56" w:name="_Toc428946419"/>
      <w:bookmarkStart w:id="57" w:name="_Toc429115786"/>
      <w:bookmarkStart w:id="58" w:name="_Toc429117966"/>
      <w:bookmarkStart w:id="59" w:name="_Toc429307584"/>
      <w:bookmarkStart w:id="60" w:name="_Toc50392508"/>
      <w:r w:rsidRPr="00B57BF2">
        <w:lastRenderedPageBreak/>
        <w:t xml:space="preserve">Table </w:t>
      </w:r>
      <w:r w:rsidRPr="00B57BF2">
        <w:rPr>
          <w:noProof/>
        </w:rPr>
        <w:fldChar w:fldCharType="begin"/>
      </w:r>
      <w:r w:rsidRPr="00B57BF2">
        <w:rPr>
          <w:noProof/>
        </w:rPr>
        <w:instrText xml:space="preserve"> SEQ Table \* ARABIC </w:instrText>
      </w:r>
      <w:r w:rsidRPr="00B57BF2">
        <w:rPr>
          <w:noProof/>
        </w:rPr>
        <w:fldChar w:fldCharType="separate"/>
      </w:r>
      <w:r>
        <w:rPr>
          <w:noProof/>
        </w:rPr>
        <w:t>7</w:t>
      </w:r>
      <w:r w:rsidRPr="00B57BF2">
        <w:rPr>
          <w:noProof/>
        </w:rPr>
        <w:fldChar w:fldCharType="end"/>
      </w:r>
      <w:r w:rsidRPr="00B57BF2">
        <w:t>. Sample sizes for total catch-at-size in the groundfish fisheries, from groundfish observer sampling. N = number of individuals. N` = scaled sample size used in the assessment.</w:t>
      </w:r>
      <w:bookmarkEnd w:id="51"/>
      <w:bookmarkEnd w:id="52"/>
      <w:bookmarkEnd w:id="53"/>
      <w:bookmarkEnd w:id="54"/>
      <w:bookmarkEnd w:id="55"/>
      <w:bookmarkEnd w:id="56"/>
      <w:bookmarkEnd w:id="57"/>
      <w:bookmarkEnd w:id="58"/>
      <w:bookmarkEnd w:id="59"/>
      <w:bookmarkEnd w:id="60"/>
    </w:p>
    <w:p w14:paraId="4A9825E5" w14:textId="77777777" w:rsidR="00CB27AF" w:rsidRPr="006528AB" w:rsidRDefault="00CB27AF" w:rsidP="00EA57B6">
      <w:pPr>
        <w:jc w:val="center"/>
        <w:rPr>
          <w:highlight w:val="yellow"/>
        </w:rPr>
      </w:pPr>
      <w:r w:rsidRPr="00B57BF2">
        <w:rPr>
          <w:noProof/>
        </w:rPr>
        <w:drawing>
          <wp:inline distT="0" distB="0" distL="0" distR="0" wp14:anchorId="30D67DD4" wp14:editId="2FA5EBE8">
            <wp:extent cx="2633472" cy="7315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2633472" cy="7315200"/>
                    </a:xfrm>
                    <a:prstGeom prst="rect">
                      <a:avLst/>
                    </a:prstGeom>
                  </pic:spPr>
                </pic:pic>
              </a:graphicData>
            </a:graphic>
          </wp:inline>
        </w:drawing>
      </w:r>
      <w:r w:rsidRPr="006528AB">
        <w:rPr>
          <w:highlight w:val="yellow"/>
        </w:rPr>
        <w:br w:type="page"/>
      </w:r>
    </w:p>
    <w:p w14:paraId="49F2AE9D" w14:textId="77777777" w:rsidR="00CB27AF" w:rsidRPr="00244FE6" w:rsidRDefault="00CB27AF" w:rsidP="00622A30">
      <w:pPr>
        <w:pStyle w:val="TableCaption"/>
      </w:pPr>
      <w:bookmarkStart w:id="61" w:name="_Toc397874029"/>
      <w:bookmarkStart w:id="62" w:name="_Toc397874158"/>
      <w:bookmarkStart w:id="63" w:name="_Toc397922864"/>
      <w:bookmarkStart w:id="64" w:name="_Toc397931468"/>
      <w:bookmarkStart w:id="65" w:name="_Toc428863572"/>
      <w:bookmarkStart w:id="66" w:name="_Toc428946420"/>
      <w:bookmarkStart w:id="67" w:name="_Toc429115787"/>
      <w:bookmarkStart w:id="68" w:name="_Toc429117967"/>
      <w:bookmarkStart w:id="69" w:name="_Toc429307585"/>
      <w:bookmarkStart w:id="70" w:name="_Toc50392509"/>
      <w:r w:rsidRPr="00244FE6">
        <w:lastRenderedPageBreak/>
        <w:t xml:space="preserve">Table </w:t>
      </w:r>
      <w:r w:rsidRPr="00244FE6">
        <w:rPr>
          <w:noProof/>
        </w:rPr>
        <w:fldChar w:fldCharType="begin"/>
      </w:r>
      <w:r w:rsidRPr="00244FE6">
        <w:rPr>
          <w:noProof/>
        </w:rPr>
        <w:instrText xml:space="preserve"> SEQ Table \* ARABIC </w:instrText>
      </w:r>
      <w:r w:rsidRPr="00244FE6">
        <w:rPr>
          <w:noProof/>
        </w:rPr>
        <w:fldChar w:fldCharType="separate"/>
      </w:r>
      <w:r>
        <w:rPr>
          <w:noProof/>
        </w:rPr>
        <w:t>8</w:t>
      </w:r>
      <w:r w:rsidRPr="00244FE6">
        <w:rPr>
          <w:noProof/>
        </w:rPr>
        <w:fldChar w:fldCharType="end"/>
      </w:r>
      <w:r w:rsidRPr="00244FE6">
        <w:t>. Trends in Tanner crab biomass (metric tons) in the NMFS EBS summer bottom trawl survey, by sex and area.</w:t>
      </w:r>
      <w:bookmarkEnd w:id="61"/>
      <w:bookmarkEnd w:id="62"/>
      <w:bookmarkEnd w:id="63"/>
      <w:bookmarkEnd w:id="64"/>
      <w:bookmarkEnd w:id="65"/>
      <w:bookmarkEnd w:id="66"/>
      <w:bookmarkEnd w:id="67"/>
      <w:bookmarkEnd w:id="68"/>
      <w:bookmarkEnd w:id="69"/>
      <w:bookmarkEnd w:id="70"/>
    </w:p>
    <w:p w14:paraId="7E219080" w14:textId="77777777" w:rsidR="00CB27AF" w:rsidRPr="00244FE6" w:rsidRDefault="00CB27AF" w:rsidP="00C00129">
      <w:pPr>
        <w:spacing w:after="200" w:line="276" w:lineRule="auto"/>
        <w:jc w:val="center"/>
      </w:pPr>
      <w:r w:rsidRPr="00244FE6">
        <w:rPr>
          <w:noProof/>
        </w:rPr>
        <w:drawing>
          <wp:inline distT="0" distB="0" distL="0" distR="0" wp14:anchorId="0B57FE79" wp14:editId="49CA1D9B">
            <wp:extent cx="4572000" cy="52852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4572000" cy="5285232"/>
                    </a:xfrm>
                    <a:prstGeom prst="rect">
                      <a:avLst/>
                    </a:prstGeom>
                  </pic:spPr>
                </pic:pic>
              </a:graphicData>
            </a:graphic>
          </wp:inline>
        </w:drawing>
      </w:r>
    </w:p>
    <w:p w14:paraId="68B18C0A" w14:textId="77777777" w:rsidR="00CB27AF" w:rsidRPr="00244FE6" w:rsidRDefault="00CB27AF">
      <w:pPr>
        <w:spacing w:after="200" w:line="276" w:lineRule="auto"/>
      </w:pPr>
      <w:r w:rsidRPr="00244FE6">
        <w:br w:type="page"/>
      </w:r>
    </w:p>
    <w:p w14:paraId="7E563A1D" w14:textId="77777777" w:rsidR="00CB27AF" w:rsidRPr="00244FE6" w:rsidRDefault="00CB27AF" w:rsidP="00F84C15">
      <w:pPr>
        <w:pStyle w:val="TableCaption"/>
      </w:pPr>
      <w:r w:rsidRPr="00244FE6">
        <w:lastRenderedPageBreak/>
        <w:t xml:space="preserve">Table </w:t>
      </w:r>
      <w:r w:rsidRPr="00244FE6">
        <w:rPr>
          <w:noProof/>
        </w:rPr>
        <w:fldChar w:fldCharType="begin"/>
      </w:r>
      <w:r w:rsidRPr="00244FE6">
        <w:rPr>
          <w:noProof/>
        </w:rPr>
        <w:instrText xml:space="preserve"> SEQ Table \* ARABIC \c </w:instrText>
      </w:r>
      <w:r w:rsidRPr="00244FE6">
        <w:rPr>
          <w:noProof/>
        </w:rPr>
        <w:fldChar w:fldCharType="separate"/>
      </w:r>
      <w:r>
        <w:rPr>
          <w:noProof/>
        </w:rPr>
        <w:t>8</w:t>
      </w:r>
      <w:r w:rsidRPr="00244FE6">
        <w:rPr>
          <w:noProof/>
        </w:rPr>
        <w:fldChar w:fldCharType="end"/>
      </w:r>
      <w:r w:rsidRPr="00244FE6">
        <w:rPr>
          <w:noProof/>
        </w:rPr>
        <w:t xml:space="preserve"> (cont)</w:t>
      </w:r>
      <w:r w:rsidRPr="00244FE6">
        <w:t>. Trends in Tanner crab biomass (metric tons) in the NMFS EBS summer bottom trawl survey, by sex and area.</w:t>
      </w:r>
    </w:p>
    <w:p w14:paraId="4D006C9C" w14:textId="77777777" w:rsidR="00CB27AF" w:rsidRPr="00244FE6" w:rsidRDefault="00CB27AF" w:rsidP="00F84C15">
      <w:pPr>
        <w:spacing w:after="200" w:line="276" w:lineRule="auto"/>
        <w:jc w:val="center"/>
      </w:pPr>
      <w:r w:rsidRPr="00244FE6">
        <w:rPr>
          <w:noProof/>
        </w:rPr>
        <w:drawing>
          <wp:inline distT="0" distB="0" distL="0" distR="0" wp14:anchorId="69DE9F3E" wp14:editId="1C9008DC">
            <wp:extent cx="4572000" cy="401421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4572000" cy="4014216"/>
                    </a:xfrm>
                    <a:prstGeom prst="rect">
                      <a:avLst/>
                    </a:prstGeom>
                  </pic:spPr>
                </pic:pic>
              </a:graphicData>
            </a:graphic>
          </wp:inline>
        </w:drawing>
      </w:r>
      <w:r w:rsidRPr="00244FE6">
        <w:br w:type="page"/>
      </w:r>
    </w:p>
    <w:p w14:paraId="2453831A" w14:textId="77777777" w:rsidR="00CB27AF" w:rsidRPr="00244FE6" w:rsidRDefault="00CB27AF" w:rsidP="00982D8B">
      <w:pPr>
        <w:spacing w:after="200" w:line="276" w:lineRule="auto"/>
      </w:pPr>
      <w:bookmarkStart w:id="71" w:name="_Toc50392510"/>
      <w:r w:rsidRPr="00244FE6">
        <w:lastRenderedPageBreak/>
        <w:t xml:space="preserve">Table </w:t>
      </w:r>
      <w:r w:rsidRPr="00244FE6">
        <w:rPr>
          <w:noProof/>
        </w:rPr>
        <w:fldChar w:fldCharType="begin"/>
      </w:r>
      <w:r w:rsidRPr="00244FE6">
        <w:rPr>
          <w:noProof/>
        </w:rPr>
        <w:instrText xml:space="preserve"> SEQ Table \* ARABIC </w:instrText>
      </w:r>
      <w:r w:rsidRPr="00244FE6">
        <w:rPr>
          <w:noProof/>
        </w:rPr>
        <w:fldChar w:fldCharType="separate"/>
      </w:r>
      <w:r>
        <w:rPr>
          <w:noProof/>
        </w:rPr>
        <w:t>9</w:t>
      </w:r>
      <w:r w:rsidRPr="00244FE6">
        <w:rPr>
          <w:noProof/>
        </w:rPr>
        <w:fldChar w:fldCharType="end"/>
      </w:r>
      <w:r w:rsidRPr="00244FE6">
        <w:t>. Trends in biomass for preferred-size (&gt; 125 mm CW) male Tanner crab in the NMFS EBS summer bottom trawl survey (in metric tons).</w:t>
      </w:r>
      <w:bookmarkEnd w:id="71"/>
    </w:p>
    <w:p w14:paraId="32D93B89" w14:textId="77777777" w:rsidR="00CB27AF" w:rsidRPr="00244FE6" w:rsidRDefault="00CB27AF" w:rsidP="00C00129">
      <w:pPr>
        <w:spacing w:after="200" w:line="276" w:lineRule="auto"/>
        <w:jc w:val="center"/>
      </w:pPr>
      <w:r w:rsidRPr="00244FE6">
        <w:rPr>
          <w:noProof/>
        </w:rPr>
        <w:drawing>
          <wp:inline distT="0" distB="0" distL="0" distR="0" wp14:anchorId="5CB092A6" wp14:editId="7CF6C304">
            <wp:extent cx="5943600" cy="45675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5943600" cy="4567555"/>
                    </a:xfrm>
                    <a:prstGeom prst="rect">
                      <a:avLst/>
                    </a:prstGeom>
                  </pic:spPr>
                </pic:pic>
              </a:graphicData>
            </a:graphic>
          </wp:inline>
        </w:drawing>
      </w:r>
    </w:p>
    <w:p w14:paraId="52CDCE5C" w14:textId="77777777" w:rsidR="00CB27AF" w:rsidRPr="00244FE6" w:rsidRDefault="00CB27AF">
      <w:pPr>
        <w:spacing w:after="200" w:line="276" w:lineRule="auto"/>
      </w:pPr>
      <w:r w:rsidRPr="00244FE6">
        <w:br w:type="page"/>
      </w:r>
    </w:p>
    <w:p w14:paraId="3C728639" w14:textId="77777777" w:rsidR="00CB27AF" w:rsidRPr="00244FE6" w:rsidRDefault="00CB27AF" w:rsidP="00F84C15">
      <w:pPr>
        <w:spacing w:after="200" w:line="276" w:lineRule="auto"/>
      </w:pPr>
      <w:r w:rsidRPr="00244FE6">
        <w:lastRenderedPageBreak/>
        <w:t xml:space="preserve">Table </w:t>
      </w:r>
      <w:r w:rsidRPr="00244FE6">
        <w:rPr>
          <w:noProof/>
        </w:rPr>
        <w:fldChar w:fldCharType="begin"/>
      </w:r>
      <w:r w:rsidRPr="00244FE6">
        <w:rPr>
          <w:noProof/>
        </w:rPr>
        <w:instrText xml:space="preserve"> SEQ Table \* ARABIC \c </w:instrText>
      </w:r>
      <w:r w:rsidRPr="00244FE6">
        <w:rPr>
          <w:noProof/>
        </w:rPr>
        <w:fldChar w:fldCharType="separate"/>
      </w:r>
      <w:r>
        <w:rPr>
          <w:noProof/>
        </w:rPr>
        <w:t>9</w:t>
      </w:r>
      <w:r w:rsidRPr="00244FE6">
        <w:rPr>
          <w:noProof/>
        </w:rPr>
        <w:fldChar w:fldCharType="end"/>
      </w:r>
      <w:r w:rsidRPr="00244FE6">
        <w:rPr>
          <w:noProof/>
        </w:rPr>
        <w:t xml:space="preserve"> (cont.)</w:t>
      </w:r>
      <w:r w:rsidRPr="00244FE6">
        <w:t>. Trends in biomass for preferred-size (&gt; 125 mm CW) male Tanner crab in the NMFS EBS summer bottom trawl survey (in metric tons).</w:t>
      </w:r>
    </w:p>
    <w:p w14:paraId="10941AA4" w14:textId="77777777" w:rsidR="00CB27AF" w:rsidRPr="00244FE6" w:rsidRDefault="00CB27AF" w:rsidP="00F84C15">
      <w:pPr>
        <w:spacing w:after="200" w:line="276" w:lineRule="auto"/>
        <w:jc w:val="center"/>
      </w:pPr>
      <w:r w:rsidRPr="00244FE6">
        <w:rPr>
          <w:noProof/>
        </w:rPr>
        <w:drawing>
          <wp:inline distT="0" distB="0" distL="0" distR="0" wp14:anchorId="21A4730E" wp14:editId="3CDEAAA4">
            <wp:extent cx="5943600" cy="352996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5943600" cy="3529965"/>
                    </a:xfrm>
                    <a:prstGeom prst="rect">
                      <a:avLst/>
                    </a:prstGeom>
                  </pic:spPr>
                </pic:pic>
              </a:graphicData>
            </a:graphic>
          </wp:inline>
        </w:drawing>
      </w:r>
    </w:p>
    <w:p w14:paraId="1CCEC891" w14:textId="77777777" w:rsidR="00CB27AF" w:rsidRPr="00244FE6" w:rsidRDefault="00CB27AF">
      <w:pPr>
        <w:spacing w:after="200" w:line="276" w:lineRule="auto"/>
      </w:pPr>
    </w:p>
    <w:p w14:paraId="43F124FD" w14:textId="77777777" w:rsidR="00CB27AF" w:rsidRPr="00244FE6" w:rsidRDefault="00CB27AF">
      <w:pPr>
        <w:spacing w:after="200" w:line="276" w:lineRule="auto"/>
        <w:sectPr w:rsidR="00CB27AF" w:rsidRPr="00244FE6" w:rsidSect="00311420">
          <w:pgSz w:w="12240" w:h="15840"/>
          <w:pgMar w:top="1440" w:right="1440" w:bottom="1440" w:left="1440" w:header="720" w:footer="720" w:gutter="0"/>
          <w:cols w:space="720"/>
          <w:docGrid w:linePitch="360"/>
        </w:sectPr>
      </w:pPr>
    </w:p>
    <w:p w14:paraId="1524CE3C" w14:textId="77777777" w:rsidR="00CB27AF" w:rsidRPr="00244FE6" w:rsidRDefault="00CB27AF" w:rsidP="00622A30">
      <w:pPr>
        <w:pStyle w:val="TableCaption"/>
      </w:pPr>
      <w:bookmarkStart w:id="72" w:name="_Toc50392511"/>
      <w:bookmarkStart w:id="73" w:name="_Toc397874030"/>
      <w:bookmarkStart w:id="74" w:name="_Toc397874159"/>
      <w:bookmarkStart w:id="75" w:name="_Toc397922865"/>
      <w:bookmarkStart w:id="76" w:name="_Toc397931469"/>
      <w:bookmarkStart w:id="77" w:name="_Toc428863573"/>
      <w:bookmarkStart w:id="78" w:name="_Toc428946421"/>
      <w:bookmarkStart w:id="79" w:name="_Toc429115788"/>
      <w:bookmarkStart w:id="80" w:name="_Toc429117968"/>
      <w:bookmarkStart w:id="81" w:name="_Toc429307586"/>
      <w:r w:rsidRPr="00244FE6">
        <w:lastRenderedPageBreak/>
        <w:t xml:space="preserve">Table </w:t>
      </w:r>
      <w:r w:rsidRPr="00244FE6">
        <w:rPr>
          <w:noProof/>
        </w:rPr>
        <w:fldChar w:fldCharType="begin"/>
      </w:r>
      <w:r w:rsidRPr="00244FE6">
        <w:rPr>
          <w:noProof/>
        </w:rPr>
        <w:instrText xml:space="preserve"> SEQ Table \* ARABIC </w:instrText>
      </w:r>
      <w:r w:rsidRPr="00244FE6">
        <w:rPr>
          <w:noProof/>
        </w:rPr>
        <w:fldChar w:fldCharType="separate"/>
      </w:r>
      <w:r>
        <w:rPr>
          <w:noProof/>
        </w:rPr>
        <w:t>10</w:t>
      </w:r>
      <w:r w:rsidRPr="00244FE6">
        <w:rPr>
          <w:noProof/>
        </w:rPr>
        <w:fldChar w:fldCharType="end"/>
      </w:r>
      <w:r w:rsidRPr="00244FE6">
        <w:t>. Sample sizes for NMFS survey size composition data. In the assessment model, an input sample size of 200 is used for all survey-related compositional data.</w:t>
      </w:r>
      <w:bookmarkEnd w:id="72"/>
      <w:r w:rsidRPr="00244FE6">
        <w:t xml:space="preserve"> </w:t>
      </w:r>
      <w:bookmarkEnd w:id="73"/>
      <w:bookmarkEnd w:id="74"/>
      <w:bookmarkEnd w:id="75"/>
      <w:bookmarkEnd w:id="76"/>
      <w:bookmarkEnd w:id="77"/>
      <w:bookmarkEnd w:id="78"/>
      <w:bookmarkEnd w:id="79"/>
      <w:bookmarkEnd w:id="80"/>
      <w:bookmarkEnd w:id="81"/>
    </w:p>
    <w:p w14:paraId="4008A2D9" w14:textId="77777777" w:rsidR="00CB27AF" w:rsidRPr="00244FE6" w:rsidRDefault="00CB27AF" w:rsidP="00635FC4">
      <w:pPr>
        <w:pStyle w:val="Caption"/>
        <w:jc w:val="center"/>
      </w:pPr>
      <w:r w:rsidRPr="00244FE6">
        <w:rPr>
          <w:noProof/>
        </w:rPr>
        <w:drawing>
          <wp:inline distT="0" distB="0" distL="0" distR="0" wp14:anchorId="45452527" wp14:editId="08AF1F44">
            <wp:extent cx="8229600" cy="41363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email">
                      <a:extLst>
                        <a:ext uri="{28A0092B-C50C-407E-A947-70E740481C1C}">
                          <a14:useLocalDpi xmlns:a14="http://schemas.microsoft.com/office/drawing/2010/main"/>
                        </a:ext>
                      </a:extLst>
                    </a:blip>
                    <a:stretch>
                      <a:fillRect/>
                    </a:stretch>
                  </pic:blipFill>
                  <pic:spPr>
                    <a:xfrm>
                      <a:off x="0" y="0"/>
                      <a:ext cx="8229600" cy="4136390"/>
                    </a:xfrm>
                    <a:prstGeom prst="rect">
                      <a:avLst/>
                    </a:prstGeom>
                  </pic:spPr>
                </pic:pic>
              </a:graphicData>
            </a:graphic>
          </wp:inline>
        </w:drawing>
      </w:r>
    </w:p>
    <w:p w14:paraId="265C2A83" w14:textId="77777777" w:rsidR="00CB27AF" w:rsidRPr="00244FE6" w:rsidRDefault="00CB27AF">
      <w:pPr>
        <w:spacing w:after="200" w:line="276" w:lineRule="auto"/>
        <w:rPr>
          <w:bCs/>
          <w:szCs w:val="18"/>
        </w:rPr>
      </w:pPr>
      <w:r w:rsidRPr="00244FE6">
        <w:br w:type="page"/>
      </w:r>
    </w:p>
    <w:p w14:paraId="38D7A899" w14:textId="77777777" w:rsidR="00CB27AF" w:rsidRPr="00244FE6" w:rsidRDefault="00CB27AF" w:rsidP="001C4AAE">
      <w:pPr>
        <w:pStyle w:val="Caption"/>
      </w:pPr>
      <w:r w:rsidRPr="00244FE6">
        <w:lastRenderedPageBreak/>
        <w:t>Table</w:t>
      </w:r>
      <w:r w:rsidRPr="00244FE6">
        <w:rPr>
          <w:noProof/>
        </w:rPr>
        <w:fldChar w:fldCharType="begin"/>
      </w:r>
      <w:r w:rsidRPr="00244FE6">
        <w:rPr>
          <w:noProof/>
        </w:rPr>
        <w:instrText xml:space="preserve"> SEQ Table \* ARABIC \c </w:instrText>
      </w:r>
      <w:r w:rsidRPr="00244FE6">
        <w:rPr>
          <w:noProof/>
        </w:rPr>
        <w:fldChar w:fldCharType="separate"/>
      </w:r>
      <w:r>
        <w:rPr>
          <w:noProof/>
        </w:rPr>
        <w:t>10</w:t>
      </w:r>
      <w:r w:rsidRPr="00244FE6">
        <w:rPr>
          <w:noProof/>
        </w:rPr>
        <w:fldChar w:fldCharType="end"/>
      </w:r>
      <w:r w:rsidRPr="00244FE6">
        <w:rPr>
          <w:noProof/>
        </w:rPr>
        <w:t xml:space="preserve"> (cont.)</w:t>
      </w:r>
      <w:r w:rsidRPr="00244FE6">
        <w:t>. Sample sizes for NMFS survey size composition data. In the assessment model, an input sample size of 200 is used for all survey-related compositional data.</w:t>
      </w:r>
    </w:p>
    <w:p w14:paraId="446BDA96" w14:textId="77777777" w:rsidR="00CB27AF" w:rsidRPr="00244FE6" w:rsidRDefault="00CB27AF" w:rsidP="001C4AAE">
      <w:pPr>
        <w:jc w:val="center"/>
      </w:pPr>
      <w:r w:rsidRPr="00244FE6">
        <w:rPr>
          <w:noProof/>
        </w:rPr>
        <w:drawing>
          <wp:inline distT="0" distB="0" distL="0" distR="0" wp14:anchorId="414F1BDD" wp14:editId="12ECD4EA">
            <wp:extent cx="8229600" cy="32423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8229600" cy="3242310"/>
                    </a:xfrm>
                    <a:prstGeom prst="rect">
                      <a:avLst/>
                    </a:prstGeom>
                  </pic:spPr>
                </pic:pic>
              </a:graphicData>
            </a:graphic>
          </wp:inline>
        </w:drawing>
      </w:r>
    </w:p>
    <w:p w14:paraId="78AD80A2" w14:textId="77777777" w:rsidR="00CB27AF" w:rsidRPr="006528AB" w:rsidRDefault="00CB27AF" w:rsidP="001C4AAE">
      <w:pPr>
        <w:rPr>
          <w:highlight w:val="yellow"/>
        </w:rPr>
      </w:pPr>
    </w:p>
    <w:p w14:paraId="332CC661" w14:textId="77777777" w:rsidR="00CB27AF" w:rsidRPr="006528AB" w:rsidRDefault="00CB27AF" w:rsidP="00445C96">
      <w:pPr>
        <w:rPr>
          <w:highlight w:val="yellow"/>
        </w:rPr>
        <w:sectPr w:rsidR="00CB27AF" w:rsidRPr="006528AB" w:rsidSect="00445C96">
          <w:pgSz w:w="15840" w:h="12240" w:orient="landscape"/>
          <w:pgMar w:top="1440" w:right="1440" w:bottom="1440" w:left="1440" w:header="720" w:footer="720" w:gutter="0"/>
          <w:cols w:space="720"/>
          <w:docGrid w:linePitch="360"/>
        </w:sectPr>
      </w:pPr>
    </w:p>
    <w:p w14:paraId="57C35712" w14:textId="77777777" w:rsidR="00CB27AF" w:rsidRPr="00F10826" w:rsidRDefault="00CB27AF" w:rsidP="00622A30">
      <w:pPr>
        <w:pStyle w:val="TableCaption"/>
      </w:pPr>
      <w:bookmarkStart w:id="82" w:name="_Toc397874031"/>
      <w:bookmarkStart w:id="83" w:name="_Toc397874160"/>
      <w:bookmarkStart w:id="84" w:name="_Toc397922866"/>
      <w:bookmarkStart w:id="85" w:name="_Toc397931470"/>
      <w:bookmarkStart w:id="86" w:name="_Toc428863574"/>
      <w:bookmarkStart w:id="87" w:name="_Toc428946422"/>
      <w:bookmarkStart w:id="88" w:name="_Toc429115789"/>
      <w:bookmarkStart w:id="89" w:name="_Toc429117969"/>
      <w:bookmarkStart w:id="90" w:name="_Toc429307587"/>
      <w:bookmarkStart w:id="91" w:name="_Toc50392512"/>
      <w:r w:rsidRPr="00F10826">
        <w:lastRenderedPageBreak/>
        <w:t xml:space="preserve">Table </w:t>
      </w:r>
      <w:r w:rsidRPr="00F10826">
        <w:rPr>
          <w:noProof/>
        </w:rPr>
        <w:fldChar w:fldCharType="begin"/>
      </w:r>
      <w:r w:rsidRPr="00F10826">
        <w:rPr>
          <w:noProof/>
        </w:rPr>
        <w:instrText xml:space="preserve"> SEQ Table \* ARABIC </w:instrText>
      </w:r>
      <w:r w:rsidRPr="00F10826">
        <w:rPr>
          <w:noProof/>
        </w:rPr>
        <w:fldChar w:fldCharType="separate"/>
      </w:r>
      <w:r>
        <w:rPr>
          <w:noProof/>
        </w:rPr>
        <w:t>11</w:t>
      </w:r>
      <w:r w:rsidRPr="00F10826">
        <w:rPr>
          <w:noProof/>
        </w:rPr>
        <w:fldChar w:fldCharType="end"/>
      </w:r>
      <w:r w:rsidRPr="00F10826">
        <w:t>. Effort data (</w:t>
      </w:r>
      <w:proofErr w:type="spellStart"/>
      <w:r w:rsidRPr="00F10826">
        <w:t>potlifts</w:t>
      </w:r>
      <w:proofErr w:type="spellEnd"/>
      <w:r w:rsidRPr="00F10826">
        <w:t>) in the crab fisheries, by area.</w:t>
      </w:r>
      <w:bookmarkEnd w:id="82"/>
      <w:bookmarkEnd w:id="83"/>
      <w:bookmarkEnd w:id="84"/>
      <w:bookmarkEnd w:id="85"/>
      <w:bookmarkEnd w:id="86"/>
      <w:bookmarkEnd w:id="87"/>
      <w:bookmarkEnd w:id="88"/>
      <w:bookmarkEnd w:id="89"/>
      <w:bookmarkEnd w:id="90"/>
      <w:r w:rsidRPr="00F10826">
        <w:t xml:space="preserve"> TCF: directed Tanner crab fishery; SCF: snow crab fishery; RKF: Bristol Bay red king crab fishery. Hyphens indicate years with no effort.</w:t>
      </w:r>
      <w:bookmarkEnd w:id="91"/>
    </w:p>
    <w:p w14:paraId="7BF03397" w14:textId="77777777" w:rsidR="00CB27AF" w:rsidRPr="00F10826" w:rsidRDefault="00CB27AF" w:rsidP="008268DA">
      <w:pPr>
        <w:jc w:val="center"/>
      </w:pPr>
      <w:r w:rsidRPr="00F10826">
        <w:rPr>
          <w:noProof/>
        </w:rPr>
        <w:drawing>
          <wp:inline distT="0" distB="0" distL="0" distR="0" wp14:anchorId="22B0D081" wp14:editId="743BA0E1">
            <wp:extent cx="1929384" cy="7315200"/>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1929384" cy="7315200"/>
                    </a:xfrm>
                    <a:prstGeom prst="rect">
                      <a:avLst/>
                    </a:prstGeom>
                  </pic:spPr>
                </pic:pic>
              </a:graphicData>
            </a:graphic>
          </wp:inline>
        </w:drawing>
      </w:r>
    </w:p>
    <w:p w14:paraId="48F810D4" w14:textId="77777777" w:rsidR="00CB27AF" w:rsidRPr="00F10826" w:rsidRDefault="00CB27AF">
      <w:pPr>
        <w:spacing w:after="200" w:line="276" w:lineRule="auto"/>
      </w:pPr>
      <w:r w:rsidRPr="00F10826">
        <w:br w:type="page"/>
      </w:r>
    </w:p>
    <w:p w14:paraId="6FAA8149" w14:textId="77777777" w:rsidR="00CB27AF" w:rsidRPr="00F10826" w:rsidRDefault="00CB27AF" w:rsidP="00515ED6">
      <w:pPr>
        <w:pStyle w:val="TableCaption"/>
      </w:pPr>
      <w:r w:rsidRPr="00F10826">
        <w:lastRenderedPageBreak/>
        <w:t xml:space="preserve">Table </w:t>
      </w:r>
      <w:r w:rsidRPr="00F10826">
        <w:rPr>
          <w:noProof/>
        </w:rPr>
        <w:fldChar w:fldCharType="begin"/>
      </w:r>
      <w:r w:rsidRPr="00F10826">
        <w:rPr>
          <w:noProof/>
        </w:rPr>
        <w:instrText xml:space="preserve"> SEQ Table \* ARABIC \c </w:instrText>
      </w:r>
      <w:r w:rsidRPr="00F10826">
        <w:rPr>
          <w:noProof/>
        </w:rPr>
        <w:fldChar w:fldCharType="separate"/>
      </w:r>
      <w:r>
        <w:rPr>
          <w:noProof/>
        </w:rPr>
        <w:t>11</w:t>
      </w:r>
      <w:r w:rsidRPr="00F10826">
        <w:rPr>
          <w:noProof/>
        </w:rPr>
        <w:fldChar w:fldCharType="end"/>
      </w:r>
      <w:r w:rsidRPr="00F10826">
        <w:rPr>
          <w:noProof/>
        </w:rPr>
        <w:t xml:space="preserve"> (cont.)</w:t>
      </w:r>
      <w:r w:rsidRPr="00F10826">
        <w:t>. Effort data (</w:t>
      </w:r>
      <w:proofErr w:type="spellStart"/>
      <w:r w:rsidRPr="00F10826">
        <w:t>potlifts</w:t>
      </w:r>
      <w:proofErr w:type="spellEnd"/>
      <w:r w:rsidRPr="00F10826">
        <w:t>) in the crab fisheries, by area. TCF: directed Tanner crab fishery; SCF: snow crab fishery; RKF: Bristol Bay red king crab fishery. Hyphens indicate years with no effort.</w:t>
      </w:r>
    </w:p>
    <w:p w14:paraId="7B2EB96A" w14:textId="77777777" w:rsidR="00CB27AF" w:rsidRPr="00F10826" w:rsidRDefault="00CB27AF" w:rsidP="000827E6">
      <w:pPr>
        <w:spacing w:after="200" w:line="276" w:lineRule="auto"/>
        <w:jc w:val="center"/>
      </w:pPr>
      <w:r w:rsidRPr="00F10826">
        <w:rPr>
          <w:noProof/>
        </w:rPr>
        <w:drawing>
          <wp:inline distT="0" distB="0" distL="0" distR="0" wp14:anchorId="2E97C489" wp14:editId="0F5B8BB9">
            <wp:extent cx="4617720" cy="5486400"/>
            <wp:effectExtent l="0" t="0" r="5080" b="0"/>
            <wp:docPr id="40" name="Picture 4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text on a white background&#10;&#10;Description automatically generated"/>
                    <pic:cNvPicPr/>
                  </pic:nvPicPr>
                  <pic:blipFill>
                    <a:blip r:embed="rId39" cstate="email">
                      <a:extLst>
                        <a:ext uri="{28A0092B-C50C-407E-A947-70E740481C1C}">
                          <a14:useLocalDpi xmlns:a14="http://schemas.microsoft.com/office/drawing/2010/main"/>
                        </a:ext>
                      </a:extLst>
                    </a:blip>
                    <a:stretch>
                      <a:fillRect/>
                    </a:stretch>
                  </pic:blipFill>
                  <pic:spPr>
                    <a:xfrm>
                      <a:off x="0" y="0"/>
                      <a:ext cx="4617720" cy="5486400"/>
                    </a:xfrm>
                    <a:prstGeom prst="rect">
                      <a:avLst/>
                    </a:prstGeom>
                  </pic:spPr>
                </pic:pic>
              </a:graphicData>
            </a:graphic>
          </wp:inline>
        </w:drawing>
      </w:r>
    </w:p>
    <w:p w14:paraId="4A8C06ED" w14:textId="77777777" w:rsidR="00CB27AF" w:rsidRPr="006528AB" w:rsidRDefault="00CB27AF" w:rsidP="000827E6">
      <w:pPr>
        <w:spacing w:after="200" w:line="276" w:lineRule="auto"/>
        <w:rPr>
          <w:highlight w:val="yellow"/>
        </w:rPr>
      </w:pPr>
      <w:r w:rsidRPr="006528AB">
        <w:rPr>
          <w:highlight w:val="yellow"/>
        </w:rPr>
        <w:br w:type="page"/>
      </w:r>
    </w:p>
    <w:p w14:paraId="78F28FD4" w14:textId="77777777" w:rsidR="00CB27AF" w:rsidRPr="00AA4861" w:rsidRDefault="00CB27AF" w:rsidP="00622A30">
      <w:pPr>
        <w:pStyle w:val="TableCaption"/>
      </w:pPr>
      <w:bookmarkStart w:id="92" w:name="_Toc50392513"/>
      <w:r w:rsidRPr="00AA4861">
        <w:lastRenderedPageBreak/>
        <w:t xml:space="preserve">Table </w:t>
      </w:r>
      <w:r w:rsidRPr="00AA4861">
        <w:rPr>
          <w:noProof/>
        </w:rPr>
        <w:fldChar w:fldCharType="begin"/>
      </w:r>
      <w:r w:rsidRPr="00AA4861">
        <w:rPr>
          <w:noProof/>
        </w:rPr>
        <w:instrText xml:space="preserve"> SEQ Table \* ARABIC </w:instrText>
      </w:r>
      <w:r w:rsidRPr="00AA4861">
        <w:rPr>
          <w:noProof/>
        </w:rPr>
        <w:fldChar w:fldCharType="separate"/>
      </w:r>
      <w:r>
        <w:rPr>
          <w:noProof/>
        </w:rPr>
        <w:t>12</w:t>
      </w:r>
      <w:r w:rsidRPr="00AA4861">
        <w:rPr>
          <w:noProof/>
        </w:rPr>
        <w:fldChar w:fldCharType="end"/>
      </w:r>
      <w:r w:rsidRPr="00AA4861">
        <w:t>.</w:t>
      </w:r>
      <w:r>
        <w:t>P</w:t>
      </w:r>
      <w:r w:rsidRPr="00AA4861">
        <w:t>arameters from all model scenarios that were estimated within 1% of bounds.</w:t>
      </w:r>
      <w:r>
        <w:t xml:space="preserve"> TCF: Tanner crab fishery, SCF: snow crab fishery; RKF: BBRCK fishery; GF: groundfish fisheries. z50: size at 50% selected; z95: size at 95% selected.</w:t>
      </w:r>
      <w:bookmarkEnd w:id="92"/>
    </w:p>
    <w:p w14:paraId="0C84C123" w14:textId="77777777" w:rsidR="00CB27AF" w:rsidRDefault="00CB27AF" w:rsidP="00AA4861">
      <w:pPr>
        <w:jc w:val="center"/>
        <w:rPr>
          <w:highlight w:val="yellow"/>
        </w:rPr>
      </w:pPr>
      <w:r w:rsidRPr="00AA4861">
        <w:rPr>
          <w:noProof/>
        </w:rPr>
        <w:drawing>
          <wp:inline distT="0" distB="0" distL="0" distR="0" wp14:anchorId="460BE46A" wp14:editId="514696CA">
            <wp:extent cx="5943600" cy="48075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5943600" cy="4807585"/>
                    </a:xfrm>
                    <a:prstGeom prst="rect">
                      <a:avLst/>
                    </a:prstGeom>
                  </pic:spPr>
                </pic:pic>
              </a:graphicData>
            </a:graphic>
          </wp:inline>
        </w:drawing>
      </w:r>
    </w:p>
    <w:p w14:paraId="5BF21EC6" w14:textId="77777777" w:rsidR="00CB27AF" w:rsidRDefault="00CB27AF" w:rsidP="00AA4861">
      <w:pPr>
        <w:rPr>
          <w:highlight w:val="yellow"/>
        </w:rPr>
      </w:pPr>
      <w:r w:rsidRPr="006528AB">
        <w:rPr>
          <w:highlight w:val="yellow"/>
        </w:rPr>
        <w:br w:type="page"/>
      </w:r>
    </w:p>
    <w:p w14:paraId="72938192" w14:textId="77777777" w:rsidR="00CB27AF" w:rsidRPr="006528AB" w:rsidRDefault="00CB27AF" w:rsidP="00622A30">
      <w:pPr>
        <w:pStyle w:val="TableCaption"/>
        <w:rPr>
          <w:highlight w:val="yellow"/>
        </w:rPr>
        <w:sectPr w:rsidR="00CB27AF" w:rsidRPr="006528AB" w:rsidSect="006639FC">
          <w:footerReference w:type="even" r:id="rId41"/>
          <w:footerReference w:type="default" r:id="rId42"/>
          <w:pgSz w:w="12240" w:h="15840"/>
          <w:pgMar w:top="1440" w:right="1440" w:bottom="1440" w:left="1440" w:header="720" w:footer="720" w:gutter="0"/>
          <w:cols w:space="720"/>
          <w:docGrid w:linePitch="360"/>
        </w:sectPr>
      </w:pPr>
    </w:p>
    <w:p w14:paraId="1FDEB09B" w14:textId="77777777" w:rsidR="00CB27AF" w:rsidRPr="00801160" w:rsidRDefault="00CB27AF" w:rsidP="00622A30">
      <w:pPr>
        <w:pStyle w:val="TableCaption"/>
      </w:pPr>
      <w:bookmarkStart w:id="93" w:name="_Toc50392514"/>
      <w:r w:rsidRPr="00801160">
        <w:lastRenderedPageBreak/>
        <w:t xml:space="preserve">Table </w:t>
      </w:r>
      <w:r w:rsidRPr="00801160">
        <w:rPr>
          <w:noProof/>
        </w:rPr>
        <w:fldChar w:fldCharType="begin"/>
      </w:r>
      <w:r w:rsidRPr="00801160">
        <w:rPr>
          <w:noProof/>
        </w:rPr>
        <w:instrText xml:space="preserve"> SEQ Table \* ARABIC </w:instrText>
      </w:r>
      <w:r w:rsidRPr="00801160">
        <w:rPr>
          <w:noProof/>
        </w:rPr>
        <w:fldChar w:fldCharType="separate"/>
      </w:r>
      <w:r>
        <w:rPr>
          <w:noProof/>
        </w:rPr>
        <w:t>13</w:t>
      </w:r>
      <w:r w:rsidRPr="00801160">
        <w:rPr>
          <w:noProof/>
        </w:rPr>
        <w:fldChar w:fldCharType="end"/>
      </w:r>
      <w:r w:rsidRPr="00801160">
        <w:t xml:space="preserve">. All </w:t>
      </w:r>
      <w:r>
        <w:t>non-vector</w:t>
      </w:r>
      <w:r w:rsidRPr="00801160">
        <w:t xml:space="preserve"> parameters. Parameters with phase &gt; 0 are MLEs; otherwise, the values were fixed outside the model.</w:t>
      </w:r>
      <w:r>
        <w:t xml:space="preserve"> Highlights indicate poorly-estimated parameters (large standard errors or estimates at bounds).</w:t>
      </w:r>
      <w:bookmarkEnd w:id="93"/>
    </w:p>
    <w:p w14:paraId="3D29F9CF" w14:textId="77777777" w:rsidR="00CB27AF" w:rsidRPr="006528AB" w:rsidRDefault="00CB27AF">
      <w:pPr>
        <w:spacing w:after="200" w:line="276" w:lineRule="auto"/>
        <w:rPr>
          <w:highlight w:val="yellow"/>
        </w:rPr>
      </w:pPr>
      <w:r w:rsidRPr="003F06EA">
        <w:rPr>
          <w:noProof/>
        </w:rPr>
        <w:drawing>
          <wp:inline distT="0" distB="0" distL="0" distR="0" wp14:anchorId="1C13ACE2" wp14:editId="39DC2A5A">
            <wp:extent cx="7772400" cy="547725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extLst>
                        <a:ext uri="{28A0092B-C50C-407E-A947-70E740481C1C}">
                          <a14:useLocalDpi xmlns:a14="http://schemas.microsoft.com/office/drawing/2010/main"/>
                        </a:ext>
                      </a:extLst>
                    </a:blip>
                    <a:stretch>
                      <a:fillRect/>
                    </a:stretch>
                  </pic:blipFill>
                  <pic:spPr>
                    <a:xfrm>
                      <a:off x="0" y="0"/>
                      <a:ext cx="7772400" cy="5477256"/>
                    </a:xfrm>
                    <a:prstGeom prst="rect">
                      <a:avLst/>
                    </a:prstGeom>
                  </pic:spPr>
                </pic:pic>
              </a:graphicData>
            </a:graphic>
          </wp:inline>
        </w:drawing>
      </w:r>
      <w:r w:rsidRPr="006528AB">
        <w:rPr>
          <w:highlight w:val="yellow"/>
        </w:rPr>
        <w:br w:type="page"/>
      </w:r>
    </w:p>
    <w:p w14:paraId="0E614954" w14:textId="77777777" w:rsidR="00CB27AF" w:rsidRPr="00801160" w:rsidRDefault="00CB27AF" w:rsidP="003F06EA">
      <w:pPr>
        <w:pStyle w:val="TableCaption"/>
      </w:pPr>
      <w:bookmarkStart w:id="94" w:name="_Toc50392515"/>
      <w:r w:rsidRPr="00801160">
        <w:lastRenderedPageBreak/>
        <w:t xml:space="preserve">Table </w:t>
      </w:r>
      <w:r w:rsidRPr="00801160">
        <w:rPr>
          <w:noProof/>
        </w:rPr>
        <w:fldChar w:fldCharType="begin"/>
      </w:r>
      <w:r w:rsidRPr="00801160">
        <w:rPr>
          <w:noProof/>
        </w:rPr>
        <w:instrText xml:space="preserve"> SEQ Table \* ARABIC </w:instrText>
      </w:r>
      <w:r w:rsidRPr="00801160">
        <w:rPr>
          <w:noProof/>
        </w:rPr>
        <w:fldChar w:fldCharType="separate"/>
      </w:r>
      <w:r>
        <w:rPr>
          <w:noProof/>
        </w:rPr>
        <w:t>13</w:t>
      </w:r>
      <w:r w:rsidRPr="00801160">
        <w:rPr>
          <w:noProof/>
        </w:rPr>
        <w:fldChar w:fldCharType="end"/>
      </w:r>
      <w:r>
        <w:rPr>
          <w:noProof/>
        </w:rPr>
        <w:t xml:space="preserve"> (cont.)</w:t>
      </w:r>
      <w:r w:rsidRPr="00801160">
        <w:t xml:space="preserve">. All </w:t>
      </w:r>
      <w:r>
        <w:t>non-vector</w:t>
      </w:r>
      <w:r w:rsidRPr="00801160">
        <w:t xml:space="preserve"> parameters. Parameters with phase &gt; 0 are MLEs; otherwise, the values were fixed outside the model.</w:t>
      </w:r>
      <w:r>
        <w:t xml:space="preserve"> Highlights indicate poorly-estimated parameters (large standard errors or estimates at bounds).</w:t>
      </w:r>
      <w:bookmarkEnd w:id="94"/>
    </w:p>
    <w:p w14:paraId="4546C7CC" w14:textId="77777777" w:rsidR="00CB27AF" w:rsidRPr="00801160" w:rsidRDefault="00CB27AF" w:rsidP="004F412D">
      <w:pPr>
        <w:pStyle w:val="TableCaption"/>
      </w:pPr>
      <w:r w:rsidRPr="003F06EA">
        <w:rPr>
          <w:noProof/>
        </w:rPr>
        <w:drawing>
          <wp:inline distT="0" distB="0" distL="0" distR="0" wp14:anchorId="4E5186C7" wp14:editId="28AC5018">
            <wp:extent cx="8229600" cy="36912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extLst>
                        <a:ext uri="{28A0092B-C50C-407E-A947-70E740481C1C}">
                          <a14:useLocalDpi xmlns:a14="http://schemas.microsoft.com/office/drawing/2010/main"/>
                        </a:ext>
                      </a:extLst>
                    </a:blip>
                    <a:stretch>
                      <a:fillRect/>
                    </a:stretch>
                  </pic:blipFill>
                  <pic:spPr>
                    <a:xfrm>
                      <a:off x="0" y="0"/>
                      <a:ext cx="8229600" cy="3691255"/>
                    </a:xfrm>
                    <a:prstGeom prst="rect">
                      <a:avLst/>
                    </a:prstGeom>
                  </pic:spPr>
                </pic:pic>
              </a:graphicData>
            </a:graphic>
          </wp:inline>
        </w:drawing>
      </w:r>
    </w:p>
    <w:p w14:paraId="476BC45C" w14:textId="77777777" w:rsidR="00CB27AF" w:rsidRDefault="00CB27AF">
      <w:pPr>
        <w:spacing w:after="200" w:line="276" w:lineRule="auto"/>
      </w:pPr>
      <w:r>
        <w:br w:type="page"/>
      </w:r>
    </w:p>
    <w:p w14:paraId="0C58E2CE" w14:textId="77777777" w:rsidR="00CB27AF" w:rsidRPr="00801160" w:rsidRDefault="00CB27AF" w:rsidP="003F06EA">
      <w:pPr>
        <w:pStyle w:val="TableCaption"/>
      </w:pPr>
      <w:bookmarkStart w:id="95" w:name="_Toc50392516"/>
      <w:r w:rsidRPr="00801160">
        <w:lastRenderedPageBreak/>
        <w:t xml:space="preserve">Table </w:t>
      </w:r>
      <w:r w:rsidRPr="00801160">
        <w:rPr>
          <w:noProof/>
        </w:rPr>
        <w:fldChar w:fldCharType="begin"/>
      </w:r>
      <w:r w:rsidRPr="00801160">
        <w:rPr>
          <w:noProof/>
        </w:rPr>
        <w:instrText xml:space="preserve"> SEQ Table \* ARABIC </w:instrText>
      </w:r>
      <w:r w:rsidRPr="00801160">
        <w:rPr>
          <w:noProof/>
        </w:rPr>
        <w:fldChar w:fldCharType="separate"/>
      </w:r>
      <w:r>
        <w:rPr>
          <w:noProof/>
        </w:rPr>
        <w:t>13</w:t>
      </w:r>
      <w:r w:rsidRPr="00801160">
        <w:rPr>
          <w:noProof/>
        </w:rPr>
        <w:fldChar w:fldCharType="end"/>
      </w:r>
      <w:r>
        <w:rPr>
          <w:noProof/>
        </w:rPr>
        <w:t xml:space="preserve"> (cont.)</w:t>
      </w:r>
      <w:r w:rsidRPr="00801160">
        <w:t xml:space="preserve">. All </w:t>
      </w:r>
      <w:r>
        <w:t>non-vector</w:t>
      </w:r>
      <w:r w:rsidRPr="00801160">
        <w:t xml:space="preserve"> parameters. Parameters with phase &gt; 0 are MLEs; otherwise, the values were fixed outside the model.</w:t>
      </w:r>
      <w:r>
        <w:t xml:space="preserve"> Highlights indicate poorly-estimated parameters (large standard errors or estimates at bounds).</w:t>
      </w:r>
      <w:bookmarkEnd w:id="95"/>
    </w:p>
    <w:p w14:paraId="4901A318" w14:textId="77777777" w:rsidR="00CB27AF" w:rsidRDefault="00CB27AF">
      <w:pPr>
        <w:spacing w:after="200" w:line="276" w:lineRule="auto"/>
      </w:pPr>
      <w:r w:rsidRPr="003F06EA">
        <w:rPr>
          <w:noProof/>
        </w:rPr>
        <w:drawing>
          <wp:inline distT="0" distB="0" distL="0" distR="0" wp14:anchorId="75896D5A" wp14:editId="3434FE39">
            <wp:extent cx="8229600" cy="454596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email">
                      <a:extLst>
                        <a:ext uri="{28A0092B-C50C-407E-A947-70E740481C1C}">
                          <a14:useLocalDpi xmlns:a14="http://schemas.microsoft.com/office/drawing/2010/main"/>
                        </a:ext>
                      </a:extLst>
                    </a:blip>
                    <a:stretch>
                      <a:fillRect/>
                    </a:stretch>
                  </pic:blipFill>
                  <pic:spPr>
                    <a:xfrm>
                      <a:off x="0" y="0"/>
                      <a:ext cx="8229600" cy="4545965"/>
                    </a:xfrm>
                    <a:prstGeom prst="rect">
                      <a:avLst/>
                    </a:prstGeom>
                  </pic:spPr>
                </pic:pic>
              </a:graphicData>
            </a:graphic>
          </wp:inline>
        </w:drawing>
      </w:r>
    </w:p>
    <w:p w14:paraId="5EDABAA4" w14:textId="77777777" w:rsidR="00CB27AF" w:rsidRDefault="00CB27AF">
      <w:pPr>
        <w:spacing w:after="200" w:line="276" w:lineRule="auto"/>
      </w:pPr>
      <w:r>
        <w:br w:type="page"/>
      </w:r>
    </w:p>
    <w:p w14:paraId="08370723" w14:textId="77777777" w:rsidR="00CB27AF" w:rsidRPr="003609B4" w:rsidRDefault="00CB27AF" w:rsidP="00622A30">
      <w:pPr>
        <w:pStyle w:val="TableCaption"/>
      </w:pPr>
      <w:bookmarkStart w:id="96" w:name="_Toc50392517"/>
      <w:r w:rsidRPr="003609B4">
        <w:lastRenderedPageBreak/>
        <w:t xml:space="preserve">Table </w:t>
      </w:r>
      <w:r w:rsidRPr="003609B4">
        <w:rPr>
          <w:noProof/>
        </w:rPr>
        <w:fldChar w:fldCharType="begin"/>
      </w:r>
      <w:r w:rsidRPr="003609B4">
        <w:rPr>
          <w:noProof/>
        </w:rPr>
        <w:instrText xml:space="preserve"> SEQ Table \* ARABIC </w:instrText>
      </w:r>
      <w:r w:rsidRPr="003609B4">
        <w:rPr>
          <w:noProof/>
        </w:rPr>
        <w:fldChar w:fldCharType="separate"/>
      </w:r>
      <w:r>
        <w:rPr>
          <w:noProof/>
        </w:rPr>
        <w:t>14</w:t>
      </w:r>
      <w:r w:rsidRPr="003609B4">
        <w:rPr>
          <w:noProof/>
        </w:rPr>
        <w:fldChar w:fldCharType="end"/>
      </w:r>
      <w:r w:rsidRPr="003609B4">
        <w:t xml:space="preserve">. Historical recruitment </w:t>
      </w:r>
      <w:proofErr w:type="spellStart"/>
      <w:r w:rsidRPr="003609B4">
        <w:t>devs</w:t>
      </w:r>
      <w:proofErr w:type="spellEnd"/>
      <w:r w:rsidRPr="003609B4">
        <w:t xml:space="preserve"> estimates (194</w:t>
      </w:r>
      <w:r>
        <w:t>9</w:t>
      </w:r>
      <w:r w:rsidRPr="003609B4">
        <w:t>-1974) for all model scenarios.</w:t>
      </w:r>
      <w:bookmarkEnd w:id="96"/>
    </w:p>
    <w:p w14:paraId="42199039" w14:textId="77777777" w:rsidR="00CB27AF" w:rsidRDefault="00CB27AF" w:rsidP="003609B4">
      <w:pPr>
        <w:spacing w:after="200" w:line="276" w:lineRule="auto"/>
        <w:rPr>
          <w:highlight w:val="yellow"/>
        </w:rPr>
        <w:sectPr w:rsidR="00CB27AF" w:rsidSect="00CC69A3">
          <w:pgSz w:w="15840" w:h="12240" w:orient="landscape"/>
          <w:pgMar w:top="1440" w:right="1440" w:bottom="1440" w:left="1440" w:header="720" w:footer="720" w:gutter="0"/>
          <w:cols w:space="720"/>
          <w:docGrid w:linePitch="360"/>
        </w:sectPr>
      </w:pPr>
      <w:r w:rsidRPr="003609B4">
        <w:rPr>
          <w:noProof/>
        </w:rPr>
        <w:drawing>
          <wp:inline distT="0" distB="0" distL="0" distR="0" wp14:anchorId="7009932A" wp14:editId="3A5FB6E2">
            <wp:extent cx="6400800" cy="5074920"/>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email">
                      <a:extLst>
                        <a:ext uri="{28A0092B-C50C-407E-A947-70E740481C1C}">
                          <a14:useLocalDpi xmlns:a14="http://schemas.microsoft.com/office/drawing/2010/main"/>
                        </a:ext>
                      </a:extLst>
                    </a:blip>
                    <a:stretch>
                      <a:fillRect/>
                    </a:stretch>
                  </pic:blipFill>
                  <pic:spPr>
                    <a:xfrm>
                      <a:off x="0" y="0"/>
                      <a:ext cx="6400800" cy="5074920"/>
                    </a:xfrm>
                    <a:prstGeom prst="rect">
                      <a:avLst/>
                    </a:prstGeom>
                  </pic:spPr>
                </pic:pic>
              </a:graphicData>
            </a:graphic>
          </wp:inline>
        </w:drawing>
      </w:r>
    </w:p>
    <w:p w14:paraId="69BEB19F" w14:textId="77777777" w:rsidR="00CB27AF" w:rsidRPr="006528AB" w:rsidRDefault="00CB27AF" w:rsidP="003609B4">
      <w:pPr>
        <w:spacing w:after="200" w:line="276" w:lineRule="auto"/>
        <w:rPr>
          <w:highlight w:val="yellow"/>
        </w:rPr>
      </w:pPr>
      <w:bookmarkStart w:id="97" w:name="_Toc50392518"/>
      <w:r w:rsidRPr="003609B4">
        <w:lastRenderedPageBreak/>
        <w:t xml:space="preserve">Table </w:t>
      </w:r>
      <w:r w:rsidRPr="003609B4">
        <w:rPr>
          <w:noProof/>
        </w:rPr>
        <w:fldChar w:fldCharType="begin"/>
      </w:r>
      <w:r w:rsidRPr="003609B4">
        <w:rPr>
          <w:noProof/>
        </w:rPr>
        <w:instrText xml:space="preserve"> SEQ Table \* ARABIC </w:instrText>
      </w:r>
      <w:r w:rsidRPr="003609B4">
        <w:rPr>
          <w:noProof/>
        </w:rPr>
        <w:fldChar w:fldCharType="separate"/>
      </w:r>
      <w:r>
        <w:rPr>
          <w:noProof/>
        </w:rPr>
        <w:t>15</w:t>
      </w:r>
      <w:r w:rsidRPr="003609B4">
        <w:rPr>
          <w:noProof/>
        </w:rPr>
        <w:fldChar w:fldCharType="end"/>
      </w:r>
      <w:r w:rsidRPr="003609B4">
        <w:t xml:space="preserve">. Current recruitment </w:t>
      </w:r>
      <w:proofErr w:type="spellStart"/>
      <w:r w:rsidRPr="003609B4">
        <w:t>devs</w:t>
      </w:r>
      <w:proofErr w:type="spellEnd"/>
      <w:r w:rsidRPr="003609B4">
        <w:t xml:space="preserve"> estimates (1975-2020) for all model scenarios.</w:t>
      </w:r>
      <w:r>
        <w:t xml:space="preserve"> Note the large uncertainties in the last row (</w:t>
      </w:r>
      <w:proofErr w:type="spellStart"/>
      <w:r>
        <w:t>devs</w:t>
      </w:r>
      <w:proofErr w:type="spellEnd"/>
      <w:r>
        <w:t xml:space="preserve"> for recruits entering the population on July 1, 2020).</w:t>
      </w:r>
      <w:bookmarkEnd w:id="97"/>
      <w:r>
        <w:t xml:space="preserve"> </w:t>
      </w:r>
    </w:p>
    <w:p w14:paraId="53B11593" w14:textId="77777777" w:rsidR="00CB27AF" w:rsidRPr="006528AB" w:rsidRDefault="00CB27AF" w:rsidP="003D21CA">
      <w:pPr>
        <w:spacing w:after="200" w:line="276" w:lineRule="auto"/>
        <w:jc w:val="center"/>
        <w:rPr>
          <w:highlight w:val="yellow"/>
        </w:rPr>
      </w:pPr>
      <w:r w:rsidRPr="003F06EA">
        <w:rPr>
          <w:noProof/>
        </w:rPr>
        <w:drawing>
          <wp:inline distT="0" distB="0" distL="0" distR="0" wp14:anchorId="04F7C310" wp14:editId="3002F0D0">
            <wp:extent cx="5404104" cy="7315200"/>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email">
                      <a:extLst>
                        <a:ext uri="{28A0092B-C50C-407E-A947-70E740481C1C}">
                          <a14:useLocalDpi xmlns:a14="http://schemas.microsoft.com/office/drawing/2010/main"/>
                        </a:ext>
                      </a:extLst>
                    </a:blip>
                    <a:stretch>
                      <a:fillRect/>
                    </a:stretch>
                  </pic:blipFill>
                  <pic:spPr>
                    <a:xfrm>
                      <a:off x="0" y="0"/>
                      <a:ext cx="5404104" cy="7315200"/>
                    </a:xfrm>
                    <a:prstGeom prst="rect">
                      <a:avLst/>
                    </a:prstGeom>
                  </pic:spPr>
                </pic:pic>
              </a:graphicData>
            </a:graphic>
          </wp:inline>
        </w:drawing>
      </w:r>
    </w:p>
    <w:p w14:paraId="4B95890F" w14:textId="77777777" w:rsidR="00CB27AF" w:rsidRPr="003609B4" w:rsidRDefault="00CB27AF" w:rsidP="00622A30">
      <w:pPr>
        <w:pStyle w:val="TableCaption"/>
      </w:pPr>
      <w:bookmarkStart w:id="98" w:name="_Toc50392519"/>
      <w:r w:rsidRPr="003609B4">
        <w:lastRenderedPageBreak/>
        <w:t xml:space="preserve">Table </w:t>
      </w:r>
      <w:r w:rsidRPr="003609B4">
        <w:rPr>
          <w:noProof/>
        </w:rPr>
        <w:fldChar w:fldCharType="begin"/>
      </w:r>
      <w:r w:rsidRPr="003609B4">
        <w:rPr>
          <w:noProof/>
        </w:rPr>
        <w:instrText xml:space="preserve"> SEQ Table \* ARABIC </w:instrText>
      </w:r>
      <w:r w:rsidRPr="003609B4">
        <w:rPr>
          <w:noProof/>
        </w:rPr>
        <w:fldChar w:fldCharType="separate"/>
      </w:r>
      <w:r>
        <w:rPr>
          <w:noProof/>
        </w:rPr>
        <w:t>16</w:t>
      </w:r>
      <w:r w:rsidRPr="003609B4">
        <w:rPr>
          <w:noProof/>
        </w:rPr>
        <w:fldChar w:fldCharType="end"/>
      </w:r>
      <w:r w:rsidRPr="003609B4">
        <w:t>. Logit-scale parameters for the probability of terminal molt for all model scenarios. The probability of terminal molt is 0 at sizes less than, and 1 at sizes greater than, the indicated range.</w:t>
      </w:r>
      <w:bookmarkEnd w:id="98"/>
    </w:p>
    <w:p w14:paraId="42B7EA6D" w14:textId="77777777" w:rsidR="00CB27AF" w:rsidRPr="006528AB" w:rsidRDefault="00CB27AF" w:rsidP="008B124C">
      <w:pPr>
        <w:spacing w:after="200" w:line="276" w:lineRule="auto"/>
        <w:jc w:val="center"/>
        <w:rPr>
          <w:highlight w:val="yellow"/>
        </w:rPr>
      </w:pPr>
      <w:r w:rsidRPr="003609B4">
        <w:rPr>
          <w:noProof/>
        </w:rPr>
        <w:drawing>
          <wp:inline distT="0" distB="0" distL="0" distR="0" wp14:anchorId="7BDD37A5" wp14:editId="70ACBE35">
            <wp:extent cx="5943600" cy="354266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5943600" cy="3542665"/>
                    </a:xfrm>
                    <a:prstGeom prst="rect">
                      <a:avLst/>
                    </a:prstGeom>
                  </pic:spPr>
                </pic:pic>
              </a:graphicData>
            </a:graphic>
          </wp:inline>
        </w:drawing>
      </w:r>
    </w:p>
    <w:p w14:paraId="24A9399B" w14:textId="77777777" w:rsidR="00CB27AF" w:rsidRPr="006528AB" w:rsidRDefault="00CB27AF">
      <w:pPr>
        <w:spacing w:after="200" w:line="276" w:lineRule="auto"/>
        <w:rPr>
          <w:highlight w:val="yellow"/>
        </w:rPr>
      </w:pPr>
      <w:r w:rsidRPr="006528AB">
        <w:rPr>
          <w:highlight w:val="yellow"/>
        </w:rPr>
        <w:br w:type="page"/>
      </w:r>
    </w:p>
    <w:p w14:paraId="0B13B944" w14:textId="77777777" w:rsidR="00CB27AF" w:rsidRPr="00BA60AD" w:rsidRDefault="00CB27AF" w:rsidP="00CC69A3">
      <w:pPr>
        <w:spacing w:after="200" w:line="276" w:lineRule="auto"/>
      </w:pPr>
      <w:bookmarkStart w:id="99" w:name="_Toc50392520"/>
      <w:r w:rsidRPr="00BA60AD">
        <w:lastRenderedPageBreak/>
        <w:t xml:space="preserve">Table </w:t>
      </w:r>
      <w:r w:rsidRPr="00BA60AD">
        <w:rPr>
          <w:noProof/>
        </w:rPr>
        <w:fldChar w:fldCharType="begin"/>
      </w:r>
      <w:r w:rsidRPr="00BA60AD">
        <w:rPr>
          <w:noProof/>
        </w:rPr>
        <w:instrText xml:space="preserve"> SEQ Table \* ARABIC </w:instrText>
      </w:r>
      <w:r w:rsidRPr="00BA60AD">
        <w:rPr>
          <w:noProof/>
        </w:rPr>
        <w:fldChar w:fldCharType="separate"/>
      </w:r>
      <w:r>
        <w:rPr>
          <w:noProof/>
        </w:rPr>
        <w:t>17</w:t>
      </w:r>
      <w:r w:rsidRPr="00BA60AD">
        <w:rPr>
          <w:noProof/>
        </w:rPr>
        <w:fldChar w:fldCharType="end"/>
      </w:r>
      <w:r w:rsidRPr="00BA60AD">
        <w:t>. Availability parameters used in Scenario 20.07 (all fixed).</w:t>
      </w:r>
      <w:bookmarkEnd w:id="99"/>
    </w:p>
    <w:p w14:paraId="0EB723E6" w14:textId="77777777" w:rsidR="00CB27AF" w:rsidRPr="006528AB" w:rsidRDefault="00CB27AF" w:rsidP="00F3322F">
      <w:pPr>
        <w:spacing w:after="200" w:line="276" w:lineRule="auto"/>
        <w:jc w:val="center"/>
        <w:rPr>
          <w:highlight w:val="yellow"/>
        </w:rPr>
      </w:pPr>
      <w:r w:rsidRPr="00BA60AD">
        <w:rPr>
          <w:noProof/>
        </w:rPr>
        <w:drawing>
          <wp:inline distT="0" distB="0" distL="0" distR="0" wp14:anchorId="2E09EE77" wp14:editId="4E0E24C5">
            <wp:extent cx="5943600" cy="4693285"/>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5943600" cy="4693285"/>
                    </a:xfrm>
                    <a:prstGeom prst="rect">
                      <a:avLst/>
                    </a:prstGeom>
                  </pic:spPr>
                </pic:pic>
              </a:graphicData>
            </a:graphic>
          </wp:inline>
        </w:drawing>
      </w:r>
    </w:p>
    <w:p w14:paraId="22E8D8E4" w14:textId="77777777" w:rsidR="00CB27AF" w:rsidRPr="006528AB" w:rsidRDefault="00CB27AF" w:rsidP="00CC69A3">
      <w:pPr>
        <w:spacing w:after="200" w:line="276" w:lineRule="auto"/>
        <w:rPr>
          <w:highlight w:val="yellow"/>
        </w:rPr>
      </w:pPr>
      <w:r w:rsidRPr="006528AB">
        <w:rPr>
          <w:highlight w:val="yellow"/>
        </w:rPr>
        <w:br w:type="page"/>
      </w:r>
      <w:bookmarkStart w:id="100" w:name="_Toc50392521"/>
      <w:r w:rsidRPr="00BA60AD">
        <w:lastRenderedPageBreak/>
        <w:t xml:space="preserve">Table </w:t>
      </w:r>
      <w:r w:rsidRPr="00BA60AD">
        <w:rPr>
          <w:noProof/>
        </w:rPr>
        <w:fldChar w:fldCharType="begin"/>
      </w:r>
      <w:r w:rsidRPr="00BA60AD">
        <w:rPr>
          <w:noProof/>
        </w:rPr>
        <w:instrText xml:space="preserve"> SEQ Table \* ARABIC </w:instrText>
      </w:r>
      <w:r w:rsidRPr="00BA60AD">
        <w:rPr>
          <w:noProof/>
        </w:rPr>
        <w:fldChar w:fldCharType="separate"/>
      </w:r>
      <w:r>
        <w:rPr>
          <w:noProof/>
        </w:rPr>
        <w:t>18</w:t>
      </w:r>
      <w:r w:rsidRPr="00BA60AD">
        <w:rPr>
          <w:noProof/>
        </w:rPr>
        <w:fldChar w:fldCharType="end"/>
      </w:r>
      <w:r w:rsidRPr="00BA60AD">
        <w:t>. NMFS survey selectivity values used in Scenario 20.10. These were estimated outside the model.</w:t>
      </w:r>
      <w:bookmarkEnd w:id="100"/>
    </w:p>
    <w:p w14:paraId="59D56E5B" w14:textId="77777777" w:rsidR="00CB27AF" w:rsidRPr="006528AB" w:rsidRDefault="00CB27AF" w:rsidP="00BA60AD">
      <w:pPr>
        <w:spacing w:after="200" w:line="276" w:lineRule="auto"/>
        <w:jc w:val="center"/>
        <w:rPr>
          <w:highlight w:val="yellow"/>
        </w:rPr>
      </w:pPr>
      <w:r w:rsidRPr="00BA60AD">
        <w:rPr>
          <w:noProof/>
        </w:rPr>
        <w:drawing>
          <wp:inline distT="0" distB="0" distL="0" distR="0" wp14:anchorId="0FA575BB" wp14:editId="59A24A71">
            <wp:extent cx="2029968" cy="6400800"/>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email">
                      <a:extLst>
                        <a:ext uri="{28A0092B-C50C-407E-A947-70E740481C1C}">
                          <a14:useLocalDpi xmlns:a14="http://schemas.microsoft.com/office/drawing/2010/main"/>
                        </a:ext>
                      </a:extLst>
                    </a:blip>
                    <a:stretch>
                      <a:fillRect/>
                    </a:stretch>
                  </pic:blipFill>
                  <pic:spPr>
                    <a:xfrm>
                      <a:off x="0" y="0"/>
                      <a:ext cx="2029968" cy="6400800"/>
                    </a:xfrm>
                    <a:prstGeom prst="rect">
                      <a:avLst/>
                    </a:prstGeom>
                  </pic:spPr>
                </pic:pic>
              </a:graphicData>
            </a:graphic>
          </wp:inline>
        </w:drawing>
      </w:r>
    </w:p>
    <w:p w14:paraId="6BF7767E" w14:textId="77777777" w:rsidR="00CB27AF" w:rsidRPr="006528AB" w:rsidRDefault="00CB27AF">
      <w:pPr>
        <w:spacing w:after="200" w:line="276" w:lineRule="auto"/>
        <w:rPr>
          <w:highlight w:val="yellow"/>
        </w:rPr>
      </w:pPr>
      <w:r w:rsidRPr="006528AB">
        <w:rPr>
          <w:highlight w:val="yellow"/>
        </w:rPr>
        <w:br w:type="page"/>
      </w:r>
    </w:p>
    <w:p w14:paraId="0F89AD06" w14:textId="77777777" w:rsidR="00CB27AF" w:rsidRPr="00524560" w:rsidRDefault="00CB27AF" w:rsidP="00622A30">
      <w:pPr>
        <w:pStyle w:val="TableCaption"/>
      </w:pPr>
      <w:bookmarkStart w:id="101" w:name="_Toc50392522"/>
      <w:r w:rsidRPr="00524560">
        <w:lastRenderedPageBreak/>
        <w:t xml:space="preserve">Table </w:t>
      </w:r>
      <w:r w:rsidRPr="00524560">
        <w:rPr>
          <w:noProof/>
        </w:rPr>
        <w:fldChar w:fldCharType="begin"/>
      </w:r>
      <w:r w:rsidRPr="00524560">
        <w:rPr>
          <w:noProof/>
        </w:rPr>
        <w:instrText xml:space="preserve"> SEQ Table \* ARABIC </w:instrText>
      </w:r>
      <w:r w:rsidRPr="00524560">
        <w:rPr>
          <w:noProof/>
        </w:rPr>
        <w:fldChar w:fldCharType="separate"/>
      </w:r>
      <w:r>
        <w:rPr>
          <w:noProof/>
        </w:rPr>
        <w:t>19</w:t>
      </w:r>
      <w:r w:rsidRPr="00524560">
        <w:rPr>
          <w:noProof/>
        </w:rPr>
        <w:fldChar w:fldCharType="end"/>
      </w:r>
      <w:r w:rsidRPr="00524560">
        <w:t xml:space="preserve">. Ln-scale </w:t>
      </w:r>
      <w:proofErr w:type="spellStart"/>
      <w:r w:rsidRPr="00524560">
        <w:t>devs</w:t>
      </w:r>
      <w:proofErr w:type="spellEnd"/>
      <w:r w:rsidRPr="00524560">
        <w:t xml:space="preserve"> for annual deviations, starting in 1991/92, in the ln-scale size at 50% selected in the directed fishery.</w:t>
      </w:r>
      <w:bookmarkEnd w:id="101"/>
    </w:p>
    <w:p w14:paraId="2FBF6C5D" w14:textId="77777777" w:rsidR="00CB27AF" w:rsidRPr="006528AB" w:rsidRDefault="00CB27AF" w:rsidP="00622A30">
      <w:pPr>
        <w:pStyle w:val="TableCaption"/>
        <w:rPr>
          <w:highlight w:val="yellow"/>
        </w:rPr>
      </w:pPr>
      <w:r w:rsidRPr="00BA60AD">
        <w:rPr>
          <w:noProof/>
        </w:rPr>
        <w:drawing>
          <wp:inline distT="0" distB="0" distL="0" distR="0" wp14:anchorId="420EC424" wp14:editId="4B8772EB">
            <wp:extent cx="5943600" cy="213741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email">
                      <a:extLst>
                        <a:ext uri="{28A0092B-C50C-407E-A947-70E740481C1C}">
                          <a14:useLocalDpi xmlns:a14="http://schemas.microsoft.com/office/drawing/2010/main"/>
                        </a:ext>
                      </a:extLst>
                    </a:blip>
                    <a:stretch>
                      <a:fillRect/>
                    </a:stretch>
                  </pic:blipFill>
                  <pic:spPr>
                    <a:xfrm>
                      <a:off x="0" y="0"/>
                      <a:ext cx="5943600" cy="2137410"/>
                    </a:xfrm>
                    <a:prstGeom prst="rect">
                      <a:avLst/>
                    </a:prstGeom>
                  </pic:spPr>
                </pic:pic>
              </a:graphicData>
            </a:graphic>
          </wp:inline>
        </w:drawing>
      </w:r>
    </w:p>
    <w:p w14:paraId="5DACF391" w14:textId="77777777" w:rsidR="00CB27AF" w:rsidRPr="006528AB" w:rsidRDefault="00CB27AF" w:rsidP="00641A8C">
      <w:pPr>
        <w:spacing w:after="200" w:line="276" w:lineRule="auto"/>
        <w:rPr>
          <w:highlight w:val="yellow"/>
        </w:rPr>
      </w:pPr>
      <w:r w:rsidRPr="006528AB">
        <w:rPr>
          <w:highlight w:val="yellow"/>
        </w:rPr>
        <w:br w:type="page"/>
      </w:r>
    </w:p>
    <w:p w14:paraId="4F08DBF7" w14:textId="77777777" w:rsidR="00CB27AF" w:rsidRPr="00524560" w:rsidRDefault="00CB27AF" w:rsidP="00A41876">
      <w:pPr>
        <w:pStyle w:val="TableCaption"/>
      </w:pPr>
      <w:bookmarkStart w:id="102" w:name="_Toc50392523"/>
      <w:r w:rsidRPr="00524560">
        <w:lastRenderedPageBreak/>
        <w:t xml:space="preserve">Table </w:t>
      </w:r>
      <w:r w:rsidRPr="00524560">
        <w:rPr>
          <w:noProof/>
        </w:rPr>
        <w:fldChar w:fldCharType="begin"/>
      </w:r>
      <w:r w:rsidRPr="00524560">
        <w:rPr>
          <w:noProof/>
        </w:rPr>
        <w:instrText xml:space="preserve"> SEQ Table \* ARABIC </w:instrText>
      </w:r>
      <w:r w:rsidRPr="00524560">
        <w:rPr>
          <w:noProof/>
        </w:rPr>
        <w:fldChar w:fldCharType="separate"/>
      </w:r>
      <w:r>
        <w:rPr>
          <w:noProof/>
        </w:rPr>
        <w:t>20</w:t>
      </w:r>
      <w:r w:rsidRPr="00524560">
        <w:rPr>
          <w:noProof/>
        </w:rPr>
        <w:fldChar w:fldCharType="end"/>
      </w:r>
      <w:r w:rsidRPr="00524560">
        <w:t xml:space="preserve">. </w:t>
      </w:r>
      <w:r>
        <w:t>Annual (1965+) l</w:t>
      </w:r>
      <w:r w:rsidRPr="00524560">
        <w:t xml:space="preserve">n-scale capture rate </w:t>
      </w:r>
      <w:proofErr w:type="spellStart"/>
      <w:r w:rsidRPr="00524560">
        <w:t>devs</w:t>
      </w:r>
      <w:proofErr w:type="spellEnd"/>
      <w:r w:rsidRPr="00524560">
        <w:t xml:space="preserve"> estimated for males </w:t>
      </w:r>
      <w:r>
        <w:t xml:space="preserve">taken </w:t>
      </w:r>
      <w:r w:rsidRPr="00524560">
        <w:t>in the directed fishery</w:t>
      </w:r>
      <w:r>
        <w:t>,</w:t>
      </w:r>
      <w:r w:rsidRPr="00524560">
        <w:t xml:space="preserve"> for all model scenarios.</w:t>
      </w:r>
      <w:r>
        <w:t xml:space="preserve"> Devs indexing skips years where the fishery was closed.</w:t>
      </w:r>
      <w:bookmarkEnd w:id="102"/>
    </w:p>
    <w:p w14:paraId="21EB67DA" w14:textId="77777777" w:rsidR="00CB27AF" w:rsidRPr="006528AB" w:rsidRDefault="00CB27AF" w:rsidP="005D7B49">
      <w:pPr>
        <w:pStyle w:val="TableCaption"/>
        <w:rPr>
          <w:highlight w:val="yellow"/>
        </w:rPr>
      </w:pPr>
      <w:r w:rsidRPr="00524560">
        <w:rPr>
          <w:noProof/>
        </w:rPr>
        <w:drawing>
          <wp:inline distT="0" distB="0" distL="0" distR="0" wp14:anchorId="2650730B" wp14:editId="775A4662">
            <wp:extent cx="5943600" cy="70491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5943600" cy="7049135"/>
                    </a:xfrm>
                    <a:prstGeom prst="rect">
                      <a:avLst/>
                    </a:prstGeom>
                  </pic:spPr>
                </pic:pic>
              </a:graphicData>
            </a:graphic>
          </wp:inline>
        </w:drawing>
      </w:r>
      <w:r w:rsidRPr="00524560">
        <w:rPr>
          <w:highlight w:val="yellow"/>
        </w:rPr>
        <w:t xml:space="preserve"> </w:t>
      </w:r>
      <w:r w:rsidRPr="006528AB">
        <w:rPr>
          <w:highlight w:val="yellow"/>
        </w:rPr>
        <w:br w:type="page"/>
      </w:r>
    </w:p>
    <w:p w14:paraId="5EFBD6DB" w14:textId="77777777" w:rsidR="00CB27AF" w:rsidRPr="00524560" w:rsidRDefault="00CB27AF" w:rsidP="00622A30">
      <w:pPr>
        <w:pStyle w:val="TableCaption"/>
      </w:pPr>
      <w:bookmarkStart w:id="103" w:name="_Toc50392524"/>
      <w:r w:rsidRPr="00524560">
        <w:lastRenderedPageBreak/>
        <w:t xml:space="preserve">Table </w:t>
      </w:r>
      <w:r w:rsidRPr="00524560">
        <w:rPr>
          <w:noProof/>
        </w:rPr>
        <w:fldChar w:fldCharType="begin"/>
      </w:r>
      <w:r w:rsidRPr="00524560">
        <w:rPr>
          <w:noProof/>
        </w:rPr>
        <w:instrText xml:space="preserve"> SEQ Table \* ARABIC </w:instrText>
      </w:r>
      <w:r w:rsidRPr="00524560">
        <w:rPr>
          <w:noProof/>
        </w:rPr>
        <w:fldChar w:fldCharType="separate"/>
      </w:r>
      <w:r>
        <w:rPr>
          <w:noProof/>
        </w:rPr>
        <w:t>21</w:t>
      </w:r>
      <w:r w:rsidRPr="00524560">
        <w:rPr>
          <w:noProof/>
        </w:rPr>
        <w:fldChar w:fldCharType="end"/>
      </w:r>
      <w:r w:rsidRPr="00524560">
        <w:t xml:space="preserve">. Annual (1992+) ln-scale capture rate </w:t>
      </w:r>
      <w:proofErr w:type="spellStart"/>
      <w:r w:rsidRPr="00524560">
        <w:t>devs</w:t>
      </w:r>
      <w:proofErr w:type="spellEnd"/>
      <w:r w:rsidRPr="00524560">
        <w:t xml:space="preserve"> for males </w:t>
      </w:r>
      <w:r>
        <w:t xml:space="preserve">caught </w:t>
      </w:r>
      <w:r w:rsidRPr="00524560">
        <w:t>in the snow crab fishery</w:t>
      </w:r>
      <w:r>
        <w:t>,</w:t>
      </w:r>
      <w:r w:rsidRPr="00524560">
        <w:t xml:space="preserve"> for all model scenarios.</w:t>
      </w:r>
      <w:bookmarkEnd w:id="103"/>
    </w:p>
    <w:p w14:paraId="7E6E8664" w14:textId="77777777" w:rsidR="00CB27AF" w:rsidRPr="006528AB" w:rsidRDefault="00CB27AF" w:rsidP="00B5252E">
      <w:pPr>
        <w:pStyle w:val="NoSpacing"/>
        <w:rPr>
          <w:highlight w:val="yellow"/>
        </w:rPr>
      </w:pPr>
      <w:r w:rsidRPr="00524560">
        <w:rPr>
          <w:noProof/>
        </w:rPr>
        <w:drawing>
          <wp:inline distT="0" distB="0" distL="0" distR="0" wp14:anchorId="5D4B1230" wp14:editId="2405AD8E">
            <wp:extent cx="5943600" cy="504698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email">
                      <a:extLst>
                        <a:ext uri="{28A0092B-C50C-407E-A947-70E740481C1C}">
                          <a14:useLocalDpi xmlns:a14="http://schemas.microsoft.com/office/drawing/2010/main"/>
                        </a:ext>
                      </a:extLst>
                    </a:blip>
                    <a:stretch>
                      <a:fillRect/>
                    </a:stretch>
                  </pic:blipFill>
                  <pic:spPr>
                    <a:xfrm>
                      <a:off x="0" y="0"/>
                      <a:ext cx="5943600" cy="5046980"/>
                    </a:xfrm>
                    <a:prstGeom prst="rect">
                      <a:avLst/>
                    </a:prstGeom>
                  </pic:spPr>
                </pic:pic>
              </a:graphicData>
            </a:graphic>
          </wp:inline>
        </w:drawing>
      </w:r>
    </w:p>
    <w:p w14:paraId="7126ADAD" w14:textId="77777777" w:rsidR="00CB27AF" w:rsidRPr="006528AB" w:rsidRDefault="00CB27AF" w:rsidP="00B5252E">
      <w:pPr>
        <w:spacing w:after="200" w:line="276" w:lineRule="auto"/>
        <w:rPr>
          <w:highlight w:val="yellow"/>
        </w:rPr>
      </w:pPr>
      <w:r w:rsidRPr="006528AB">
        <w:rPr>
          <w:highlight w:val="yellow"/>
        </w:rPr>
        <w:br w:type="page"/>
      </w:r>
    </w:p>
    <w:p w14:paraId="73E1AFB8" w14:textId="77777777" w:rsidR="00CB27AF" w:rsidRPr="00524560" w:rsidRDefault="00CB27AF" w:rsidP="00CD1496">
      <w:pPr>
        <w:pStyle w:val="TableCaption"/>
      </w:pPr>
      <w:bookmarkStart w:id="104" w:name="_Toc50392525"/>
      <w:r w:rsidRPr="00524560">
        <w:lastRenderedPageBreak/>
        <w:t xml:space="preserve">Table </w:t>
      </w:r>
      <w:r w:rsidRPr="00524560">
        <w:rPr>
          <w:noProof/>
        </w:rPr>
        <w:fldChar w:fldCharType="begin"/>
      </w:r>
      <w:r w:rsidRPr="00524560">
        <w:rPr>
          <w:noProof/>
        </w:rPr>
        <w:instrText xml:space="preserve"> SEQ Table \* ARABIC </w:instrText>
      </w:r>
      <w:r w:rsidRPr="00524560">
        <w:rPr>
          <w:noProof/>
        </w:rPr>
        <w:fldChar w:fldCharType="separate"/>
      </w:r>
      <w:r>
        <w:rPr>
          <w:noProof/>
        </w:rPr>
        <w:t>22</w:t>
      </w:r>
      <w:r w:rsidRPr="00524560">
        <w:rPr>
          <w:noProof/>
        </w:rPr>
        <w:fldChar w:fldCharType="end"/>
      </w:r>
      <w:r w:rsidRPr="00524560">
        <w:t xml:space="preserve">. Annual (1992+) ln-scale capture rate </w:t>
      </w:r>
      <w:proofErr w:type="spellStart"/>
      <w:r w:rsidRPr="00524560">
        <w:t>devs</w:t>
      </w:r>
      <w:proofErr w:type="spellEnd"/>
      <w:r w:rsidRPr="00524560">
        <w:t xml:space="preserve"> for males </w:t>
      </w:r>
      <w:r>
        <w:t xml:space="preserve">caught </w:t>
      </w:r>
      <w:r w:rsidRPr="00524560">
        <w:t>in the BBRKC fishery</w:t>
      </w:r>
      <w:r>
        <w:t>,</w:t>
      </w:r>
      <w:r w:rsidRPr="00524560">
        <w:t xml:space="preserve"> for all model scenarios. Devs indexing skips years where the fishery was closed.</w:t>
      </w:r>
      <w:bookmarkEnd w:id="104"/>
    </w:p>
    <w:p w14:paraId="341F1902" w14:textId="77777777" w:rsidR="00CB27AF" w:rsidRPr="006528AB" w:rsidRDefault="00CB27AF" w:rsidP="000070F3">
      <w:pPr>
        <w:spacing w:after="200" w:line="276" w:lineRule="auto"/>
        <w:rPr>
          <w:highlight w:val="yellow"/>
        </w:rPr>
      </w:pPr>
      <w:r w:rsidRPr="00524560">
        <w:rPr>
          <w:noProof/>
        </w:rPr>
        <w:drawing>
          <wp:inline distT="0" distB="0" distL="0" distR="0" wp14:anchorId="08DFEC91" wp14:editId="11833133">
            <wp:extent cx="5943600" cy="471297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5943600" cy="4712970"/>
                    </a:xfrm>
                    <a:prstGeom prst="rect">
                      <a:avLst/>
                    </a:prstGeom>
                  </pic:spPr>
                </pic:pic>
              </a:graphicData>
            </a:graphic>
          </wp:inline>
        </w:drawing>
      </w:r>
    </w:p>
    <w:p w14:paraId="280F429C" w14:textId="77777777" w:rsidR="00CB27AF" w:rsidRPr="006528AB" w:rsidRDefault="00CB27AF" w:rsidP="000070F3">
      <w:pPr>
        <w:spacing w:after="200" w:line="276" w:lineRule="auto"/>
        <w:rPr>
          <w:highlight w:val="yellow"/>
        </w:rPr>
      </w:pPr>
      <w:r w:rsidRPr="006528AB">
        <w:rPr>
          <w:highlight w:val="yellow"/>
        </w:rPr>
        <w:t xml:space="preserve"> </w:t>
      </w:r>
      <w:r w:rsidRPr="006528AB">
        <w:rPr>
          <w:highlight w:val="yellow"/>
        </w:rPr>
        <w:br w:type="page"/>
      </w:r>
    </w:p>
    <w:p w14:paraId="6C7B2F30" w14:textId="77777777" w:rsidR="00CB27AF" w:rsidRPr="006842CB" w:rsidRDefault="00CB27AF" w:rsidP="00622A30">
      <w:pPr>
        <w:pStyle w:val="TableCaption"/>
      </w:pPr>
      <w:bookmarkStart w:id="105" w:name="_Toc50392526"/>
      <w:r w:rsidRPr="006842CB">
        <w:lastRenderedPageBreak/>
        <w:t xml:space="preserve">Table </w:t>
      </w:r>
      <w:r w:rsidRPr="006842CB">
        <w:rPr>
          <w:noProof/>
        </w:rPr>
        <w:fldChar w:fldCharType="begin"/>
      </w:r>
      <w:r w:rsidRPr="006842CB">
        <w:rPr>
          <w:noProof/>
        </w:rPr>
        <w:instrText xml:space="preserve"> SEQ Table \* ARABIC </w:instrText>
      </w:r>
      <w:r w:rsidRPr="006842CB">
        <w:rPr>
          <w:noProof/>
        </w:rPr>
        <w:fldChar w:fldCharType="separate"/>
      </w:r>
      <w:r>
        <w:rPr>
          <w:noProof/>
        </w:rPr>
        <w:t>23</w:t>
      </w:r>
      <w:r w:rsidRPr="006842CB">
        <w:rPr>
          <w:noProof/>
        </w:rPr>
        <w:fldChar w:fldCharType="end"/>
      </w:r>
      <w:r w:rsidRPr="006842CB">
        <w:t xml:space="preserve">. Annual (1973+) ln-scale capture rate </w:t>
      </w:r>
      <w:proofErr w:type="spellStart"/>
      <w:r w:rsidRPr="006842CB">
        <w:t>devs</w:t>
      </w:r>
      <w:proofErr w:type="spellEnd"/>
      <w:r w:rsidRPr="006842CB">
        <w:t xml:space="preserve"> for males caught in the groundfish fisheries, for all model scenarios.</w:t>
      </w:r>
      <w:bookmarkEnd w:id="105"/>
    </w:p>
    <w:p w14:paraId="4CCE4072" w14:textId="77777777" w:rsidR="00CB27AF" w:rsidRPr="006528AB" w:rsidRDefault="00CB27AF" w:rsidP="00632593">
      <w:pPr>
        <w:pStyle w:val="NoSpacing"/>
        <w:rPr>
          <w:highlight w:val="yellow"/>
        </w:rPr>
      </w:pPr>
      <w:r w:rsidRPr="00524560">
        <w:rPr>
          <w:noProof/>
        </w:rPr>
        <w:drawing>
          <wp:inline distT="0" distB="0" distL="0" distR="0" wp14:anchorId="71031FAE" wp14:editId="1FE35238">
            <wp:extent cx="5294376" cy="7315200"/>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5294376" cy="7315200"/>
                    </a:xfrm>
                    <a:prstGeom prst="rect">
                      <a:avLst/>
                    </a:prstGeom>
                  </pic:spPr>
                </pic:pic>
              </a:graphicData>
            </a:graphic>
          </wp:inline>
        </w:drawing>
      </w:r>
    </w:p>
    <w:p w14:paraId="1F8B2092" w14:textId="77777777" w:rsidR="00CB27AF" w:rsidRDefault="00CB27AF">
      <w:pPr>
        <w:spacing w:after="200" w:line="276" w:lineRule="auto"/>
        <w:rPr>
          <w:highlight w:val="yellow"/>
        </w:rPr>
        <w:sectPr w:rsidR="00CB27AF" w:rsidSect="003609B4">
          <w:pgSz w:w="12240" w:h="15840"/>
          <w:pgMar w:top="1440" w:right="1440" w:bottom="1440" w:left="1440" w:header="720" w:footer="720" w:gutter="0"/>
          <w:cols w:space="720"/>
          <w:docGrid w:linePitch="360"/>
        </w:sectPr>
      </w:pPr>
      <w:r w:rsidRPr="006528AB">
        <w:rPr>
          <w:highlight w:val="yellow"/>
        </w:rPr>
        <w:br w:type="page"/>
      </w:r>
    </w:p>
    <w:p w14:paraId="376D3BA2" w14:textId="77777777" w:rsidR="00CB27AF" w:rsidRPr="00D118DF" w:rsidRDefault="00CB27AF" w:rsidP="000708D4">
      <w:pPr>
        <w:pStyle w:val="TableCaption"/>
      </w:pPr>
      <w:bookmarkStart w:id="106" w:name="_Toc50392527"/>
      <w:r w:rsidRPr="00D118DF">
        <w:lastRenderedPageBreak/>
        <w:t xml:space="preserve">Table </w:t>
      </w:r>
      <w:r w:rsidRPr="00D118DF">
        <w:rPr>
          <w:noProof/>
        </w:rPr>
        <w:fldChar w:fldCharType="begin"/>
      </w:r>
      <w:r w:rsidRPr="00D118DF">
        <w:rPr>
          <w:noProof/>
        </w:rPr>
        <w:instrText xml:space="preserve"> SEQ Table \* ARABIC </w:instrText>
      </w:r>
      <w:r w:rsidRPr="00D118DF">
        <w:rPr>
          <w:noProof/>
        </w:rPr>
        <w:fldChar w:fldCharType="separate"/>
      </w:r>
      <w:r>
        <w:rPr>
          <w:noProof/>
        </w:rPr>
        <w:t>24</w:t>
      </w:r>
      <w:r w:rsidRPr="00D118DF">
        <w:rPr>
          <w:noProof/>
        </w:rPr>
        <w:fldChar w:fldCharType="end"/>
      </w:r>
      <w:r w:rsidRPr="00D118DF">
        <w:t xml:space="preserve">. Objective function values for all data components from the model scenarios. TCF: directed Tanner crab fishery (RC: retained catch; TC: total catch); SCF: snow crab fishery; RKF: BBRKC fishery; GF All: groundfish fisheries. </w:t>
      </w:r>
      <w:proofErr w:type="spellStart"/>
      <w:r w:rsidRPr="00D118DF">
        <w:t>n.at.z</w:t>
      </w:r>
      <w:proofErr w:type="spellEnd"/>
      <w:r w:rsidRPr="00D118DF">
        <w:t>: size compositions. Highlighted cells indicate best fits by &gt; 5 likelihood units between Scenarios 19.03(2020) and 20.07.</w:t>
      </w:r>
      <w:bookmarkEnd w:id="106"/>
    </w:p>
    <w:p w14:paraId="74959156" w14:textId="77777777" w:rsidR="00CB27AF" w:rsidRDefault="00CB27AF" w:rsidP="000708D4">
      <w:pPr>
        <w:pStyle w:val="TableCaption"/>
        <w:jc w:val="center"/>
        <w:rPr>
          <w:highlight w:val="yellow"/>
        </w:rPr>
      </w:pPr>
      <w:r w:rsidRPr="00C417B8">
        <w:rPr>
          <w:noProof/>
        </w:rPr>
        <w:drawing>
          <wp:inline distT="0" distB="0" distL="0" distR="0" wp14:anchorId="6ED5F97F" wp14:editId="21D15E19">
            <wp:extent cx="5486400" cy="5257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5486400" cy="5257800"/>
                    </a:xfrm>
                    <a:prstGeom prst="rect">
                      <a:avLst/>
                    </a:prstGeom>
                  </pic:spPr>
                </pic:pic>
              </a:graphicData>
            </a:graphic>
          </wp:inline>
        </w:drawing>
      </w:r>
    </w:p>
    <w:p w14:paraId="28F58821" w14:textId="77777777" w:rsidR="00CB27AF" w:rsidRDefault="00CB27AF">
      <w:pPr>
        <w:spacing w:after="200" w:line="276" w:lineRule="auto"/>
        <w:rPr>
          <w:highlight w:val="yellow"/>
        </w:rPr>
      </w:pPr>
      <w:r>
        <w:rPr>
          <w:highlight w:val="yellow"/>
        </w:rPr>
        <w:br w:type="page"/>
      </w:r>
    </w:p>
    <w:p w14:paraId="6E742570" w14:textId="77777777" w:rsidR="00CB27AF" w:rsidRPr="00D118DF" w:rsidRDefault="00CB27AF" w:rsidP="009B37B0">
      <w:pPr>
        <w:pStyle w:val="TableCaption"/>
      </w:pPr>
      <w:bookmarkStart w:id="107" w:name="_Toc50392528"/>
      <w:r w:rsidRPr="00D118DF">
        <w:lastRenderedPageBreak/>
        <w:t xml:space="preserve">Table </w:t>
      </w:r>
      <w:r w:rsidRPr="00D118DF">
        <w:rPr>
          <w:noProof/>
        </w:rPr>
        <w:fldChar w:fldCharType="begin"/>
      </w:r>
      <w:r w:rsidRPr="00D118DF">
        <w:rPr>
          <w:noProof/>
        </w:rPr>
        <w:instrText xml:space="preserve"> SEQ Table \* ARABIC </w:instrText>
      </w:r>
      <w:r w:rsidRPr="00D118DF">
        <w:rPr>
          <w:noProof/>
        </w:rPr>
        <w:fldChar w:fldCharType="separate"/>
      </w:r>
      <w:r>
        <w:rPr>
          <w:noProof/>
        </w:rPr>
        <w:t>25</w:t>
      </w:r>
      <w:r w:rsidRPr="00D118DF">
        <w:rPr>
          <w:noProof/>
        </w:rPr>
        <w:fldChar w:fldCharType="end"/>
      </w:r>
      <w:r w:rsidRPr="00D118DF">
        <w:t xml:space="preserve">. Objective function values for all </w:t>
      </w:r>
      <w:r>
        <w:t>non-</w:t>
      </w:r>
      <w:r w:rsidRPr="00D118DF">
        <w:t>data components from the model scenarios.</w:t>
      </w:r>
      <w:bookmarkEnd w:id="107"/>
    </w:p>
    <w:p w14:paraId="78CD3684" w14:textId="77777777" w:rsidR="00CB27AF" w:rsidRPr="006528AB" w:rsidRDefault="00CB27AF" w:rsidP="000708D4">
      <w:pPr>
        <w:pStyle w:val="TableCaption"/>
        <w:jc w:val="center"/>
        <w:rPr>
          <w:highlight w:val="yellow"/>
        </w:rPr>
      </w:pPr>
      <w:r w:rsidRPr="009B37B0">
        <w:rPr>
          <w:noProof/>
        </w:rPr>
        <w:drawing>
          <wp:inline distT="0" distB="0" distL="0" distR="0" wp14:anchorId="78139A5A" wp14:editId="23157485">
            <wp:extent cx="5943600" cy="16738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5943600" cy="1673860"/>
                    </a:xfrm>
                    <a:prstGeom prst="rect">
                      <a:avLst/>
                    </a:prstGeom>
                  </pic:spPr>
                </pic:pic>
              </a:graphicData>
            </a:graphic>
          </wp:inline>
        </w:drawing>
      </w:r>
    </w:p>
    <w:p w14:paraId="73B15777" w14:textId="77777777" w:rsidR="00CB27AF" w:rsidRPr="006528AB" w:rsidRDefault="00CB27AF" w:rsidP="00D118DF">
      <w:pPr>
        <w:spacing w:after="200" w:line="276" w:lineRule="auto"/>
        <w:rPr>
          <w:highlight w:val="yellow"/>
        </w:rPr>
      </w:pPr>
      <w:r w:rsidRPr="006528AB">
        <w:rPr>
          <w:highlight w:val="yellow"/>
        </w:rPr>
        <w:br w:type="page"/>
      </w:r>
      <w:bookmarkStart w:id="108" w:name="_Toc429115790"/>
      <w:bookmarkStart w:id="109" w:name="_Toc429117970"/>
      <w:bookmarkStart w:id="110" w:name="_Toc429307588"/>
      <w:bookmarkStart w:id="111" w:name="_Toc50392529"/>
      <w:r w:rsidRPr="00D118DF">
        <w:lastRenderedPageBreak/>
        <w:t xml:space="preserve">Table </w:t>
      </w:r>
      <w:r w:rsidRPr="00D118DF">
        <w:rPr>
          <w:noProof/>
        </w:rPr>
        <w:fldChar w:fldCharType="begin"/>
      </w:r>
      <w:r w:rsidRPr="00D118DF">
        <w:rPr>
          <w:noProof/>
        </w:rPr>
        <w:instrText xml:space="preserve"> SEQ Table \* ARABIC </w:instrText>
      </w:r>
      <w:r w:rsidRPr="00D118DF">
        <w:rPr>
          <w:noProof/>
        </w:rPr>
        <w:fldChar w:fldCharType="separate"/>
      </w:r>
      <w:r>
        <w:rPr>
          <w:noProof/>
        </w:rPr>
        <w:t>26</w:t>
      </w:r>
      <w:r w:rsidRPr="00D118DF">
        <w:rPr>
          <w:noProof/>
        </w:rPr>
        <w:fldChar w:fldCharType="end"/>
      </w:r>
      <w:r w:rsidRPr="00D118DF">
        <w:t xml:space="preserve">. </w:t>
      </w:r>
      <w:bookmarkEnd w:id="108"/>
      <w:bookmarkEnd w:id="109"/>
      <w:bookmarkEnd w:id="110"/>
      <w:r w:rsidRPr="00D118DF">
        <w:t>Root mean square errors (RMSE) for data components from the model scenarios. TCF: directed Tanner crab fishery (RC: retained catch; TC: total catch); SCF: snow crab fishery; RKF: BBRKC fishery; GF</w:t>
      </w:r>
      <w:r>
        <w:t xml:space="preserve"> All</w:t>
      </w:r>
      <w:r w:rsidRPr="00D118DF">
        <w:t>: groundfish fisheries. Abundance values were not included the model fits. Highlighted values indicate smallest RMSE between Scenarios 19.03(2020) and 20.07.</w:t>
      </w:r>
      <w:bookmarkEnd w:id="111"/>
    </w:p>
    <w:p w14:paraId="7575779F" w14:textId="77777777" w:rsidR="00CB27AF" w:rsidRPr="006528AB" w:rsidRDefault="00CB27AF" w:rsidP="00026742">
      <w:pPr>
        <w:pStyle w:val="TableCaption"/>
        <w:jc w:val="center"/>
        <w:rPr>
          <w:highlight w:val="yellow"/>
        </w:rPr>
      </w:pPr>
      <w:r w:rsidRPr="00D118DF">
        <w:rPr>
          <w:noProof/>
        </w:rPr>
        <w:drawing>
          <wp:inline distT="0" distB="0" distL="0" distR="0" wp14:anchorId="0923D5AE" wp14:editId="3EC93300">
            <wp:extent cx="5943600" cy="57384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5943600" cy="5738495"/>
                    </a:xfrm>
                    <a:prstGeom prst="rect">
                      <a:avLst/>
                    </a:prstGeom>
                  </pic:spPr>
                </pic:pic>
              </a:graphicData>
            </a:graphic>
          </wp:inline>
        </w:drawing>
      </w:r>
    </w:p>
    <w:p w14:paraId="367B17A8" w14:textId="77777777" w:rsidR="00CB27AF" w:rsidRPr="006528AB" w:rsidRDefault="00CB27AF" w:rsidP="00026742">
      <w:pPr>
        <w:spacing w:after="200" w:line="276" w:lineRule="auto"/>
        <w:rPr>
          <w:highlight w:val="yellow"/>
        </w:rPr>
      </w:pPr>
      <w:r w:rsidRPr="006528AB">
        <w:rPr>
          <w:highlight w:val="yellow"/>
        </w:rPr>
        <w:br w:type="page"/>
      </w:r>
    </w:p>
    <w:p w14:paraId="2B475C7A" w14:textId="77777777" w:rsidR="00CB27AF" w:rsidRPr="00465346" w:rsidRDefault="00CB27AF" w:rsidP="005762F8">
      <w:pPr>
        <w:pStyle w:val="NoSpacing"/>
        <w:rPr>
          <w:b/>
        </w:rPr>
      </w:pPr>
      <w:bookmarkStart w:id="112" w:name="_Toc50392530"/>
      <w:r w:rsidRPr="00465346">
        <w:lastRenderedPageBreak/>
        <w:t xml:space="preserve">Table </w:t>
      </w:r>
      <w:r w:rsidRPr="00465346">
        <w:rPr>
          <w:noProof/>
        </w:rPr>
        <w:fldChar w:fldCharType="begin"/>
      </w:r>
      <w:r w:rsidRPr="00465346">
        <w:rPr>
          <w:noProof/>
        </w:rPr>
        <w:instrText xml:space="preserve"> SEQ Table \* ARABIC </w:instrText>
      </w:r>
      <w:r w:rsidRPr="00465346">
        <w:rPr>
          <w:noProof/>
        </w:rPr>
        <w:fldChar w:fldCharType="separate"/>
      </w:r>
      <w:r>
        <w:rPr>
          <w:noProof/>
        </w:rPr>
        <w:t>27</w:t>
      </w:r>
      <w:r w:rsidRPr="00465346">
        <w:rPr>
          <w:noProof/>
        </w:rPr>
        <w:fldChar w:fldCharType="end"/>
      </w:r>
      <w:r w:rsidRPr="00465346">
        <w:t xml:space="preserve">. </w:t>
      </w:r>
      <w:r>
        <w:t>Geometric means of e</w:t>
      </w:r>
      <w:r w:rsidRPr="00465346">
        <w:t>ffective sample sizes used for size composition data. Effective sample sizes were estimated using the McAllister-Ianelli approach.</w:t>
      </w:r>
      <w:r>
        <w:t xml:space="preserve"> </w:t>
      </w:r>
      <w:r w:rsidRPr="00D118DF">
        <w:t>TCF: directed Tanner crab fishery (RC: retained catch; TC: total catch); SCF: snow crab fishery; RKF: BBRKC fishery; GF</w:t>
      </w:r>
      <w:r>
        <w:t xml:space="preserve"> All</w:t>
      </w:r>
      <w:r w:rsidRPr="00D118DF">
        <w:t>: groundfish fisheries.</w:t>
      </w:r>
      <w:r>
        <w:t xml:space="preserve"> Highlighted cells indicate “best” value between Scenarios 19.03(2020) and 20.07.</w:t>
      </w:r>
      <w:bookmarkEnd w:id="112"/>
    </w:p>
    <w:p w14:paraId="6BB382FE" w14:textId="77777777" w:rsidR="00CB27AF" w:rsidRPr="006528AB" w:rsidRDefault="00CB27AF" w:rsidP="00355FB0">
      <w:pPr>
        <w:pStyle w:val="NoSpacing"/>
        <w:jc w:val="center"/>
        <w:rPr>
          <w:highlight w:val="yellow"/>
        </w:rPr>
      </w:pPr>
      <w:r w:rsidRPr="00465346">
        <w:rPr>
          <w:noProof/>
        </w:rPr>
        <w:drawing>
          <wp:inline distT="0" distB="0" distL="0" distR="0" wp14:anchorId="47B66915" wp14:editId="3BEA1B8D">
            <wp:extent cx="5791200" cy="3086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email">
                      <a:extLst>
                        <a:ext uri="{28A0092B-C50C-407E-A947-70E740481C1C}">
                          <a14:useLocalDpi xmlns:a14="http://schemas.microsoft.com/office/drawing/2010/main"/>
                        </a:ext>
                      </a:extLst>
                    </a:blip>
                    <a:stretch>
                      <a:fillRect/>
                    </a:stretch>
                  </pic:blipFill>
                  <pic:spPr>
                    <a:xfrm>
                      <a:off x="0" y="0"/>
                      <a:ext cx="5791200" cy="3086100"/>
                    </a:xfrm>
                    <a:prstGeom prst="rect">
                      <a:avLst/>
                    </a:prstGeom>
                  </pic:spPr>
                </pic:pic>
              </a:graphicData>
            </a:graphic>
          </wp:inline>
        </w:drawing>
      </w:r>
    </w:p>
    <w:p w14:paraId="60B53FD6" w14:textId="77777777" w:rsidR="00CB27AF" w:rsidRPr="006528AB" w:rsidRDefault="00CB27AF" w:rsidP="0035350E">
      <w:pPr>
        <w:pStyle w:val="TableCaption"/>
        <w:rPr>
          <w:highlight w:val="yellow"/>
        </w:rPr>
      </w:pPr>
      <w:r w:rsidRPr="006528AB">
        <w:rPr>
          <w:highlight w:val="yellow"/>
        </w:rPr>
        <w:br w:type="page"/>
      </w:r>
    </w:p>
    <w:p w14:paraId="245ECE6F" w14:textId="77777777" w:rsidR="00CB27AF" w:rsidRDefault="00CB27AF" w:rsidP="007E0C1C">
      <w:pPr>
        <w:pStyle w:val="TableCaption"/>
      </w:pPr>
      <w:bookmarkStart w:id="113" w:name="_Toc50392531"/>
      <w:r w:rsidRPr="00222162">
        <w:lastRenderedPageBreak/>
        <w:t xml:space="preserve">Table </w:t>
      </w:r>
      <w:r w:rsidRPr="00222162">
        <w:rPr>
          <w:noProof/>
        </w:rPr>
        <w:fldChar w:fldCharType="begin"/>
      </w:r>
      <w:r w:rsidRPr="00222162">
        <w:rPr>
          <w:noProof/>
        </w:rPr>
        <w:instrText xml:space="preserve"> SEQ Table \* ARABIC </w:instrText>
      </w:r>
      <w:r w:rsidRPr="00222162">
        <w:rPr>
          <w:noProof/>
        </w:rPr>
        <w:fldChar w:fldCharType="separate"/>
      </w:r>
      <w:r>
        <w:rPr>
          <w:noProof/>
        </w:rPr>
        <w:t>28</w:t>
      </w:r>
      <w:r w:rsidRPr="00222162">
        <w:rPr>
          <w:noProof/>
        </w:rPr>
        <w:fldChar w:fldCharType="end"/>
      </w:r>
      <w:r w:rsidRPr="00222162">
        <w:t xml:space="preserve">. Comparison of </w:t>
      </w:r>
      <w:r>
        <w:t>observed and predicted</w:t>
      </w:r>
      <w:r w:rsidRPr="00222162">
        <w:t xml:space="preserve"> </w:t>
      </w:r>
      <w:r>
        <w:t>(total) male survey biomass</w:t>
      </w:r>
      <w:r w:rsidRPr="00222162">
        <w:t xml:space="preserve"> (in 1000’s t)</w:t>
      </w:r>
      <w:r>
        <w:t xml:space="preserve"> </w:t>
      </w:r>
      <w:r w:rsidRPr="00222162">
        <w:t>from the model scenarios.</w:t>
      </w:r>
      <w:bookmarkEnd w:id="113"/>
    </w:p>
    <w:p w14:paraId="64223C0F" w14:textId="77777777" w:rsidR="00CB27AF" w:rsidRDefault="00CB27AF" w:rsidP="00140CA5">
      <w:pPr>
        <w:pStyle w:val="TableCaption"/>
        <w:jc w:val="center"/>
      </w:pPr>
      <w:r w:rsidRPr="00140CA5">
        <w:rPr>
          <w:noProof/>
        </w:rPr>
        <w:drawing>
          <wp:inline distT="0" distB="0" distL="0" distR="0" wp14:anchorId="1F2FD0A8" wp14:editId="08648E1B">
            <wp:extent cx="3218688" cy="7315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email">
                      <a:extLst>
                        <a:ext uri="{28A0092B-C50C-407E-A947-70E740481C1C}">
                          <a14:useLocalDpi xmlns:a14="http://schemas.microsoft.com/office/drawing/2010/main"/>
                        </a:ext>
                      </a:extLst>
                    </a:blip>
                    <a:stretch>
                      <a:fillRect/>
                    </a:stretch>
                  </pic:blipFill>
                  <pic:spPr>
                    <a:xfrm>
                      <a:off x="0" y="0"/>
                      <a:ext cx="3218688" cy="7315200"/>
                    </a:xfrm>
                    <a:prstGeom prst="rect">
                      <a:avLst/>
                    </a:prstGeom>
                  </pic:spPr>
                </pic:pic>
              </a:graphicData>
            </a:graphic>
          </wp:inline>
        </w:drawing>
      </w:r>
    </w:p>
    <w:p w14:paraId="1066ED16" w14:textId="77777777" w:rsidR="00CB27AF" w:rsidRDefault="00CB27AF">
      <w:pPr>
        <w:spacing w:after="200" w:line="276" w:lineRule="auto"/>
      </w:pPr>
      <w:r>
        <w:br w:type="page"/>
      </w:r>
    </w:p>
    <w:p w14:paraId="57A20C1B" w14:textId="77777777" w:rsidR="00CB27AF" w:rsidRDefault="00CB27AF" w:rsidP="00140CA5">
      <w:pPr>
        <w:pStyle w:val="TableCaption"/>
      </w:pPr>
      <w:bookmarkStart w:id="114" w:name="_Toc50392532"/>
      <w:r w:rsidRPr="00222162">
        <w:lastRenderedPageBreak/>
        <w:t xml:space="preserve">Table </w:t>
      </w:r>
      <w:r w:rsidRPr="00222162">
        <w:rPr>
          <w:noProof/>
        </w:rPr>
        <w:fldChar w:fldCharType="begin"/>
      </w:r>
      <w:r w:rsidRPr="00222162">
        <w:rPr>
          <w:noProof/>
        </w:rPr>
        <w:instrText xml:space="preserve"> SEQ Table \* ARABIC </w:instrText>
      </w:r>
      <w:r w:rsidRPr="00222162">
        <w:rPr>
          <w:noProof/>
        </w:rPr>
        <w:fldChar w:fldCharType="separate"/>
      </w:r>
      <w:r>
        <w:rPr>
          <w:noProof/>
        </w:rPr>
        <w:t>29</w:t>
      </w:r>
      <w:r w:rsidRPr="00222162">
        <w:rPr>
          <w:noProof/>
        </w:rPr>
        <w:fldChar w:fldCharType="end"/>
      </w:r>
      <w:r w:rsidRPr="00222162">
        <w:t xml:space="preserve">. Comparison of </w:t>
      </w:r>
      <w:r>
        <w:t xml:space="preserve">observed and </w:t>
      </w:r>
      <w:r w:rsidRPr="00222162">
        <w:t>estimate</w:t>
      </w:r>
      <w:r>
        <w:t>d</w:t>
      </w:r>
      <w:r w:rsidRPr="00222162">
        <w:t xml:space="preserve"> </w:t>
      </w:r>
      <w:r>
        <w:t>mature female survey biomass</w:t>
      </w:r>
      <w:r w:rsidRPr="00222162">
        <w:t xml:space="preserve"> (in 1000’s t)</w:t>
      </w:r>
      <w:r>
        <w:t xml:space="preserve"> </w:t>
      </w:r>
      <w:r w:rsidRPr="00222162">
        <w:t>from the model scenarios.</w:t>
      </w:r>
      <w:bookmarkEnd w:id="114"/>
    </w:p>
    <w:p w14:paraId="7EB73A9A" w14:textId="77777777" w:rsidR="00CB27AF" w:rsidRDefault="00CB27AF" w:rsidP="00140CA5">
      <w:pPr>
        <w:spacing w:after="200" w:line="276" w:lineRule="auto"/>
        <w:jc w:val="center"/>
      </w:pPr>
      <w:r w:rsidRPr="00140CA5">
        <w:rPr>
          <w:noProof/>
        </w:rPr>
        <w:drawing>
          <wp:inline distT="0" distB="0" distL="0" distR="0" wp14:anchorId="14AC69D1" wp14:editId="35643FC2">
            <wp:extent cx="3218688" cy="7315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email">
                      <a:extLst>
                        <a:ext uri="{28A0092B-C50C-407E-A947-70E740481C1C}">
                          <a14:useLocalDpi xmlns:a14="http://schemas.microsoft.com/office/drawing/2010/main"/>
                        </a:ext>
                      </a:extLst>
                    </a:blip>
                    <a:stretch>
                      <a:fillRect/>
                    </a:stretch>
                  </pic:blipFill>
                  <pic:spPr>
                    <a:xfrm>
                      <a:off x="0" y="0"/>
                      <a:ext cx="3218688" cy="7315200"/>
                    </a:xfrm>
                    <a:prstGeom prst="rect">
                      <a:avLst/>
                    </a:prstGeom>
                  </pic:spPr>
                </pic:pic>
              </a:graphicData>
            </a:graphic>
          </wp:inline>
        </w:drawing>
      </w:r>
    </w:p>
    <w:p w14:paraId="56501B22" w14:textId="77777777" w:rsidR="00CB27AF" w:rsidRDefault="00CB27AF">
      <w:pPr>
        <w:spacing w:after="200" w:line="276" w:lineRule="auto"/>
      </w:pPr>
      <w:r>
        <w:br w:type="page"/>
      </w:r>
    </w:p>
    <w:p w14:paraId="5A2DC47C" w14:textId="77777777" w:rsidR="00CB27AF" w:rsidRPr="00222162" w:rsidRDefault="00CB27AF" w:rsidP="00A54374">
      <w:pPr>
        <w:pStyle w:val="TableCaption"/>
      </w:pPr>
      <w:bookmarkStart w:id="115" w:name="_Toc50392533"/>
      <w:r w:rsidRPr="00222162">
        <w:lastRenderedPageBreak/>
        <w:t xml:space="preserve">Table </w:t>
      </w:r>
      <w:r w:rsidRPr="00222162">
        <w:rPr>
          <w:noProof/>
        </w:rPr>
        <w:fldChar w:fldCharType="begin"/>
      </w:r>
      <w:r w:rsidRPr="00222162">
        <w:rPr>
          <w:noProof/>
        </w:rPr>
        <w:instrText xml:space="preserve"> SEQ Table \* ARABIC </w:instrText>
      </w:r>
      <w:r w:rsidRPr="00222162">
        <w:rPr>
          <w:noProof/>
        </w:rPr>
        <w:fldChar w:fldCharType="separate"/>
      </w:r>
      <w:r>
        <w:rPr>
          <w:noProof/>
        </w:rPr>
        <w:t>30</w:t>
      </w:r>
      <w:r w:rsidRPr="00222162">
        <w:rPr>
          <w:noProof/>
        </w:rPr>
        <w:fldChar w:fldCharType="end"/>
      </w:r>
      <w:r w:rsidRPr="00222162">
        <w:t>. Comparison of estimates of mature male biomass-at-mating by sex (in 1000’s t)</w:t>
      </w:r>
      <w:r>
        <w:t xml:space="preserve"> </w:t>
      </w:r>
      <w:r w:rsidRPr="00222162">
        <w:t>from the model scenarios.</w:t>
      </w:r>
      <w:bookmarkEnd w:id="115"/>
    </w:p>
    <w:p w14:paraId="28D7C0C9" w14:textId="77777777" w:rsidR="00CB27AF" w:rsidRDefault="00CB27AF" w:rsidP="0046397D">
      <w:pPr>
        <w:spacing w:after="200" w:line="276" w:lineRule="auto"/>
        <w:jc w:val="center"/>
        <w:rPr>
          <w:highlight w:val="yellow"/>
        </w:rPr>
      </w:pPr>
      <w:bookmarkStart w:id="116" w:name="_Toc397874041"/>
      <w:bookmarkStart w:id="117" w:name="_Toc397874170"/>
      <w:bookmarkStart w:id="118" w:name="_Toc397922876"/>
      <w:bookmarkStart w:id="119" w:name="_Toc397931480"/>
      <w:bookmarkStart w:id="120" w:name="_Toc428863584"/>
      <w:bookmarkStart w:id="121" w:name="_Toc428946432"/>
      <w:bookmarkStart w:id="122" w:name="_Toc429115801"/>
      <w:bookmarkStart w:id="123" w:name="_Toc429117981"/>
      <w:bookmarkStart w:id="124" w:name="_Toc429307600"/>
      <w:r w:rsidRPr="00222162">
        <w:rPr>
          <w:noProof/>
        </w:rPr>
        <w:drawing>
          <wp:inline distT="0" distB="0" distL="0" distR="0" wp14:anchorId="61EEBE3B" wp14:editId="1F04C596">
            <wp:extent cx="5943600" cy="629539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email">
                      <a:extLst>
                        <a:ext uri="{28A0092B-C50C-407E-A947-70E740481C1C}">
                          <a14:useLocalDpi xmlns:a14="http://schemas.microsoft.com/office/drawing/2010/main"/>
                        </a:ext>
                      </a:extLst>
                    </a:blip>
                    <a:stretch>
                      <a:fillRect/>
                    </a:stretch>
                  </pic:blipFill>
                  <pic:spPr>
                    <a:xfrm>
                      <a:off x="0" y="0"/>
                      <a:ext cx="5943600" cy="6295390"/>
                    </a:xfrm>
                    <a:prstGeom prst="rect">
                      <a:avLst/>
                    </a:prstGeom>
                  </pic:spPr>
                </pic:pic>
              </a:graphicData>
            </a:graphic>
          </wp:inline>
        </w:drawing>
      </w:r>
    </w:p>
    <w:p w14:paraId="780B9C88" w14:textId="77777777" w:rsidR="00CB27AF" w:rsidRPr="00222162" w:rsidRDefault="00CB27AF" w:rsidP="00222162">
      <w:pPr>
        <w:pStyle w:val="TableCaption"/>
      </w:pPr>
      <w:bookmarkStart w:id="125" w:name="_Toc50392534"/>
      <w:r w:rsidRPr="00222162">
        <w:lastRenderedPageBreak/>
        <w:t xml:space="preserve">Table </w:t>
      </w:r>
      <w:r w:rsidRPr="00222162">
        <w:rPr>
          <w:noProof/>
        </w:rPr>
        <w:fldChar w:fldCharType="begin"/>
      </w:r>
      <w:r w:rsidRPr="00222162">
        <w:rPr>
          <w:noProof/>
        </w:rPr>
        <w:instrText xml:space="preserve"> SEQ Table \* ARABIC </w:instrText>
      </w:r>
      <w:r w:rsidRPr="00222162">
        <w:rPr>
          <w:noProof/>
        </w:rPr>
        <w:fldChar w:fldCharType="separate"/>
      </w:r>
      <w:r>
        <w:rPr>
          <w:noProof/>
        </w:rPr>
        <w:t>31</w:t>
      </w:r>
      <w:r w:rsidRPr="00222162">
        <w:rPr>
          <w:noProof/>
        </w:rPr>
        <w:fldChar w:fldCharType="end"/>
      </w:r>
      <w:r w:rsidRPr="00222162">
        <w:t xml:space="preserve">. Comparison of estimates of mature </w:t>
      </w:r>
      <w:r>
        <w:t>fe</w:t>
      </w:r>
      <w:r w:rsidRPr="00222162">
        <w:t>male biomass-at-mating by sex (in 1000’s t)</w:t>
      </w:r>
      <w:r>
        <w:t xml:space="preserve"> </w:t>
      </w:r>
      <w:r w:rsidRPr="00222162">
        <w:t>from the model scenarios.</w:t>
      </w:r>
      <w:bookmarkEnd w:id="125"/>
    </w:p>
    <w:p w14:paraId="7081127A" w14:textId="77777777" w:rsidR="00CB27AF" w:rsidRPr="006528AB" w:rsidRDefault="00CB27AF" w:rsidP="0046397D">
      <w:pPr>
        <w:spacing w:after="200" w:line="276" w:lineRule="auto"/>
        <w:jc w:val="center"/>
        <w:rPr>
          <w:highlight w:val="yellow"/>
        </w:rPr>
      </w:pPr>
      <w:r w:rsidRPr="004B0700">
        <w:rPr>
          <w:noProof/>
        </w:rPr>
        <w:drawing>
          <wp:inline distT="0" distB="0" distL="0" distR="0" wp14:anchorId="151CD167" wp14:editId="0D9A21F4">
            <wp:extent cx="5943600" cy="629539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5943600" cy="6295390"/>
                    </a:xfrm>
                    <a:prstGeom prst="rect">
                      <a:avLst/>
                    </a:prstGeom>
                  </pic:spPr>
                </pic:pic>
              </a:graphicData>
            </a:graphic>
          </wp:inline>
        </w:drawing>
      </w:r>
    </w:p>
    <w:p w14:paraId="22AEC2F1" w14:textId="77777777" w:rsidR="00CB27AF" w:rsidRPr="004B0700" w:rsidRDefault="00CB27AF" w:rsidP="007E0C1C">
      <w:pPr>
        <w:pStyle w:val="TableCaption"/>
      </w:pPr>
      <w:bookmarkStart w:id="126" w:name="_Toc50392535"/>
      <w:r w:rsidRPr="004B0700">
        <w:t xml:space="preserve">Table </w:t>
      </w:r>
      <w:r w:rsidRPr="004B0700">
        <w:rPr>
          <w:noProof/>
        </w:rPr>
        <w:fldChar w:fldCharType="begin"/>
      </w:r>
      <w:r w:rsidRPr="004B0700">
        <w:rPr>
          <w:noProof/>
        </w:rPr>
        <w:instrText xml:space="preserve"> SEQ Table \* ARABIC </w:instrText>
      </w:r>
      <w:r w:rsidRPr="004B0700">
        <w:rPr>
          <w:noProof/>
        </w:rPr>
        <w:fldChar w:fldCharType="separate"/>
      </w:r>
      <w:r>
        <w:rPr>
          <w:noProof/>
        </w:rPr>
        <w:t>32</w:t>
      </w:r>
      <w:r w:rsidRPr="004B0700">
        <w:rPr>
          <w:noProof/>
        </w:rPr>
        <w:fldChar w:fldCharType="end"/>
      </w:r>
      <w:r w:rsidRPr="004B0700">
        <w:t>. Estimated population size (millions) on July 1 of year. from the model scenarios 19.03(2020) and 20.07.</w:t>
      </w:r>
      <w:bookmarkEnd w:id="116"/>
      <w:bookmarkEnd w:id="117"/>
      <w:bookmarkEnd w:id="118"/>
      <w:bookmarkEnd w:id="119"/>
      <w:bookmarkEnd w:id="120"/>
      <w:bookmarkEnd w:id="121"/>
      <w:bookmarkEnd w:id="122"/>
      <w:bookmarkEnd w:id="123"/>
      <w:bookmarkEnd w:id="124"/>
      <w:bookmarkEnd w:id="126"/>
    </w:p>
    <w:p w14:paraId="25794B54" w14:textId="77777777" w:rsidR="00CB27AF" w:rsidRPr="006528AB" w:rsidRDefault="00CB27AF" w:rsidP="004B0700">
      <w:pPr>
        <w:spacing w:after="200" w:line="276" w:lineRule="auto"/>
        <w:rPr>
          <w:highlight w:val="yellow"/>
        </w:rPr>
      </w:pPr>
      <w:r w:rsidRPr="004B0700">
        <w:t>&lt;&lt;Table too large: available online in the zip file “TannerCrab.PopSizeStructure.csv.zip”.&gt;&gt;</w:t>
      </w:r>
    </w:p>
    <w:p w14:paraId="394B9CB3" w14:textId="77777777" w:rsidR="00CB27AF" w:rsidRPr="006528AB" w:rsidRDefault="00CB27AF">
      <w:pPr>
        <w:spacing w:after="200" w:line="276" w:lineRule="auto"/>
        <w:rPr>
          <w:highlight w:val="yellow"/>
        </w:rPr>
      </w:pPr>
      <w:r w:rsidRPr="006528AB">
        <w:rPr>
          <w:highlight w:val="yellow"/>
        </w:rPr>
        <w:br w:type="page"/>
      </w:r>
    </w:p>
    <w:p w14:paraId="24C747EF" w14:textId="77777777" w:rsidR="00CB27AF" w:rsidRPr="009B015E" w:rsidRDefault="00CB27AF" w:rsidP="007E0C1C">
      <w:pPr>
        <w:pStyle w:val="TableCaption"/>
      </w:pPr>
      <w:bookmarkStart w:id="127" w:name="_Toc50392536"/>
      <w:r w:rsidRPr="009B015E">
        <w:lastRenderedPageBreak/>
        <w:t xml:space="preserve">Table </w:t>
      </w:r>
      <w:r w:rsidRPr="009B015E">
        <w:rPr>
          <w:noProof/>
        </w:rPr>
        <w:fldChar w:fldCharType="begin"/>
      </w:r>
      <w:r w:rsidRPr="009B015E">
        <w:rPr>
          <w:noProof/>
        </w:rPr>
        <w:instrText xml:space="preserve"> SEQ Table \* ARABIC </w:instrText>
      </w:r>
      <w:r w:rsidRPr="009B015E">
        <w:rPr>
          <w:noProof/>
        </w:rPr>
        <w:fldChar w:fldCharType="separate"/>
      </w:r>
      <w:r>
        <w:rPr>
          <w:noProof/>
        </w:rPr>
        <w:t>33</w:t>
      </w:r>
      <w:r w:rsidRPr="009B015E">
        <w:rPr>
          <w:noProof/>
        </w:rPr>
        <w:fldChar w:fldCharType="end"/>
      </w:r>
      <w:r w:rsidRPr="009B015E">
        <w:t>. Comparison of estimates of recruitment (in millions) from the 2018 assessment model (M19F00) and the author’s preferred model (M19F03).</w:t>
      </w:r>
      <w:bookmarkEnd w:id="127"/>
    </w:p>
    <w:p w14:paraId="0C1F6B8D" w14:textId="77777777" w:rsidR="00CB27AF" w:rsidRPr="006528AB" w:rsidRDefault="00CB27AF" w:rsidP="0067381A">
      <w:pPr>
        <w:spacing w:after="200" w:line="276" w:lineRule="auto"/>
        <w:jc w:val="center"/>
        <w:rPr>
          <w:highlight w:val="yellow"/>
        </w:rPr>
      </w:pPr>
      <w:r w:rsidRPr="009B015E">
        <w:rPr>
          <w:noProof/>
        </w:rPr>
        <w:drawing>
          <wp:inline distT="0" distB="0" distL="0" distR="0" wp14:anchorId="6D1556B1" wp14:editId="66ABC853">
            <wp:extent cx="5943600" cy="629539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943600" cy="6295390"/>
                    </a:xfrm>
                    <a:prstGeom prst="rect">
                      <a:avLst/>
                    </a:prstGeom>
                  </pic:spPr>
                </pic:pic>
              </a:graphicData>
            </a:graphic>
          </wp:inline>
        </w:drawing>
      </w:r>
    </w:p>
    <w:p w14:paraId="2C6DBDE4" w14:textId="77777777" w:rsidR="00CB27AF" w:rsidRPr="006528AB" w:rsidRDefault="00CB27AF" w:rsidP="0067381A">
      <w:pPr>
        <w:spacing w:after="200" w:line="276" w:lineRule="auto"/>
        <w:rPr>
          <w:highlight w:val="yellow"/>
        </w:rPr>
      </w:pPr>
      <w:r w:rsidRPr="006528AB">
        <w:rPr>
          <w:highlight w:val="yellow"/>
        </w:rPr>
        <w:br w:type="page"/>
      </w:r>
    </w:p>
    <w:p w14:paraId="091A9A1D" w14:textId="77777777" w:rsidR="00CB27AF" w:rsidRPr="009B015E" w:rsidRDefault="00CB27AF" w:rsidP="007E0C1C">
      <w:pPr>
        <w:pStyle w:val="TableCaption"/>
      </w:pPr>
      <w:bookmarkStart w:id="128" w:name="_Toc50392537"/>
      <w:r w:rsidRPr="009B015E">
        <w:lastRenderedPageBreak/>
        <w:t xml:space="preserve">Table </w:t>
      </w:r>
      <w:r w:rsidRPr="009B015E">
        <w:rPr>
          <w:noProof/>
        </w:rPr>
        <w:fldChar w:fldCharType="begin"/>
      </w:r>
      <w:r w:rsidRPr="009B015E">
        <w:rPr>
          <w:noProof/>
        </w:rPr>
        <w:instrText xml:space="preserve"> SEQ Table \* ARABIC </w:instrText>
      </w:r>
      <w:r w:rsidRPr="009B015E">
        <w:rPr>
          <w:noProof/>
        </w:rPr>
        <w:fldChar w:fldCharType="separate"/>
      </w:r>
      <w:r>
        <w:rPr>
          <w:noProof/>
        </w:rPr>
        <w:t>34</w:t>
      </w:r>
      <w:r w:rsidRPr="009B015E">
        <w:rPr>
          <w:noProof/>
        </w:rPr>
        <w:fldChar w:fldCharType="end"/>
      </w:r>
      <w:r w:rsidRPr="009B015E">
        <w:t>. Comparison of exploitation rates (i.e., catch divided by biomass) from the 2018 assessment model (M19F00) and the author’s preferred model (M19F03).</w:t>
      </w:r>
      <w:bookmarkEnd w:id="128"/>
    </w:p>
    <w:p w14:paraId="5C970C8C" w14:textId="77777777" w:rsidR="00CB27AF" w:rsidRPr="006528AB" w:rsidRDefault="00CB27AF" w:rsidP="007E0C1C">
      <w:pPr>
        <w:spacing w:after="200" w:line="276" w:lineRule="auto"/>
        <w:jc w:val="center"/>
        <w:rPr>
          <w:highlight w:val="yellow"/>
        </w:rPr>
      </w:pPr>
      <w:r w:rsidRPr="009B015E">
        <w:rPr>
          <w:noProof/>
        </w:rPr>
        <w:drawing>
          <wp:inline distT="0" distB="0" distL="0" distR="0" wp14:anchorId="6730F416" wp14:editId="5C10EB53">
            <wp:extent cx="5943600" cy="629539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5943600" cy="6295390"/>
                    </a:xfrm>
                    <a:prstGeom prst="rect">
                      <a:avLst/>
                    </a:prstGeom>
                  </pic:spPr>
                </pic:pic>
              </a:graphicData>
            </a:graphic>
          </wp:inline>
        </w:drawing>
      </w:r>
      <w:r w:rsidRPr="006528AB">
        <w:rPr>
          <w:highlight w:val="yellow"/>
        </w:rPr>
        <w:br w:type="page"/>
      </w:r>
    </w:p>
    <w:p w14:paraId="29C931AD" w14:textId="63CA2C21" w:rsidR="00CB27AF" w:rsidRPr="0035350E" w:rsidRDefault="00CB27AF" w:rsidP="007349FF">
      <w:pPr>
        <w:pStyle w:val="Caption"/>
      </w:pPr>
      <w:bookmarkStart w:id="129" w:name="_Toc397874043"/>
      <w:bookmarkStart w:id="130" w:name="_Toc397874172"/>
      <w:bookmarkStart w:id="131" w:name="_Toc397922878"/>
      <w:bookmarkStart w:id="132" w:name="_Toc397931482"/>
      <w:bookmarkStart w:id="133" w:name="_Toc428863586"/>
      <w:bookmarkStart w:id="134" w:name="_Toc428946434"/>
      <w:bookmarkStart w:id="135" w:name="_Toc429115803"/>
      <w:bookmarkStart w:id="136" w:name="_Toc429117983"/>
      <w:bookmarkStart w:id="137" w:name="_Toc429307602"/>
      <w:bookmarkStart w:id="138" w:name="_Toc50392538"/>
      <w:r w:rsidRPr="0035350E">
        <w:lastRenderedPageBreak/>
        <w:t xml:space="preserve">Table </w:t>
      </w:r>
      <w:r w:rsidRPr="0035350E">
        <w:rPr>
          <w:noProof/>
        </w:rPr>
        <w:fldChar w:fldCharType="begin"/>
      </w:r>
      <w:r w:rsidRPr="0035350E">
        <w:rPr>
          <w:noProof/>
        </w:rPr>
        <w:instrText xml:space="preserve"> SEQ Table \* ARABIC </w:instrText>
      </w:r>
      <w:r w:rsidRPr="0035350E">
        <w:rPr>
          <w:noProof/>
        </w:rPr>
        <w:fldChar w:fldCharType="separate"/>
      </w:r>
      <w:r>
        <w:rPr>
          <w:noProof/>
        </w:rPr>
        <w:t>35</w:t>
      </w:r>
      <w:r w:rsidRPr="0035350E">
        <w:rPr>
          <w:noProof/>
        </w:rPr>
        <w:fldChar w:fldCharType="end"/>
      </w:r>
      <w:r w:rsidRPr="0035350E">
        <w:t xml:space="preserve">. Values </w:t>
      </w:r>
      <w:r>
        <w:t xml:space="preserve">based on MLE results </w:t>
      </w:r>
      <w:r w:rsidRPr="0035350E">
        <w:t>required to determine Tier level and OFL for the models considered here.</w:t>
      </w:r>
      <w:bookmarkEnd w:id="129"/>
      <w:bookmarkEnd w:id="130"/>
      <w:bookmarkEnd w:id="131"/>
      <w:bookmarkEnd w:id="132"/>
      <w:bookmarkEnd w:id="133"/>
      <w:bookmarkEnd w:id="134"/>
      <w:r w:rsidRPr="0035350E">
        <w:t xml:space="preserve"> These values are presented only to illustrate the effect of incremental changes in t</w:t>
      </w:r>
      <w:bookmarkEnd w:id="135"/>
      <w:bookmarkEnd w:id="136"/>
      <w:bookmarkEnd w:id="137"/>
      <w:r w:rsidRPr="0035350E">
        <w:t>he model scenarios.</w:t>
      </w:r>
      <w:bookmarkEnd w:id="138"/>
      <w:r w:rsidRPr="0035350E">
        <w:t xml:space="preserve"> </w:t>
      </w:r>
    </w:p>
    <w:p w14:paraId="26837305" w14:textId="77777777" w:rsidR="00CB27AF" w:rsidRPr="00346C40" w:rsidRDefault="00CB27AF" w:rsidP="00AC4899">
      <w:r w:rsidRPr="0035350E">
        <w:rPr>
          <w:noProof/>
        </w:rPr>
        <w:drawing>
          <wp:inline distT="0" distB="0" distL="0" distR="0" wp14:anchorId="1020A83F" wp14:editId="4FE32B3D">
            <wp:extent cx="5943600" cy="11220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email">
                      <a:extLst>
                        <a:ext uri="{28A0092B-C50C-407E-A947-70E740481C1C}">
                          <a14:useLocalDpi xmlns:a14="http://schemas.microsoft.com/office/drawing/2010/main"/>
                        </a:ext>
                      </a:extLst>
                    </a:blip>
                    <a:stretch>
                      <a:fillRect/>
                    </a:stretch>
                  </pic:blipFill>
                  <pic:spPr>
                    <a:xfrm>
                      <a:off x="0" y="0"/>
                      <a:ext cx="5943600" cy="1122045"/>
                    </a:xfrm>
                    <a:prstGeom prst="rect">
                      <a:avLst/>
                    </a:prstGeom>
                  </pic:spPr>
                </pic:pic>
              </a:graphicData>
            </a:graphic>
          </wp:inline>
        </w:drawing>
      </w:r>
    </w:p>
    <w:p w14:paraId="1BE050FF" w14:textId="5E0BD3F7" w:rsidR="00CB27AF" w:rsidRDefault="00CB27AF">
      <w:pPr>
        <w:spacing w:after="200" w:line="276" w:lineRule="auto"/>
      </w:pPr>
      <w:r>
        <w:br w:type="page"/>
      </w:r>
    </w:p>
    <w:p w14:paraId="119B64F9" w14:textId="77777777" w:rsidR="00CB27AF" w:rsidRPr="00927AC0" w:rsidRDefault="00CB27AF" w:rsidP="00C60EF8">
      <w:pPr>
        <w:pStyle w:val="Heading1"/>
      </w:pPr>
      <w:r w:rsidRPr="00927AC0">
        <w:lastRenderedPageBreak/>
        <w:t>Figures</w:t>
      </w:r>
    </w:p>
    <w:p w14:paraId="117D6B58" w14:textId="77777777" w:rsidR="00CB27AF" w:rsidRPr="00927AC0" w:rsidRDefault="00CB27AF" w:rsidP="00B2063C">
      <w:pPr>
        <w:jc w:val="center"/>
      </w:pPr>
      <w:r w:rsidRPr="00927AC0">
        <w:rPr>
          <w:noProof/>
        </w:rPr>
        <w:drawing>
          <wp:inline distT="0" distB="0" distL="0" distR="0" wp14:anchorId="4703BAD6" wp14:editId="42B7451B">
            <wp:extent cx="5943600" cy="368503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5943600" cy="3685032"/>
                    </a:xfrm>
                    <a:prstGeom prst="rect">
                      <a:avLst/>
                    </a:prstGeom>
                    <a:noFill/>
                  </pic:spPr>
                </pic:pic>
              </a:graphicData>
            </a:graphic>
          </wp:inline>
        </w:drawing>
      </w:r>
    </w:p>
    <w:p w14:paraId="138BBC01" w14:textId="77777777" w:rsidR="00CB27AF" w:rsidRDefault="00CB27AF" w:rsidP="00826000">
      <w:pPr>
        <w:pStyle w:val="Caption"/>
        <w:rPr>
          <w:szCs w:val="22"/>
        </w:rPr>
      </w:pPr>
      <w:bookmarkStart w:id="139" w:name="_Toc50392539"/>
      <w:r w:rsidRPr="00927AC0">
        <w:t xml:space="preserve">Figure </w:t>
      </w:r>
      <w:r w:rsidRPr="00927AC0">
        <w:rPr>
          <w:noProof/>
        </w:rPr>
        <w:fldChar w:fldCharType="begin"/>
      </w:r>
      <w:r w:rsidRPr="00927AC0">
        <w:rPr>
          <w:noProof/>
        </w:rPr>
        <w:instrText xml:space="preserve"> SEQ Figure \* ARABIC </w:instrText>
      </w:r>
      <w:r w:rsidRPr="00927AC0">
        <w:rPr>
          <w:noProof/>
        </w:rPr>
        <w:fldChar w:fldCharType="separate"/>
      </w:r>
      <w:r>
        <w:rPr>
          <w:noProof/>
        </w:rPr>
        <w:t>1</w:t>
      </w:r>
      <w:r w:rsidRPr="00927AC0">
        <w:rPr>
          <w:noProof/>
        </w:rPr>
        <w:fldChar w:fldCharType="end"/>
      </w:r>
      <w:r w:rsidRPr="00927AC0">
        <w:t xml:space="preserve">. </w:t>
      </w:r>
      <w:r w:rsidRPr="00927AC0">
        <w:rPr>
          <w:szCs w:val="22"/>
        </w:rPr>
        <w:t>Eastern Bering Sea District of Tanner crab Registration Area J including sub-districts and sections (from Bowers et al. 2008).</w:t>
      </w:r>
      <w:bookmarkEnd w:id="139"/>
    </w:p>
    <w:p w14:paraId="72B82C35" w14:textId="77777777" w:rsidR="00CB27AF" w:rsidRDefault="00CB27AF">
      <w:pPr>
        <w:spacing w:after="0"/>
        <w:rPr>
          <w:bCs/>
        </w:rPr>
      </w:pPr>
      <w:r>
        <w:br w:type="page"/>
      </w:r>
      <w:bookmarkStart w:id="140" w:name="_GoBack"/>
      <w:bookmarkEnd w:id="140"/>
    </w:p>
    <w:p w14:paraId="1E84CFC9" w14:textId="77777777" w:rsidR="00CB27AF" w:rsidRDefault="00CB27AF" w:rsidP="0012141E">
      <w:pPr>
        <w:jc w:val="center"/>
      </w:pPr>
      <w:r w:rsidRPr="0012141E">
        <w:rPr>
          <w:noProof/>
        </w:rPr>
        <w:lastRenderedPageBreak/>
        <w:drawing>
          <wp:inline distT="0" distB="0" distL="0" distR="0" wp14:anchorId="6B598889" wp14:editId="64D7D7B1">
            <wp:extent cx="3867912" cy="2743200"/>
            <wp:effectExtent l="0" t="0" r="5715" b="0"/>
            <wp:docPr id="46" name="Picture 4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ell phone&#10;&#10;Description automatically generated"/>
                    <pic:cNvPicPr/>
                  </pic:nvPicPr>
                  <pic:blipFill>
                    <a:blip r:embed="rId68" cstate="email">
                      <a:extLst>
                        <a:ext uri="{28A0092B-C50C-407E-A947-70E740481C1C}">
                          <a14:useLocalDpi xmlns:a14="http://schemas.microsoft.com/office/drawing/2010/main"/>
                        </a:ext>
                      </a:extLst>
                    </a:blip>
                    <a:stretch>
                      <a:fillRect/>
                    </a:stretch>
                  </pic:blipFill>
                  <pic:spPr>
                    <a:xfrm>
                      <a:off x="0" y="0"/>
                      <a:ext cx="3867912" cy="2743200"/>
                    </a:xfrm>
                    <a:prstGeom prst="rect">
                      <a:avLst/>
                    </a:prstGeom>
                  </pic:spPr>
                </pic:pic>
              </a:graphicData>
            </a:graphic>
          </wp:inline>
        </w:drawing>
      </w:r>
    </w:p>
    <w:p w14:paraId="68242676" w14:textId="77777777" w:rsidR="00CB27AF" w:rsidRDefault="00CB27AF" w:rsidP="0012141E">
      <w:pPr>
        <w:rPr>
          <w:noProof/>
        </w:rPr>
      </w:pPr>
      <w:bookmarkStart w:id="141" w:name="_Toc50392540"/>
      <w:r>
        <w:t>Figure</w:t>
      </w:r>
      <w:r w:rsidRPr="00927AC0">
        <w:t xml:space="preserve"> </w:t>
      </w:r>
      <w:r w:rsidRPr="00927AC0">
        <w:rPr>
          <w:noProof/>
        </w:rPr>
        <w:fldChar w:fldCharType="begin"/>
      </w:r>
      <w:r w:rsidRPr="00927AC0">
        <w:rPr>
          <w:noProof/>
        </w:rPr>
        <w:instrText xml:space="preserve"> SEQ Figure \* ARABIC </w:instrText>
      </w:r>
      <w:r w:rsidRPr="00927AC0">
        <w:rPr>
          <w:noProof/>
        </w:rPr>
        <w:fldChar w:fldCharType="separate"/>
      </w:r>
      <w:r>
        <w:rPr>
          <w:noProof/>
        </w:rPr>
        <w:t>2</w:t>
      </w:r>
      <w:r w:rsidRPr="00927AC0">
        <w:rPr>
          <w:noProof/>
        </w:rPr>
        <w:fldChar w:fldCharType="end"/>
      </w:r>
      <w:r>
        <w:rPr>
          <w:noProof/>
        </w:rPr>
        <w:t>. Sloping control rule used by ADFG from 2011 to 2019 as part of its TAC setting process to determine the maximum exploitation rate on mature male biomass as a function of the ratio of current mature female biomass (MFB) to MFB averaged over some time period.</w:t>
      </w:r>
      <w:bookmarkEnd w:id="141"/>
      <w:r>
        <w:rPr>
          <w:noProof/>
        </w:rPr>
        <w:t xml:space="preserve"> </w:t>
      </w:r>
    </w:p>
    <w:p w14:paraId="4DE471E8" w14:textId="77777777" w:rsidR="00CB27AF" w:rsidRDefault="00CB27AF" w:rsidP="007160A9">
      <w:pPr>
        <w:jc w:val="center"/>
      </w:pPr>
      <w:r w:rsidRPr="009407AF">
        <w:rPr>
          <w:noProof/>
        </w:rPr>
        <w:drawing>
          <wp:inline distT="0" distB="0" distL="0" distR="0" wp14:anchorId="477A9F1B" wp14:editId="4636A7AC">
            <wp:extent cx="4151376" cy="2743200"/>
            <wp:effectExtent l="0" t="0" r="1905" b="0"/>
            <wp:docPr id="47" name="Picture 4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 up of a map&#10;&#10;Description automatically generated"/>
                    <pic:cNvPicPr/>
                  </pic:nvPicPr>
                  <pic:blipFill>
                    <a:blip r:embed="rId69" cstate="email">
                      <a:extLst>
                        <a:ext uri="{28A0092B-C50C-407E-A947-70E740481C1C}">
                          <a14:useLocalDpi xmlns:a14="http://schemas.microsoft.com/office/drawing/2010/main"/>
                        </a:ext>
                      </a:extLst>
                    </a:blip>
                    <a:stretch>
                      <a:fillRect/>
                    </a:stretch>
                  </pic:blipFill>
                  <pic:spPr>
                    <a:xfrm>
                      <a:off x="0" y="0"/>
                      <a:ext cx="4151376" cy="2743200"/>
                    </a:xfrm>
                    <a:prstGeom prst="rect">
                      <a:avLst/>
                    </a:prstGeom>
                  </pic:spPr>
                </pic:pic>
              </a:graphicData>
            </a:graphic>
          </wp:inline>
        </w:drawing>
      </w:r>
    </w:p>
    <w:p w14:paraId="4FF2A07B" w14:textId="77777777" w:rsidR="00CB27AF" w:rsidRDefault="00CB27AF" w:rsidP="009407AF">
      <w:pPr>
        <w:rPr>
          <w:noProof/>
        </w:rPr>
      </w:pPr>
      <w:bookmarkStart w:id="142" w:name="_Toc50392541"/>
      <w:r>
        <w:t>Figure</w:t>
      </w:r>
      <w:r w:rsidRPr="00927AC0">
        <w:t xml:space="preserve"> </w:t>
      </w:r>
      <w:r w:rsidRPr="00927AC0">
        <w:rPr>
          <w:noProof/>
        </w:rPr>
        <w:fldChar w:fldCharType="begin"/>
      </w:r>
      <w:r w:rsidRPr="00927AC0">
        <w:rPr>
          <w:noProof/>
        </w:rPr>
        <w:instrText xml:space="preserve"> SEQ Figure \* ARABIC </w:instrText>
      </w:r>
      <w:r w:rsidRPr="00927AC0">
        <w:rPr>
          <w:noProof/>
        </w:rPr>
        <w:fldChar w:fldCharType="separate"/>
      </w:r>
      <w:r>
        <w:rPr>
          <w:noProof/>
        </w:rPr>
        <w:t>3</w:t>
      </w:r>
      <w:r w:rsidRPr="00927AC0">
        <w:rPr>
          <w:noProof/>
        </w:rPr>
        <w:fldChar w:fldCharType="end"/>
      </w:r>
      <w:r>
        <w:rPr>
          <w:noProof/>
        </w:rPr>
        <w:t>. New ADFG “floating” sloping control rule to determine the maximum exploitation rate on mature male biomass (MMB) as a function of the ratio of current MMB to the average MMB over 1982-2018. The ratio of current mature female biomass (MFB) to MFB averaged over 1982-2018 is used to determine the value of the maximum exploitation rate for the control rule, up to a maximum of 20%. ADFG will use this control rule to determine TAC in the future.</w:t>
      </w:r>
      <w:bookmarkEnd w:id="142"/>
    </w:p>
    <w:p w14:paraId="2A03684D" w14:textId="77777777" w:rsidR="00CB27AF" w:rsidRPr="00927AC0" w:rsidRDefault="00CB27AF" w:rsidP="00826000">
      <w:pPr>
        <w:spacing w:after="200" w:line="276" w:lineRule="auto"/>
      </w:pPr>
      <w:r w:rsidRPr="00927AC0">
        <w:br w:type="page"/>
      </w:r>
    </w:p>
    <w:p w14:paraId="5FC50EBD" w14:textId="77777777" w:rsidR="00CB27AF" w:rsidRPr="00927AC0" w:rsidRDefault="00CB27AF" w:rsidP="00C23E38">
      <w:pPr>
        <w:jc w:val="center"/>
      </w:pPr>
      <w:r w:rsidRPr="00927AC0">
        <w:rPr>
          <w:noProof/>
        </w:rPr>
        <w:lastRenderedPageBreak/>
        <w:drawing>
          <wp:inline distT="0" distB="0" distL="0" distR="0" wp14:anchorId="39CB5BA9" wp14:editId="498824A2">
            <wp:extent cx="5943600" cy="52832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5943600" cy="5283200"/>
                    </a:xfrm>
                    <a:prstGeom prst="rect">
                      <a:avLst/>
                    </a:prstGeom>
                  </pic:spPr>
                </pic:pic>
              </a:graphicData>
            </a:graphic>
          </wp:inline>
        </w:drawing>
      </w:r>
    </w:p>
    <w:p w14:paraId="25D34E6A" w14:textId="77777777" w:rsidR="00CB27AF" w:rsidRPr="00927AC0" w:rsidRDefault="00CB27AF" w:rsidP="00B74566">
      <w:pPr>
        <w:pStyle w:val="Caption"/>
      </w:pPr>
      <w:bookmarkStart w:id="143" w:name="_Toc50392542"/>
      <w:r w:rsidRPr="00927AC0">
        <w:t xml:space="preserve">Figure </w:t>
      </w:r>
      <w:r w:rsidRPr="00927AC0">
        <w:rPr>
          <w:noProof/>
        </w:rPr>
        <w:fldChar w:fldCharType="begin"/>
      </w:r>
      <w:r w:rsidRPr="00927AC0">
        <w:rPr>
          <w:noProof/>
        </w:rPr>
        <w:instrText xml:space="preserve"> SEQ Figure \* ARABIC </w:instrText>
      </w:r>
      <w:r w:rsidRPr="00927AC0">
        <w:rPr>
          <w:noProof/>
        </w:rPr>
        <w:fldChar w:fldCharType="separate"/>
      </w:r>
      <w:r>
        <w:rPr>
          <w:noProof/>
        </w:rPr>
        <w:t>4</w:t>
      </w:r>
      <w:r w:rsidRPr="00927AC0">
        <w:rPr>
          <w:noProof/>
        </w:rPr>
        <w:fldChar w:fldCharType="end"/>
      </w:r>
      <w:r w:rsidRPr="00927AC0">
        <w:t>. Upper: retained catch (males, 1000’s t) in the directed fisheries (US pot fishery [green bars], Russian tangle net fishery [red bars], and Japanese tangle net fisheries [blue bars]) for Tanner crab since 1965/66. Lower: Retained catch (males, 1000’s t) in directed fishery since 2001/02. The directed fishery was closed in 1984/85 and 1985/86, from 1996/97 to 2004/05, from 2010/11 to 2012/13, and 2016/17 and 2019/20.</w:t>
      </w:r>
      <w:bookmarkEnd w:id="143"/>
      <w:r w:rsidRPr="00927AC0">
        <w:br w:type="page"/>
      </w:r>
    </w:p>
    <w:p w14:paraId="3674059C" w14:textId="77777777" w:rsidR="00CB27AF" w:rsidRPr="00927AC0" w:rsidRDefault="00CB27AF" w:rsidP="00493984">
      <w:pPr>
        <w:pStyle w:val="Caption"/>
      </w:pPr>
      <w:r w:rsidRPr="00927AC0">
        <w:rPr>
          <w:noProof/>
        </w:rPr>
        <w:lastRenderedPageBreak/>
        <w:drawing>
          <wp:inline distT="0" distB="0" distL="0" distR="0" wp14:anchorId="06F22436" wp14:editId="1263D86D">
            <wp:extent cx="5943600" cy="27432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1" cstate="email">
                      <a:extLst>
                        <a:ext uri="{28A0092B-C50C-407E-A947-70E740481C1C}">
                          <a14:useLocalDpi xmlns:a14="http://schemas.microsoft.com/office/drawing/2010/main"/>
                        </a:ext>
                      </a:extLst>
                    </a:blip>
                    <a:stretch>
                      <a:fillRect/>
                    </a:stretch>
                  </pic:blipFill>
                  <pic:spPr>
                    <a:xfrm>
                      <a:off x="0" y="0"/>
                      <a:ext cx="5943600" cy="2743200"/>
                    </a:xfrm>
                    <a:prstGeom prst="rect">
                      <a:avLst/>
                    </a:prstGeom>
                  </pic:spPr>
                </pic:pic>
              </a:graphicData>
            </a:graphic>
          </wp:inline>
        </w:drawing>
      </w:r>
    </w:p>
    <w:p w14:paraId="1C0807FE" w14:textId="77777777" w:rsidR="00CB27AF" w:rsidRPr="00927AC0" w:rsidRDefault="00CB27AF" w:rsidP="00493984">
      <w:pPr>
        <w:pStyle w:val="Caption"/>
      </w:pPr>
      <w:bookmarkStart w:id="144" w:name="_Toc50392543"/>
      <w:r w:rsidRPr="00927AC0">
        <w:t xml:space="preserve">Figure </w:t>
      </w:r>
      <w:r w:rsidRPr="00927AC0">
        <w:rPr>
          <w:noProof/>
        </w:rPr>
        <w:fldChar w:fldCharType="begin"/>
      </w:r>
      <w:r w:rsidRPr="00927AC0">
        <w:rPr>
          <w:noProof/>
        </w:rPr>
        <w:instrText xml:space="preserve"> SEQ Figure \* ARABIC </w:instrText>
      </w:r>
      <w:r w:rsidRPr="00927AC0">
        <w:rPr>
          <w:noProof/>
        </w:rPr>
        <w:fldChar w:fldCharType="separate"/>
      </w:r>
      <w:r>
        <w:rPr>
          <w:noProof/>
        </w:rPr>
        <w:t>5</w:t>
      </w:r>
      <w:r w:rsidRPr="00927AC0">
        <w:rPr>
          <w:noProof/>
        </w:rPr>
        <w:fldChar w:fldCharType="end"/>
      </w:r>
      <w:r w:rsidRPr="00927AC0">
        <w:t>. Time series of retained catch biomass (1000’s t) in the directed Tanner crab</w:t>
      </w:r>
      <w:r>
        <w:t xml:space="preserve"> (TCF: blue)</w:t>
      </w:r>
      <w:r w:rsidRPr="00927AC0">
        <w:t>, snow crab (SCF: green), and BBRKC (R</w:t>
      </w:r>
      <w:r>
        <w:t>K</w:t>
      </w:r>
      <w:r w:rsidRPr="00927AC0">
        <w:t xml:space="preserve">F: </w:t>
      </w:r>
      <w:r>
        <w:t>red</w:t>
      </w:r>
      <w:r w:rsidRPr="00927AC0">
        <w:t>) fisheries since 2005. The directed fisher</w:t>
      </w:r>
      <w:r>
        <w:t>ies</w:t>
      </w:r>
      <w:r w:rsidRPr="00927AC0">
        <w:t xml:space="preserve"> w</w:t>
      </w:r>
      <w:r>
        <w:t>ere both</w:t>
      </w:r>
      <w:r w:rsidRPr="00927AC0">
        <w:t xml:space="preserve"> closed from 2010/11 to 2012/13, a</w:t>
      </w:r>
      <w:r>
        <w:t>s well as</w:t>
      </w:r>
      <w:r w:rsidRPr="00927AC0">
        <w:t xml:space="preserve"> in 2016/17 and 2019/20. Legal-sized Tanner crab can be incidentally-retained in the snow crab and BBRKC fisheries up to a cap of 5% the target catch.</w:t>
      </w:r>
      <w:bookmarkEnd w:id="144"/>
      <w:r w:rsidRPr="00927AC0">
        <w:br w:type="page"/>
      </w:r>
    </w:p>
    <w:p w14:paraId="7B275856" w14:textId="77777777" w:rsidR="00CB27AF" w:rsidRPr="00927AC0" w:rsidRDefault="00CB27AF" w:rsidP="00493984">
      <w:r w:rsidRPr="00927AC0">
        <w:rPr>
          <w:noProof/>
        </w:rPr>
        <w:lastRenderedPageBreak/>
        <w:drawing>
          <wp:inline distT="0" distB="0" distL="0" distR="0" wp14:anchorId="1B7298E7" wp14:editId="16609E74">
            <wp:extent cx="5943600" cy="62103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email">
                      <a:extLst>
                        <a:ext uri="{28A0092B-C50C-407E-A947-70E740481C1C}">
                          <a14:useLocalDpi xmlns:a14="http://schemas.microsoft.com/office/drawing/2010/main"/>
                        </a:ext>
                      </a:extLst>
                    </a:blip>
                    <a:stretch>
                      <a:fillRect/>
                    </a:stretch>
                  </pic:blipFill>
                  <pic:spPr>
                    <a:xfrm>
                      <a:off x="0" y="0"/>
                      <a:ext cx="5943600" cy="6210300"/>
                    </a:xfrm>
                    <a:prstGeom prst="rect">
                      <a:avLst/>
                    </a:prstGeom>
                  </pic:spPr>
                </pic:pic>
              </a:graphicData>
            </a:graphic>
          </wp:inline>
        </w:drawing>
      </w:r>
    </w:p>
    <w:p w14:paraId="2F74DCDF" w14:textId="77777777" w:rsidR="00CB27AF" w:rsidRPr="00927AC0" w:rsidRDefault="00CB27AF" w:rsidP="00804E72">
      <w:pPr>
        <w:pStyle w:val="Caption"/>
      </w:pPr>
      <w:bookmarkStart w:id="145" w:name="_Toc50392544"/>
      <w:r w:rsidRPr="00927AC0">
        <w:t xml:space="preserve">Figure </w:t>
      </w:r>
      <w:r w:rsidRPr="00927AC0">
        <w:rPr>
          <w:noProof/>
        </w:rPr>
        <w:fldChar w:fldCharType="begin"/>
      </w:r>
      <w:r w:rsidRPr="00927AC0">
        <w:rPr>
          <w:noProof/>
        </w:rPr>
        <w:instrText xml:space="preserve"> SEQ Figure \* ARABIC </w:instrText>
      </w:r>
      <w:r w:rsidRPr="00927AC0">
        <w:rPr>
          <w:noProof/>
        </w:rPr>
        <w:fldChar w:fldCharType="separate"/>
      </w:r>
      <w:r>
        <w:rPr>
          <w:noProof/>
        </w:rPr>
        <w:t>6</w:t>
      </w:r>
      <w:r w:rsidRPr="00927AC0">
        <w:rPr>
          <w:noProof/>
        </w:rPr>
        <w:fldChar w:fldCharType="end"/>
      </w:r>
      <w:r w:rsidRPr="00927AC0">
        <w:t>. Upper: total catch (retained + discards) of Tanner crab (males and females, 1000’s t) in the directed Tanner crab, snow crab, Bristol Bay red king crab, and groundfish fisheries. Bycatch reporting began in 1973 for the groundfish fisheries and in the early 1990s for the crab fisheries. Lower: detail since 2005.</w:t>
      </w:r>
      <w:bookmarkEnd w:id="145"/>
    </w:p>
    <w:p w14:paraId="314A13C8" w14:textId="77777777" w:rsidR="00CB27AF" w:rsidRDefault="00CB27AF">
      <w:pPr>
        <w:spacing w:after="0"/>
      </w:pPr>
      <w:r w:rsidRPr="00927AC0">
        <w:br w:type="page"/>
      </w:r>
    </w:p>
    <w:p w14:paraId="01E59F0D" w14:textId="77777777" w:rsidR="00CB27AF" w:rsidRDefault="00CB27AF">
      <w:pPr>
        <w:spacing w:after="0"/>
      </w:pPr>
      <w:r w:rsidRPr="00F74E74">
        <w:rPr>
          <w:noProof/>
        </w:rPr>
        <w:lastRenderedPageBreak/>
        <w:drawing>
          <wp:inline distT="0" distB="0" distL="0" distR="0" wp14:anchorId="13AB7507" wp14:editId="33B53974">
            <wp:extent cx="5943600" cy="2574290"/>
            <wp:effectExtent l="0" t="0" r="0" b="3810"/>
            <wp:docPr id="75" name="Picture 7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rawing&#10;&#10;Description automatically generated"/>
                    <pic:cNvPicPr/>
                  </pic:nvPicPr>
                  <pic:blipFill>
                    <a:blip r:embed="rId73" cstate="email">
                      <a:extLst>
                        <a:ext uri="{28A0092B-C50C-407E-A947-70E740481C1C}">
                          <a14:useLocalDpi xmlns:a14="http://schemas.microsoft.com/office/drawing/2010/main"/>
                        </a:ext>
                      </a:extLst>
                    </a:blip>
                    <a:stretch>
                      <a:fillRect/>
                    </a:stretch>
                  </pic:blipFill>
                  <pic:spPr>
                    <a:xfrm>
                      <a:off x="0" y="0"/>
                      <a:ext cx="5943600" cy="2574290"/>
                    </a:xfrm>
                    <a:prstGeom prst="rect">
                      <a:avLst/>
                    </a:prstGeom>
                  </pic:spPr>
                </pic:pic>
              </a:graphicData>
            </a:graphic>
          </wp:inline>
        </w:drawing>
      </w:r>
    </w:p>
    <w:p w14:paraId="61135C75" w14:textId="77777777" w:rsidR="00CB27AF" w:rsidRPr="00927AC0" w:rsidRDefault="00CB27AF">
      <w:pPr>
        <w:spacing w:after="0"/>
      </w:pPr>
      <w:bookmarkStart w:id="146" w:name="_Toc50392545"/>
      <w:r>
        <w:t xml:space="preserve">Figure </w:t>
      </w:r>
      <w:r w:rsidRPr="00927AC0">
        <w:rPr>
          <w:noProof/>
        </w:rPr>
        <w:fldChar w:fldCharType="begin"/>
      </w:r>
      <w:r w:rsidRPr="00927AC0">
        <w:rPr>
          <w:noProof/>
        </w:rPr>
        <w:instrText xml:space="preserve"> SEQ Figure \* ARABIC </w:instrText>
      </w:r>
      <w:r w:rsidRPr="00927AC0">
        <w:rPr>
          <w:noProof/>
        </w:rPr>
        <w:fldChar w:fldCharType="separate"/>
      </w:r>
      <w:r>
        <w:rPr>
          <w:noProof/>
        </w:rPr>
        <w:t>7</w:t>
      </w:r>
      <w:r w:rsidRPr="00927AC0">
        <w:rPr>
          <w:noProof/>
        </w:rPr>
        <w:fldChar w:fldCharType="end"/>
      </w:r>
      <w:r>
        <w:t>.</w:t>
      </w:r>
      <w:r w:rsidRPr="0037240D">
        <w:t xml:space="preserve"> </w:t>
      </w:r>
      <w:r>
        <w:t>Changes in the expanded estimates of Tanner crab bycatch in the groundfish fisheries from the 2019 assessment to this one due to changes in the estimation algorithm used by AKFIN to align it with that used by the Regional Office. 19.03: 2019 assessment data; 19.03R:</w:t>
      </w:r>
      <w:bookmarkEnd w:id="146"/>
    </w:p>
    <w:p w14:paraId="3ECEF130" w14:textId="77777777" w:rsidR="00CB27AF" w:rsidRPr="00927AC0" w:rsidRDefault="00CB27AF" w:rsidP="008331B2">
      <w:pPr>
        <w:pStyle w:val="NoSpacing"/>
      </w:pPr>
      <w:r w:rsidRPr="00927AC0">
        <w:rPr>
          <w:noProof/>
        </w:rPr>
        <w:lastRenderedPageBreak/>
        <w:drawing>
          <wp:inline distT="0" distB="0" distL="0" distR="0" wp14:anchorId="4A69DB8D" wp14:editId="5A1883D7">
            <wp:extent cx="5943600" cy="73152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email">
                      <a:extLst>
                        <a:ext uri="{28A0092B-C50C-407E-A947-70E740481C1C}">
                          <a14:useLocalDpi xmlns:a14="http://schemas.microsoft.com/office/drawing/2010/main"/>
                        </a:ext>
                      </a:extLst>
                    </a:blip>
                    <a:stretch>
                      <a:fillRect/>
                    </a:stretch>
                  </pic:blipFill>
                  <pic:spPr>
                    <a:xfrm>
                      <a:off x="0" y="0"/>
                      <a:ext cx="5943600" cy="7315200"/>
                    </a:xfrm>
                    <a:prstGeom prst="rect">
                      <a:avLst/>
                    </a:prstGeom>
                  </pic:spPr>
                </pic:pic>
              </a:graphicData>
            </a:graphic>
          </wp:inline>
        </w:drawing>
      </w:r>
    </w:p>
    <w:p w14:paraId="24079282" w14:textId="77777777" w:rsidR="00CB27AF" w:rsidRPr="00927AC0" w:rsidRDefault="00CB27AF" w:rsidP="006F1C8E">
      <w:pPr>
        <w:pStyle w:val="Caption"/>
      </w:pPr>
      <w:bookmarkStart w:id="147" w:name="_Toc50392546"/>
      <w:r w:rsidRPr="00927AC0">
        <w:t xml:space="preserve">Figure </w:t>
      </w:r>
      <w:r w:rsidRPr="00927AC0">
        <w:rPr>
          <w:noProof/>
        </w:rPr>
        <w:fldChar w:fldCharType="begin"/>
      </w:r>
      <w:r w:rsidRPr="00927AC0">
        <w:rPr>
          <w:noProof/>
        </w:rPr>
        <w:instrText xml:space="preserve"> SEQ Figure \* ARABIC </w:instrText>
      </w:r>
      <w:r w:rsidRPr="00927AC0">
        <w:rPr>
          <w:noProof/>
        </w:rPr>
        <w:fldChar w:fldCharType="separate"/>
      </w:r>
      <w:r>
        <w:rPr>
          <w:noProof/>
        </w:rPr>
        <w:t>8</w:t>
      </w:r>
      <w:r w:rsidRPr="00927AC0">
        <w:rPr>
          <w:noProof/>
        </w:rPr>
        <w:fldChar w:fldCharType="end"/>
      </w:r>
      <w:r w:rsidRPr="00927AC0">
        <w:t>. Retained catch size compositions in the directed Tanner crab fisheries since the fishery re-opened in 2013/14. The directed fishery was closed in 2016/17 and 2019/20. Fishery area denoted by color: red—area west of 166</w:t>
      </w:r>
      <w:r w:rsidRPr="00927AC0">
        <w:rPr>
          <w:vertAlign w:val="superscript"/>
        </w:rPr>
        <w:t>o</w:t>
      </w:r>
      <w:r w:rsidRPr="00927AC0">
        <w:t>W, green—area east of 166</w:t>
      </w:r>
      <w:r w:rsidRPr="00927AC0">
        <w:rPr>
          <w:vertAlign w:val="superscript"/>
        </w:rPr>
        <w:t>o</w:t>
      </w:r>
      <w:r w:rsidRPr="00927AC0">
        <w:t>W; blue: all EBS (i.e., total). Shell condition is denoted by solid (new shell) or dotted (old shell) line type.</w:t>
      </w:r>
      <w:bookmarkEnd w:id="147"/>
    </w:p>
    <w:p w14:paraId="518C576C" w14:textId="77777777" w:rsidR="00CB27AF" w:rsidRPr="00927AC0" w:rsidRDefault="00CB27AF" w:rsidP="008331B2">
      <w:pPr>
        <w:pStyle w:val="NoSpacing"/>
      </w:pPr>
      <w:r w:rsidRPr="00927AC0">
        <w:rPr>
          <w:noProof/>
        </w:rPr>
        <w:lastRenderedPageBreak/>
        <w:drawing>
          <wp:inline distT="0" distB="0" distL="0" distR="0" wp14:anchorId="7986C437" wp14:editId="42226E83">
            <wp:extent cx="5943600" cy="73152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email">
                      <a:extLst>
                        <a:ext uri="{28A0092B-C50C-407E-A947-70E740481C1C}">
                          <a14:useLocalDpi xmlns:a14="http://schemas.microsoft.com/office/drawing/2010/main"/>
                        </a:ext>
                      </a:extLst>
                    </a:blip>
                    <a:stretch>
                      <a:fillRect/>
                    </a:stretch>
                  </pic:blipFill>
                  <pic:spPr>
                    <a:xfrm>
                      <a:off x="0" y="0"/>
                      <a:ext cx="5943600" cy="7315200"/>
                    </a:xfrm>
                    <a:prstGeom prst="rect">
                      <a:avLst/>
                    </a:prstGeom>
                  </pic:spPr>
                </pic:pic>
              </a:graphicData>
            </a:graphic>
          </wp:inline>
        </w:drawing>
      </w:r>
    </w:p>
    <w:p w14:paraId="1002AE0B" w14:textId="77777777" w:rsidR="00CB27AF" w:rsidRPr="00927AC0" w:rsidRDefault="00CB27AF" w:rsidP="008331B2">
      <w:pPr>
        <w:pStyle w:val="Caption"/>
      </w:pPr>
      <w:r w:rsidRPr="00927AC0">
        <w:t xml:space="preserve">Figure </w:t>
      </w:r>
      <w:r>
        <w:rPr>
          <w:noProof/>
        </w:rPr>
        <w:t>8</w:t>
      </w:r>
      <w:r w:rsidRPr="00927AC0">
        <w:rPr>
          <w:noProof/>
        </w:rPr>
        <w:t xml:space="preserve"> (cont.)</w:t>
      </w:r>
      <w:r w:rsidRPr="00927AC0">
        <w:t>. Retained catch size compositions in the directed Tanner crab fisheries since the fishery re-opened in 2013/14. The directed fishery was closed in 2016/17 and 2019/20. Fishery area denoted by color: red—area west of 166</w:t>
      </w:r>
      <w:r w:rsidRPr="00927AC0">
        <w:rPr>
          <w:vertAlign w:val="superscript"/>
        </w:rPr>
        <w:t>o</w:t>
      </w:r>
      <w:r w:rsidRPr="00927AC0">
        <w:t>W, green—area east of 166</w:t>
      </w:r>
      <w:r w:rsidRPr="00927AC0">
        <w:rPr>
          <w:vertAlign w:val="superscript"/>
        </w:rPr>
        <w:t>o</w:t>
      </w:r>
      <w:r w:rsidRPr="00927AC0">
        <w:t>W; blue: all EBS (i.e., total). Shell condition is denoted by solid (new shell) or dotted (old shell) line type.</w:t>
      </w:r>
    </w:p>
    <w:p w14:paraId="51DB8D60" w14:textId="77777777" w:rsidR="00CB27AF" w:rsidRPr="00927AC0" w:rsidRDefault="00CB27AF" w:rsidP="008331B2">
      <w:r w:rsidRPr="00927AC0">
        <w:rPr>
          <w:noProof/>
        </w:rPr>
        <w:lastRenderedPageBreak/>
        <w:drawing>
          <wp:inline distT="0" distB="0" distL="0" distR="0" wp14:anchorId="3DF66D3C" wp14:editId="31C961E0">
            <wp:extent cx="5943600" cy="7315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extLst>
                        <a:ext uri="{28A0092B-C50C-407E-A947-70E740481C1C}">
                          <a14:useLocalDpi xmlns:a14="http://schemas.microsoft.com/office/drawing/2010/main"/>
                        </a:ext>
                      </a:extLst>
                    </a:blip>
                    <a:stretch>
                      <a:fillRect/>
                    </a:stretch>
                  </pic:blipFill>
                  <pic:spPr>
                    <a:xfrm>
                      <a:off x="0" y="0"/>
                      <a:ext cx="5943600" cy="7315200"/>
                    </a:xfrm>
                    <a:prstGeom prst="rect">
                      <a:avLst/>
                    </a:prstGeom>
                  </pic:spPr>
                </pic:pic>
              </a:graphicData>
            </a:graphic>
          </wp:inline>
        </w:drawing>
      </w:r>
    </w:p>
    <w:p w14:paraId="6ECB6A3F" w14:textId="77777777" w:rsidR="00CB27AF" w:rsidRPr="00927AC0" w:rsidRDefault="00CB27AF" w:rsidP="008331B2">
      <w:pPr>
        <w:pStyle w:val="Caption"/>
      </w:pPr>
      <w:r w:rsidRPr="00927AC0">
        <w:t xml:space="preserve">Figure </w:t>
      </w:r>
      <w:r>
        <w:rPr>
          <w:noProof/>
        </w:rPr>
        <w:t>8</w:t>
      </w:r>
      <w:r w:rsidRPr="00927AC0">
        <w:rPr>
          <w:noProof/>
        </w:rPr>
        <w:t xml:space="preserve"> (cont.)</w:t>
      </w:r>
      <w:r w:rsidRPr="00927AC0">
        <w:t>. Retained catch size compositions in the directed Tanner crab fisheries since the fishery re-opened in 2013/14. The directed fishery was closed in 2016/17 and 2019/20. Fishery area denoted by color: red—area west of 166</w:t>
      </w:r>
      <w:r w:rsidRPr="00927AC0">
        <w:rPr>
          <w:vertAlign w:val="superscript"/>
        </w:rPr>
        <w:t>o</w:t>
      </w:r>
      <w:r w:rsidRPr="00927AC0">
        <w:t>W, green—area east of 166</w:t>
      </w:r>
      <w:r w:rsidRPr="00927AC0">
        <w:rPr>
          <w:vertAlign w:val="superscript"/>
        </w:rPr>
        <w:t>o</w:t>
      </w:r>
      <w:r w:rsidRPr="00927AC0">
        <w:t>W; blue: all EBS (i.e., total). Shell condition is denoted by solid (new shell) or dotted (old shell) line type.</w:t>
      </w:r>
    </w:p>
    <w:p w14:paraId="0CB7F2F1" w14:textId="77777777" w:rsidR="00CB27AF" w:rsidRPr="00927AC0" w:rsidRDefault="00CB27AF">
      <w:pPr>
        <w:spacing w:after="0"/>
        <w:sectPr w:rsidR="00CB27AF" w:rsidRPr="00927AC0" w:rsidSect="00A00BD1">
          <w:pgSz w:w="12240" w:h="15840"/>
          <w:pgMar w:top="1440" w:right="1440" w:bottom="1440" w:left="1440" w:header="720" w:footer="720" w:gutter="0"/>
          <w:cols w:space="720"/>
          <w:titlePg/>
          <w:docGrid w:linePitch="360"/>
        </w:sectPr>
      </w:pPr>
    </w:p>
    <w:p w14:paraId="07EFCB5D" w14:textId="77777777" w:rsidR="00CB27AF" w:rsidRPr="00927AC0" w:rsidRDefault="00CB27AF" w:rsidP="001F4A8F">
      <w:pPr>
        <w:spacing w:after="0"/>
        <w:jc w:val="center"/>
      </w:pPr>
      <w:r w:rsidRPr="00927AC0">
        <w:rPr>
          <w:noProof/>
        </w:rPr>
        <w:lastRenderedPageBreak/>
        <w:drawing>
          <wp:inline distT="0" distB="0" distL="0" distR="0" wp14:anchorId="15BCA85E" wp14:editId="0193D766">
            <wp:extent cx="5486400" cy="7315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15597106" w14:textId="77777777" w:rsidR="00CB27AF" w:rsidRPr="00927AC0" w:rsidRDefault="00CB27AF">
      <w:pPr>
        <w:spacing w:after="0"/>
      </w:pPr>
      <w:bookmarkStart w:id="148" w:name="_Toc50392547"/>
      <w:r w:rsidRPr="00927AC0">
        <w:t xml:space="preserve">Figure </w:t>
      </w:r>
      <w:r w:rsidRPr="00927AC0">
        <w:rPr>
          <w:noProof/>
        </w:rPr>
        <w:fldChar w:fldCharType="begin"/>
      </w:r>
      <w:r w:rsidRPr="00927AC0">
        <w:rPr>
          <w:noProof/>
        </w:rPr>
        <w:instrText xml:space="preserve"> SEQ Figure \* ARABIC </w:instrText>
      </w:r>
      <w:r w:rsidRPr="00927AC0">
        <w:rPr>
          <w:noProof/>
        </w:rPr>
        <w:fldChar w:fldCharType="separate"/>
      </w:r>
      <w:r>
        <w:rPr>
          <w:noProof/>
        </w:rPr>
        <w:t>9</w:t>
      </w:r>
      <w:r w:rsidRPr="00927AC0">
        <w:rPr>
          <w:noProof/>
        </w:rPr>
        <w:fldChar w:fldCharType="end"/>
      </w:r>
      <w:r w:rsidRPr="00927AC0">
        <w:t>. Total catch (retained + discards) size compositions for males, normalized by fleet for the directed Tanner crab (by area, TCF: red and green), snow crab (SCF: cyan), and BBRKC (RKF: purple) fisheries. Solid lines: new shell crab; dotted lines: old shell crab.</w:t>
      </w:r>
      <w:bookmarkEnd w:id="148"/>
    </w:p>
    <w:p w14:paraId="2351BC89" w14:textId="77777777" w:rsidR="00CB27AF" w:rsidRPr="00927AC0" w:rsidRDefault="00CB27AF">
      <w:pPr>
        <w:spacing w:after="0"/>
      </w:pPr>
      <w:r w:rsidRPr="00927AC0">
        <w:br w:type="page"/>
      </w:r>
    </w:p>
    <w:p w14:paraId="11BAA6F1" w14:textId="77777777" w:rsidR="00CB27AF" w:rsidRPr="00927AC0" w:rsidRDefault="00CB27AF" w:rsidP="001F4A8F">
      <w:pPr>
        <w:spacing w:after="0"/>
        <w:jc w:val="center"/>
        <w:rPr>
          <w:bCs/>
          <w:szCs w:val="18"/>
        </w:rPr>
      </w:pPr>
      <w:r w:rsidRPr="00927AC0">
        <w:rPr>
          <w:bCs/>
          <w:noProof/>
          <w:szCs w:val="18"/>
        </w:rPr>
        <w:lastRenderedPageBreak/>
        <w:drawing>
          <wp:inline distT="0" distB="0" distL="0" distR="0" wp14:anchorId="1FBB0ED7" wp14:editId="66351D14">
            <wp:extent cx="5486400" cy="73152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40A336DB" w14:textId="77777777" w:rsidR="00CB27AF" w:rsidRPr="00927AC0" w:rsidRDefault="00CB27AF" w:rsidP="00070875">
      <w:pPr>
        <w:spacing w:after="0"/>
      </w:pPr>
      <w:r w:rsidRPr="00927AC0">
        <w:t xml:space="preserve">Figure </w:t>
      </w:r>
      <w:r>
        <w:rPr>
          <w:noProof/>
        </w:rPr>
        <w:t>9</w:t>
      </w:r>
      <w:r w:rsidRPr="00927AC0">
        <w:rPr>
          <w:noProof/>
        </w:rPr>
        <w:t xml:space="preserve"> (cont.)</w:t>
      </w:r>
      <w:r w:rsidRPr="00927AC0">
        <w:t>. Total catch (retained + discards) size compositions for males, normalized by fleet for the directed Tanner crab (by area, TCF: red and green), snow crab (SCF: cyan), and BBRKC (RKF: purple) fisheries. Solid lines: new shell crab; dotted lines: old shell crab.</w:t>
      </w:r>
    </w:p>
    <w:p w14:paraId="507C3817" w14:textId="77777777" w:rsidR="00CB27AF" w:rsidRPr="00927AC0" w:rsidRDefault="00CB27AF" w:rsidP="001F4A8F">
      <w:pPr>
        <w:spacing w:after="0"/>
        <w:jc w:val="center"/>
        <w:rPr>
          <w:bCs/>
          <w:szCs w:val="18"/>
        </w:rPr>
      </w:pPr>
      <w:r w:rsidRPr="00927AC0">
        <w:rPr>
          <w:bCs/>
          <w:noProof/>
          <w:szCs w:val="18"/>
        </w:rPr>
        <w:lastRenderedPageBreak/>
        <w:drawing>
          <wp:inline distT="0" distB="0" distL="0" distR="0" wp14:anchorId="1EA97ED8" wp14:editId="6773D5EB">
            <wp:extent cx="5486400" cy="7315200"/>
            <wp:effectExtent l="0" t="0" r="0" b="0"/>
            <wp:docPr id="81" name="Picture 1">
              <a:extLst xmlns:a="http://schemas.openxmlformats.org/drawingml/2006/main">
                <a:ext uri="{FF2B5EF4-FFF2-40B4-BE49-F238E27FC236}">
                  <a16:creationId xmlns:a16="http://schemas.microsoft.com/office/drawing/2014/main" id="{21871A6F-56B5-CD49-ABA0-A45796E9E1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1871A6F-56B5-CD49-ABA0-A45796E9E19E}"/>
                        </a:ext>
                      </a:extLst>
                    </pic:cNvPr>
                    <pic:cNvPicPr>
                      <a:picLocks noChangeAspect="1"/>
                    </pic:cNvPicPr>
                  </pic:nvPicPr>
                  <pic:blipFill>
                    <a:blip r:embed="rId79"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48809D9A" w14:textId="77777777" w:rsidR="00CB27AF" w:rsidRPr="00927AC0" w:rsidRDefault="00CB27AF" w:rsidP="00070875">
      <w:pPr>
        <w:spacing w:after="0"/>
      </w:pPr>
      <w:r w:rsidRPr="00927AC0">
        <w:t xml:space="preserve">Figure </w:t>
      </w:r>
      <w:r>
        <w:rPr>
          <w:noProof/>
        </w:rPr>
        <w:t>9</w:t>
      </w:r>
      <w:r w:rsidRPr="00927AC0">
        <w:rPr>
          <w:noProof/>
        </w:rPr>
        <w:t xml:space="preserve"> (cont.)</w:t>
      </w:r>
      <w:r w:rsidRPr="00927AC0">
        <w:t>. Total catch (retained + discards) size compositions for males, normalized by fleet for the directed Tanner crab (by area, TCF: red and green), snow crab (SCF: cyan), and BBRKC (RKF: purple) fisheries. Solid lines: new shell crab; dotted lines: old shell crab.</w:t>
      </w:r>
    </w:p>
    <w:p w14:paraId="092AEF38" w14:textId="77777777" w:rsidR="00CB27AF" w:rsidRPr="00927AC0" w:rsidRDefault="00CB27AF" w:rsidP="001F4A8F">
      <w:pPr>
        <w:spacing w:after="0"/>
        <w:jc w:val="center"/>
        <w:rPr>
          <w:bCs/>
          <w:szCs w:val="18"/>
        </w:rPr>
      </w:pPr>
      <w:r w:rsidRPr="00927AC0">
        <w:rPr>
          <w:bCs/>
          <w:noProof/>
          <w:szCs w:val="18"/>
        </w:rPr>
        <w:lastRenderedPageBreak/>
        <w:drawing>
          <wp:inline distT="0" distB="0" distL="0" distR="0" wp14:anchorId="61E29413" wp14:editId="4C5798D5">
            <wp:extent cx="5486400" cy="7315200"/>
            <wp:effectExtent l="0" t="0" r="0" b="0"/>
            <wp:docPr id="82" name="Picture 1">
              <a:extLst xmlns:a="http://schemas.openxmlformats.org/drawingml/2006/main">
                <a:ext uri="{FF2B5EF4-FFF2-40B4-BE49-F238E27FC236}">
                  <a16:creationId xmlns:a16="http://schemas.microsoft.com/office/drawing/2014/main" id="{987606A7-1086-B140-8EE5-9CCBCD5D0E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87606A7-1086-B140-8EE5-9CCBCD5D0E8E}"/>
                        </a:ext>
                      </a:extLst>
                    </pic:cNvPr>
                    <pic:cNvPicPr>
                      <a:picLocks noChangeAspect="1"/>
                    </pic:cNvPicPr>
                  </pic:nvPicPr>
                  <pic:blipFill>
                    <a:blip r:embed="rId80"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4F27FBC1" w14:textId="77777777" w:rsidR="00CB27AF" w:rsidRPr="00927AC0" w:rsidRDefault="00CB27AF" w:rsidP="00070875">
      <w:pPr>
        <w:spacing w:after="0"/>
      </w:pPr>
      <w:r w:rsidRPr="00927AC0">
        <w:t xml:space="preserve">Figure </w:t>
      </w:r>
      <w:r>
        <w:rPr>
          <w:noProof/>
        </w:rPr>
        <w:t>9</w:t>
      </w:r>
      <w:r w:rsidRPr="00927AC0">
        <w:rPr>
          <w:noProof/>
        </w:rPr>
        <w:t xml:space="preserve"> (cont.)</w:t>
      </w:r>
      <w:r w:rsidRPr="00927AC0">
        <w:t>. Total catch (retained + discards) size compositions for males, normalized by fleet for the directed Tanner crab (by area, TCF: red and green), snow crab (SCF: cyan), and BBRKC (RKF: purple) fisheries. Solid lines: new shell crab; dotted lines: old shell crab.</w:t>
      </w:r>
    </w:p>
    <w:p w14:paraId="4BF1EEBC" w14:textId="77777777" w:rsidR="00CB27AF" w:rsidRPr="00927AC0" w:rsidRDefault="00CB27AF" w:rsidP="001F4A8F">
      <w:pPr>
        <w:spacing w:after="0"/>
        <w:jc w:val="center"/>
        <w:rPr>
          <w:bCs/>
          <w:szCs w:val="18"/>
        </w:rPr>
      </w:pPr>
      <w:r w:rsidRPr="00927AC0">
        <w:rPr>
          <w:bCs/>
          <w:noProof/>
          <w:szCs w:val="18"/>
        </w:rPr>
        <w:lastRenderedPageBreak/>
        <w:drawing>
          <wp:inline distT="0" distB="0" distL="0" distR="0" wp14:anchorId="578F0DDA" wp14:editId="2613424F">
            <wp:extent cx="5486400" cy="7315200"/>
            <wp:effectExtent l="0" t="0" r="0" b="0"/>
            <wp:docPr id="83" name="Picture 1">
              <a:extLst xmlns:a="http://schemas.openxmlformats.org/drawingml/2006/main">
                <a:ext uri="{FF2B5EF4-FFF2-40B4-BE49-F238E27FC236}">
                  <a16:creationId xmlns:a16="http://schemas.microsoft.com/office/drawing/2014/main" id="{27385C09-4B0F-1245-A183-D5C8AEAC51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7385C09-4B0F-1245-A183-D5C8AEAC517A}"/>
                        </a:ext>
                      </a:extLst>
                    </pic:cNvPr>
                    <pic:cNvPicPr>
                      <a:picLocks noChangeAspect="1"/>
                    </pic:cNvPicPr>
                  </pic:nvPicPr>
                  <pic:blipFill>
                    <a:blip r:embed="rId81"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1B60710D" w14:textId="77777777" w:rsidR="00CB27AF" w:rsidRPr="00927AC0" w:rsidRDefault="00CB27AF" w:rsidP="00070875">
      <w:pPr>
        <w:spacing w:after="0"/>
      </w:pPr>
      <w:r w:rsidRPr="00927AC0">
        <w:t xml:space="preserve">Figure </w:t>
      </w:r>
      <w:r>
        <w:rPr>
          <w:noProof/>
        </w:rPr>
        <w:t>9</w:t>
      </w:r>
      <w:r w:rsidRPr="00927AC0">
        <w:rPr>
          <w:noProof/>
        </w:rPr>
        <w:t xml:space="preserve"> (cont.)</w:t>
      </w:r>
      <w:r w:rsidRPr="00927AC0">
        <w:t>. Total catch (retained + discards) size compositions for males, normalized by fleet for the directed Tanner crab (by area, TCF: red and green), snow crab (SCF: cyan), and BBRKC (RKF: purple) fisheries. Solid lines: new shell crab; dotted lines: old shell crab.</w:t>
      </w:r>
    </w:p>
    <w:p w14:paraId="5DDDAF87" w14:textId="77777777" w:rsidR="00CB27AF" w:rsidRPr="00927AC0" w:rsidRDefault="00CB27AF" w:rsidP="001F4A8F">
      <w:pPr>
        <w:spacing w:after="0"/>
        <w:jc w:val="center"/>
        <w:rPr>
          <w:bCs/>
          <w:szCs w:val="18"/>
        </w:rPr>
      </w:pPr>
      <w:r w:rsidRPr="00927AC0">
        <w:rPr>
          <w:bCs/>
          <w:noProof/>
          <w:szCs w:val="18"/>
        </w:rPr>
        <w:lastRenderedPageBreak/>
        <w:drawing>
          <wp:inline distT="0" distB="0" distL="0" distR="0" wp14:anchorId="4BE38992" wp14:editId="73217AB5">
            <wp:extent cx="5486400" cy="73152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1CA3A38A" w14:textId="77777777" w:rsidR="00CB27AF" w:rsidRPr="00927AC0" w:rsidRDefault="00CB27AF" w:rsidP="00070875">
      <w:pPr>
        <w:spacing w:after="0"/>
      </w:pPr>
      <w:r w:rsidRPr="00927AC0">
        <w:t xml:space="preserve">Figure </w:t>
      </w:r>
      <w:r>
        <w:rPr>
          <w:noProof/>
        </w:rPr>
        <w:t>9</w:t>
      </w:r>
      <w:r w:rsidRPr="00927AC0">
        <w:rPr>
          <w:noProof/>
        </w:rPr>
        <w:t xml:space="preserve"> (cont.)</w:t>
      </w:r>
      <w:r w:rsidRPr="00927AC0">
        <w:t>. Total catch (retained + discards) size compositions for males, normalized by fleet for the directed Tanner crab (by area, TCF: red and green), snow crab (SCF: cyan), and BBRKC (RKF: purple) fisheries. Solid lines: new shell crab; dotted lines: old shell crab.</w:t>
      </w:r>
    </w:p>
    <w:p w14:paraId="4CC5A246" w14:textId="77777777" w:rsidR="00CB27AF" w:rsidRPr="00927AC0" w:rsidRDefault="00CB27AF">
      <w:pPr>
        <w:spacing w:after="0"/>
      </w:pPr>
      <w:r w:rsidRPr="00927AC0">
        <w:br w:type="page"/>
      </w:r>
    </w:p>
    <w:p w14:paraId="54EF39A9" w14:textId="77777777" w:rsidR="00CB27AF" w:rsidRPr="00927AC0" w:rsidRDefault="00CB27AF" w:rsidP="00927AC0">
      <w:pPr>
        <w:spacing w:after="0"/>
        <w:jc w:val="center"/>
      </w:pPr>
      <w:r w:rsidRPr="00927AC0">
        <w:rPr>
          <w:noProof/>
        </w:rPr>
        <w:lastRenderedPageBreak/>
        <w:drawing>
          <wp:inline distT="0" distB="0" distL="0" distR="0" wp14:anchorId="666D5555" wp14:editId="0B6F8728">
            <wp:extent cx="5486400" cy="73152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7883E740" w14:textId="77777777" w:rsidR="00CB27AF" w:rsidRDefault="00CB27AF" w:rsidP="00091E3F">
      <w:pPr>
        <w:spacing w:after="0"/>
      </w:pPr>
      <w:bookmarkStart w:id="149" w:name="_Toc50392548"/>
      <w:r w:rsidRPr="00927AC0">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10</w:t>
      </w:r>
      <w:r w:rsidRPr="00CF1718">
        <w:rPr>
          <w:noProof/>
        </w:rPr>
        <w:fldChar w:fldCharType="end"/>
      </w:r>
      <w:r w:rsidRPr="00927AC0">
        <w:t>. Bycatch size compositions for females, normalized by fleet, for the directed Tanner crab (by area, TCF: red and green), snow crab (SCF: cyan), and BBRKC (RKF: purple) fisheries. Solid lines: new shell crab; dotted lines: old shell crab.</w:t>
      </w:r>
      <w:bookmarkEnd w:id="149"/>
    </w:p>
    <w:p w14:paraId="774B80CD" w14:textId="77777777" w:rsidR="00CB27AF" w:rsidRDefault="00CB27AF" w:rsidP="00927AC0">
      <w:pPr>
        <w:spacing w:after="0"/>
        <w:jc w:val="center"/>
      </w:pPr>
      <w:r w:rsidRPr="00927AC0">
        <w:rPr>
          <w:noProof/>
        </w:rPr>
        <w:lastRenderedPageBreak/>
        <w:drawing>
          <wp:inline distT="0" distB="0" distL="0" distR="0" wp14:anchorId="50A0C4E0" wp14:editId="42AD99D2">
            <wp:extent cx="5486400" cy="73152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269930BC" w14:textId="77777777" w:rsidR="00CB27AF" w:rsidRPr="00927AC0" w:rsidRDefault="00CB27AF" w:rsidP="00927AC0">
      <w:pPr>
        <w:spacing w:after="0"/>
      </w:pPr>
      <w:r w:rsidRPr="00927AC0">
        <w:t xml:space="preserve">Figure </w:t>
      </w:r>
      <w:r>
        <w:rPr>
          <w:noProof/>
        </w:rPr>
        <w:t>10 (cont.)</w:t>
      </w:r>
      <w:r w:rsidRPr="00927AC0">
        <w:t>. Bycatch size compositions for females, normalized by fleet, for the directed Tanner crab (by area, TCF: red and green), snow crab (SCF: cyan), and BBRKC (RKF: purple) fisheries. Solid lines: new shell crab; dotted lines: old shell crab.</w:t>
      </w:r>
    </w:p>
    <w:p w14:paraId="5DEF644D" w14:textId="77777777" w:rsidR="00CB27AF" w:rsidRDefault="00CB27AF" w:rsidP="00927AC0">
      <w:pPr>
        <w:spacing w:after="0"/>
        <w:jc w:val="center"/>
      </w:pPr>
      <w:r w:rsidRPr="00927AC0">
        <w:rPr>
          <w:noProof/>
        </w:rPr>
        <w:lastRenderedPageBreak/>
        <w:drawing>
          <wp:inline distT="0" distB="0" distL="0" distR="0" wp14:anchorId="18F2DBF7" wp14:editId="37ED61EE">
            <wp:extent cx="5486400" cy="73152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43E7CD2B" w14:textId="77777777" w:rsidR="00CB27AF" w:rsidRPr="00927AC0" w:rsidRDefault="00CB27AF" w:rsidP="00927AC0">
      <w:pPr>
        <w:spacing w:after="0"/>
      </w:pPr>
      <w:r w:rsidRPr="00927AC0">
        <w:t xml:space="preserve">Figure </w:t>
      </w:r>
      <w:r>
        <w:rPr>
          <w:noProof/>
        </w:rPr>
        <w:t>10 (cont.)</w:t>
      </w:r>
      <w:r w:rsidRPr="00927AC0">
        <w:t>. Bycatch size compositions for females, normalized by fleet, for the directed Tanner crab (by area, TCF: red and green), snow crab (SCF: cyan), and BBRKC (RKF: purple) fisheries. Solid lines: new shell crab; dotted lines: old shell crab.</w:t>
      </w:r>
    </w:p>
    <w:p w14:paraId="2EB6B361" w14:textId="77777777" w:rsidR="00CB27AF" w:rsidRDefault="00CB27AF" w:rsidP="00927AC0">
      <w:pPr>
        <w:spacing w:after="0"/>
        <w:jc w:val="center"/>
      </w:pPr>
      <w:r w:rsidRPr="00927AC0">
        <w:rPr>
          <w:noProof/>
        </w:rPr>
        <w:lastRenderedPageBreak/>
        <w:drawing>
          <wp:inline distT="0" distB="0" distL="0" distR="0" wp14:anchorId="28D2C114" wp14:editId="3845D909">
            <wp:extent cx="5486400" cy="7315200"/>
            <wp:effectExtent l="0" t="0" r="0" b="0"/>
            <wp:docPr id="88" name="Picture 1">
              <a:extLst xmlns:a="http://schemas.openxmlformats.org/drawingml/2006/main">
                <a:ext uri="{FF2B5EF4-FFF2-40B4-BE49-F238E27FC236}">
                  <a16:creationId xmlns:a16="http://schemas.microsoft.com/office/drawing/2014/main" id="{74073075-736C-574C-AED4-D0A34717D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4073075-736C-574C-AED4-D0A34717DDA4}"/>
                        </a:ext>
                      </a:extLst>
                    </pic:cNvPr>
                    <pic:cNvPicPr>
                      <a:picLocks noChangeAspect="1"/>
                    </pic:cNvPicPr>
                  </pic:nvPicPr>
                  <pic:blipFill>
                    <a:blip r:embed="rId86"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320C5207" w14:textId="77777777" w:rsidR="00CB27AF" w:rsidRPr="00927AC0" w:rsidRDefault="00CB27AF" w:rsidP="00927AC0">
      <w:pPr>
        <w:spacing w:after="0"/>
      </w:pPr>
      <w:r w:rsidRPr="00927AC0">
        <w:t xml:space="preserve">Figure </w:t>
      </w:r>
      <w:r>
        <w:rPr>
          <w:noProof/>
        </w:rPr>
        <w:t>10 (cont.)</w:t>
      </w:r>
      <w:r w:rsidRPr="00927AC0">
        <w:t>. Bycatch size compositions for females, normalized by fleet, for the directed Tanner crab (by area, TCF: red and green), snow crab (SCF: cyan), and BBRKC (RKF: purple) fisheries. Solid lines: new shell crab; dotted lines: old shell crab.</w:t>
      </w:r>
    </w:p>
    <w:p w14:paraId="1DB39C74" w14:textId="77777777" w:rsidR="00CB27AF" w:rsidRPr="00927AC0" w:rsidRDefault="00CB27AF" w:rsidP="00927AC0">
      <w:pPr>
        <w:spacing w:after="0"/>
        <w:jc w:val="center"/>
      </w:pPr>
      <w:r w:rsidRPr="00927AC0">
        <w:rPr>
          <w:noProof/>
        </w:rPr>
        <w:lastRenderedPageBreak/>
        <w:drawing>
          <wp:inline distT="0" distB="0" distL="0" distR="0" wp14:anchorId="6AA3EDA8" wp14:editId="2DE1397F">
            <wp:extent cx="5486400" cy="7315200"/>
            <wp:effectExtent l="0" t="0" r="0" b="0"/>
            <wp:docPr id="89" name="Picture 1">
              <a:extLst xmlns:a="http://schemas.openxmlformats.org/drawingml/2006/main">
                <a:ext uri="{FF2B5EF4-FFF2-40B4-BE49-F238E27FC236}">
                  <a16:creationId xmlns:a16="http://schemas.microsoft.com/office/drawing/2014/main" id="{2A82D72E-42DF-1E49-9398-DE764F69CC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A82D72E-42DF-1E49-9398-DE764F69CCA0}"/>
                        </a:ext>
                      </a:extLst>
                    </pic:cNvPr>
                    <pic:cNvPicPr>
                      <a:picLocks noChangeAspect="1"/>
                    </pic:cNvPicPr>
                  </pic:nvPicPr>
                  <pic:blipFill>
                    <a:blip r:embed="rId87"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0E85D3AD" w14:textId="77777777" w:rsidR="00CB27AF" w:rsidRPr="004A51E5" w:rsidRDefault="00CB27AF" w:rsidP="00927AC0">
      <w:pPr>
        <w:spacing w:after="0"/>
      </w:pPr>
      <w:r w:rsidRPr="004A51E5">
        <w:t xml:space="preserve">Figure </w:t>
      </w:r>
      <w:r>
        <w:rPr>
          <w:noProof/>
        </w:rPr>
        <w:t>10</w:t>
      </w:r>
      <w:r w:rsidRPr="004A51E5">
        <w:rPr>
          <w:noProof/>
        </w:rPr>
        <w:t xml:space="preserve"> (cont.)</w:t>
      </w:r>
      <w:r w:rsidRPr="004A51E5">
        <w:t>. Bycatch size compositions for females, normalized by fleet, for the directed Tanner crab (by area, TCF: red and green), snow crab (SCF: cyan), and BBRKC (RKF: purple) fisheries. Solid lines: new shell crab; dotted lines: old shell crab.</w:t>
      </w:r>
    </w:p>
    <w:p w14:paraId="3F165CE7" w14:textId="77777777" w:rsidR="00CB27AF" w:rsidRPr="004A51E5" w:rsidRDefault="00CB27AF" w:rsidP="00927AC0">
      <w:pPr>
        <w:spacing w:after="0"/>
        <w:jc w:val="center"/>
      </w:pPr>
      <w:r w:rsidRPr="004A51E5">
        <w:rPr>
          <w:noProof/>
        </w:rPr>
        <w:lastRenderedPageBreak/>
        <w:drawing>
          <wp:inline distT="0" distB="0" distL="0" distR="0" wp14:anchorId="34679375" wp14:editId="0490AC93">
            <wp:extent cx="5486400" cy="7315200"/>
            <wp:effectExtent l="0" t="0" r="0" b="0"/>
            <wp:docPr id="90" name="Picture 1">
              <a:extLst xmlns:a="http://schemas.openxmlformats.org/drawingml/2006/main">
                <a:ext uri="{FF2B5EF4-FFF2-40B4-BE49-F238E27FC236}">
                  <a16:creationId xmlns:a16="http://schemas.microsoft.com/office/drawing/2014/main" id="{921C6CBD-11D8-D046-AD49-FF6159E77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21C6CBD-11D8-D046-AD49-FF6159E7752C}"/>
                        </a:ext>
                      </a:extLst>
                    </pic:cNvPr>
                    <pic:cNvPicPr>
                      <a:picLocks noChangeAspect="1"/>
                    </pic:cNvPicPr>
                  </pic:nvPicPr>
                  <pic:blipFill>
                    <a:blip r:embed="rId88"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57F6E794" w14:textId="77777777" w:rsidR="00CB27AF" w:rsidRPr="004A51E5" w:rsidRDefault="00CB27AF" w:rsidP="00927AC0">
      <w:pPr>
        <w:spacing w:after="0"/>
      </w:pPr>
      <w:r w:rsidRPr="004A51E5">
        <w:t xml:space="preserve">Figure </w:t>
      </w:r>
      <w:r>
        <w:rPr>
          <w:noProof/>
        </w:rPr>
        <w:t>10</w:t>
      </w:r>
      <w:r w:rsidRPr="004A51E5">
        <w:rPr>
          <w:noProof/>
        </w:rPr>
        <w:t xml:space="preserve"> (cont.)</w:t>
      </w:r>
      <w:r w:rsidRPr="004A51E5">
        <w:t>. Bycatch size compositions for females, normalized by fleet, for the directed Tanner crab (by area, TCF: red and green), snow crab (SCF: cyan), and BBRKC (RKF: purple) fisheries. Solid lines: new shell crab; dotted lines: old shell crab.</w:t>
      </w:r>
    </w:p>
    <w:p w14:paraId="361EF48E" w14:textId="77777777" w:rsidR="00CB27AF" w:rsidRPr="004A51E5" w:rsidRDefault="00CB27AF">
      <w:pPr>
        <w:spacing w:after="0"/>
      </w:pPr>
      <w:r w:rsidRPr="004A51E5">
        <w:br w:type="page"/>
      </w:r>
    </w:p>
    <w:p w14:paraId="5C98B29E" w14:textId="77777777" w:rsidR="00CB27AF" w:rsidRPr="004A51E5" w:rsidRDefault="00CB27AF" w:rsidP="004A51E5">
      <w:pPr>
        <w:spacing w:after="0"/>
        <w:jc w:val="center"/>
      </w:pPr>
      <w:r w:rsidRPr="004A51E5">
        <w:rPr>
          <w:noProof/>
        </w:rPr>
        <w:lastRenderedPageBreak/>
        <w:drawing>
          <wp:inline distT="0" distB="0" distL="0" distR="0" wp14:anchorId="3D39384D" wp14:editId="5731C4F4">
            <wp:extent cx="5486400" cy="7315200"/>
            <wp:effectExtent l="0" t="0" r="0" b="0"/>
            <wp:docPr id="91" name="Picture 3">
              <a:extLst xmlns:a="http://schemas.openxmlformats.org/drawingml/2006/main">
                <a:ext uri="{FF2B5EF4-FFF2-40B4-BE49-F238E27FC236}">
                  <a16:creationId xmlns:a16="http://schemas.microsoft.com/office/drawing/2014/main" id="{282D606F-187F-9A45-99B6-3AC1046BEF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82D606F-187F-9A45-99B6-3AC1046BEFAF}"/>
                        </a:ext>
                      </a:extLst>
                    </pic:cNvPr>
                    <pic:cNvPicPr>
                      <a:picLocks noChangeAspect="1"/>
                    </pic:cNvPicPr>
                  </pic:nvPicPr>
                  <pic:blipFill>
                    <a:blip r:embed="rId89"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690938BA" w14:textId="77777777" w:rsidR="00CB27AF" w:rsidRPr="004A51E5" w:rsidRDefault="00CB27AF" w:rsidP="00091E3F">
      <w:pPr>
        <w:spacing w:after="0"/>
      </w:pPr>
      <w:bookmarkStart w:id="150" w:name="_Toc50392549"/>
      <w:r w:rsidRPr="004A51E5">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11</w:t>
      </w:r>
      <w:r w:rsidRPr="00CF1718">
        <w:rPr>
          <w:noProof/>
        </w:rPr>
        <w:fldChar w:fldCharType="end"/>
      </w:r>
      <w:r w:rsidRPr="004A51E5">
        <w:t>. Annual bycatch size compositions in the groundfish fisheries by sex and gear type, expanded to total bycatch starting in 1990. Colors indicate gear type (red: all types, olive: fixed gear, cyan: trawl gear, purple: undetermined). Line type indicates sex (solid: males, dotted: females).</w:t>
      </w:r>
      <w:bookmarkEnd w:id="150"/>
    </w:p>
    <w:p w14:paraId="21D235E7" w14:textId="77777777" w:rsidR="00CB27AF" w:rsidRPr="004A51E5" w:rsidRDefault="00CB27AF" w:rsidP="004A51E5">
      <w:pPr>
        <w:spacing w:after="0"/>
        <w:jc w:val="center"/>
      </w:pPr>
      <w:r w:rsidRPr="004A51E5">
        <w:rPr>
          <w:noProof/>
        </w:rPr>
        <w:lastRenderedPageBreak/>
        <w:drawing>
          <wp:inline distT="0" distB="0" distL="0" distR="0" wp14:anchorId="2B5D9C75" wp14:editId="414809D9">
            <wp:extent cx="5486400" cy="7315200"/>
            <wp:effectExtent l="0" t="0" r="0" b="0"/>
            <wp:docPr id="92" name="Picture 1">
              <a:extLst xmlns:a="http://schemas.openxmlformats.org/drawingml/2006/main">
                <a:ext uri="{FF2B5EF4-FFF2-40B4-BE49-F238E27FC236}">
                  <a16:creationId xmlns:a16="http://schemas.microsoft.com/office/drawing/2014/main" id="{A3AD4F02-41F2-9040-8E57-F326F268E7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3AD4F02-41F2-9040-8E57-F326F268E7CA}"/>
                        </a:ext>
                      </a:extLst>
                    </pic:cNvPr>
                    <pic:cNvPicPr>
                      <a:picLocks noChangeAspect="1"/>
                    </pic:cNvPicPr>
                  </pic:nvPicPr>
                  <pic:blipFill>
                    <a:blip r:embed="rId90"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186A9BD6" w14:textId="77777777" w:rsidR="00CB27AF" w:rsidRPr="004A51E5" w:rsidRDefault="00CB27AF" w:rsidP="004A51E5">
      <w:pPr>
        <w:spacing w:after="0"/>
      </w:pPr>
      <w:r w:rsidRPr="004A51E5">
        <w:t xml:space="preserve">Figure </w:t>
      </w:r>
      <w:r>
        <w:rPr>
          <w:noProof/>
        </w:rPr>
        <w:t>11</w:t>
      </w:r>
      <w:r w:rsidRPr="004A51E5">
        <w:rPr>
          <w:noProof/>
        </w:rPr>
        <w:t xml:space="preserve"> (cont.)</w:t>
      </w:r>
      <w:r w:rsidRPr="004A51E5">
        <w:t>. Annual bycatch size compositions in the groundfish fisheries by sex and gear type, expanded to total bycatch starting in 1990. Colors indicate gear type (red: all types, olive: fixed gear, cyan: trawl gear, purple: undetermined). Line type indicates sex (solid: males, dotted: females).</w:t>
      </w:r>
    </w:p>
    <w:p w14:paraId="4CE92E11" w14:textId="77777777" w:rsidR="00CB27AF" w:rsidRPr="004A51E5" w:rsidRDefault="00CB27AF" w:rsidP="004A51E5">
      <w:pPr>
        <w:spacing w:after="0"/>
      </w:pPr>
      <w:r w:rsidRPr="004A51E5">
        <w:rPr>
          <w:noProof/>
        </w:rPr>
        <w:lastRenderedPageBreak/>
        <w:drawing>
          <wp:inline distT="0" distB="0" distL="0" distR="0" wp14:anchorId="03AE9F67" wp14:editId="5D25F687">
            <wp:extent cx="5486400" cy="7315200"/>
            <wp:effectExtent l="0" t="0" r="0" b="0"/>
            <wp:docPr id="93" name="Picture 1">
              <a:extLst xmlns:a="http://schemas.openxmlformats.org/drawingml/2006/main">
                <a:ext uri="{FF2B5EF4-FFF2-40B4-BE49-F238E27FC236}">
                  <a16:creationId xmlns:a16="http://schemas.microsoft.com/office/drawing/2014/main" id="{EDCFEF47-DCC2-0843-8375-298390A117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DCFEF47-DCC2-0843-8375-298390A11759}"/>
                        </a:ext>
                      </a:extLst>
                    </pic:cNvPr>
                    <pic:cNvPicPr>
                      <a:picLocks noChangeAspect="1"/>
                    </pic:cNvPicPr>
                  </pic:nvPicPr>
                  <pic:blipFill>
                    <a:blip r:embed="rId91"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28992D66" w14:textId="77777777" w:rsidR="00CB27AF" w:rsidRPr="004A51E5" w:rsidRDefault="00CB27AF" w:rsidP="004A51E5">
      <w:pPr>
        <w:spacing w:after="0"/>
      </w:pPr>
      <w:r w:rsidRPr="004A51E5">
        <w:t xml:space="preserve">Figure </w:t>
      </w:r>
      <w:r>
        <w:rPr>
          <w:noProof/>
        </w:rPr>
        <w:t>11</w:t>
      </w:r>
      <w:r w:rsidRPr="004A51E5">
        <w:rPr>
          <w:noProof/>
        </w:rPr>
        <w:t xml:space="preserve"> (cont.)</w:t>
      </w:r>
      <w:r w:rsidRPr="004A51E5">
        <w:t>. Annual bycatch size compositions in the groundfish fisheries by sex and gear type, expanded to total bycatch starting in 1990. Colors indicate gear type (red: all types, olive: fixed gear, cyan: trawl gear, purple: undetermined). Line type indicates sex (solid: males, dotted: females).</w:t>
      </w:r>
    </w:p>
    <w:p w14:paraId="176F7920" w14:textId="77777777" w:rsidR="00CB27AF" w:rsidRPr="004A51E5" w:rsidRDefault="00CB27AF" w:rsidP="004A51E5">
      <w:pPr>
        <w:spacing w:after="0"/>
      </w:pPr>
      <w:r w:rsidRPr="004A51E5">
        <w:rPr>
          <w:noProof/>
        </w:rPr>
        <w:lastRenderedPageBreak/>
        <w:drawing>
          <wp:inline distT="0" distB="0" distL="0" distR="0" wp14:anchorId="146F7728" wp14:editId="133AF268">
            <wp:extent cx="5486400" cy="7315200"/>
            <wp:effectExtent l="0" t="0" r="0" b="0"/>
            <wp:docPr id="94" name="Picture 1">
              <a:extLst xmlns:a="http://schemas.openxmlformats.org/drawingml/2006/main">
                <a:ext uri="{FF2B5EF4-FFF2-40B4-BE49-F238E27FC236}">
                  <a16:creationId xmlns:a16="http://schemas.microsoft.com/office/drawing/2014/main" id="{EA74DA31-86A7-824D-BE23-E81D406EF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A74DA31-86A7-824D-BE23-E81D406EFE50}"/>
                        </a:ext>
                      </a:extLst>
                    </pic:cNvPr>
                    <pic:cNvPicPr>
                      <a:picLocks noChangeAspect="1"/>
                    </pic:cNvPicPr>
                  </pic:nvPicPr>
                  <pic:blipFill>
                    <a:blip r:embed="rId92" cstate="email">
                      <a:extLst>
                        <a:ext uri="{28A0092B-C50C-407E-A947-70E740481C1C}">
                          <a14:useLocalDpi xmlns:a14="http://schemas.microsoft.com/office/drawing/2010/main"/>
                        </a:ext>
                      </a:extLst>
                    </a:blip>
                    <a:stretch>
                      <a:fillRect/>
                    </a:stretch>
                  </pic:blipFill>
                  <pic:spPr>
                    <a:xfrm>
                      <a:off x="0" y="0"/>
                      <a:ext cx="5486400" cy="7315200"/>
                    </a:xfrm>
                    <a:prstGeom prst="rect">
                      <a:avLst/>
                    </a:prstGeom>
                  </pic:spPr>
                </pic:pic>
              </a:graphicData>
            </a:graphic>
          </wp:inline>
        </w:drawing>
      </w:r>
    </w:p>
    <w:p w14:paraId="2A8676A6" w14:textId="77777777" w:rsidR="00CB27AF" w:rsidRPr="004A51E5" w:rsidRDefault="00CB27AF" w:rsidP="004A51E5">
      <w:pPr>
        <w:spacing w:after="0"/>
      </w:pPr>
      <w:r w:rsidRPr="004A51E5">
        <w:t xml:space="preserve">Figure </w:t>
      </w:r>
      <w:r>
        <w:rPr>
          <w:noProof/>
        </w:rPr>
        <w:t>11</w:t>
      </w:r>
      <w:r w:rsidRPr="004A51E5">
        <w:rPr>
          <w:noProof/>
        </w:rPr>
        <w:t xml:space="preserve"> (cont.)</w:t>
      </w:r>
      <w:r w:rsidRPr="004A51E5">
        <w:t>. Annual bycatch size compositions in the groundfish fisheries by sex and gear type, expanded to total bycatch starting in 1990. Colors indicate gear type (red: all types, olive: fixed gear, cyan: trawl gear, purple: undetermined). Line type indicates sex (solid: males, dotted: females).</w:t>
      </w:r>
    </w:p>
    <w:p w14:paraId="038296B9" w14:textId="77777777" w:rsidR="00CB27AF" w:rsidRPr="004A51E5" w:rsidRDefault="00CB27AF" w:rsidP="004A51E5">
      <w:pPr>
        <w:spacing w:after="0"/>
      </w:pPr>
    </w:p>
    <w:p w14:paraId="43DCF792" w14:textId="77777777" w:rsidR="00CB27AF" w:rsidRPr="004A51E5" w:rsidRDefault="00CB27AF">
      <w:pPr>
        <w:spacing w:after="0"/>
      </w:pPr>
      <w:r w:rsidRPr="004A51E5">
        <w:br w:type="page"/>
      </w:r>
    </w:p>
    <w:p w14:paraId="0F127701" w14:textId="77777777" w:rsidR="00CB27AF" w:rsidRDefault="00CB27AF" w:rsidP="00091E3F">
      <w:pPr>
        <w:spacing w:after="0"/>
      </w:pPr>
      <w:r w:rsidRPr="00CF1718">
        <w:rPr>
          <w:noProof/>
        </w:rPr>
        <w:lastRenderedPageBreak/>
        <w:drawing>
          <wp:inline distT="0" distB="0" distL="0" distR="0" wp14:anchorId="57722E16" wp14:editId="525EE592">
            <wp:extent cx="5943600" cy="6309360"/>
            <wp:effectExtent l="0" t="0" r="0"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email">
                      <a:extLst>
                        <a:ext uri="{28A0092B-C50C-407E-A947-70E740481C1C}">
                          <a14:useLocalDpi xmlns:a14="http://schemas.microsoft.com/office/drawing/2010/main"/>
                        </a:ext>
                      </a:extLst>
                    </a:blip>
                    <a:stretch>
                      <a:fillRect/>
                    </a:stretch>
                  </pic:blipFill>
                  <pic:spPr>
                    <a:xfrm>
                      <a:off x="0" y="0"/>
                      <a:ext cx="5943600" cy="6309360"/>
                    </a:xfrm>
                    <a:prstGeom prst="rect">
                      <a:avLst/>
                    </a:prstGeom>
                  </pic:spPr>
                </pic:pic>
              </a:graphicData>
            </a:graphic>
          </wp:inline>
        </w:drawing>
      </w:r>
    </w:p>
    <w:p w14:paraId="526C2878" w14:textId="77777777" w:rsidR="00CB27AF" w:rsidRPr="00CF1718" w:rsidRDefault="00CB27AF" w:rsidP="004A51E5">
      <w:pPr>
        <w:spacing w:after="0"/>
      </w:pPr>
      <w:bookmarkStart w:id="151" w:name="_Toc50392550"/>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12</w:t>
      </w:r>
      <w:r w:rsidRPr="00CF1718">
        <w:rPr>
          <w:noProof/>
        </w:rPr>
        <w:fldChar w:fldCharType="end"/>
      </w:r>
      <w:r w:rsidRPr="00CF1718">
        <w:t>. Annual estimates of area-swept biomass from the NMFS EBS bottom trawl survey, by sex, maturity state, and management area. Red lines: total biomass; green lines: biomass in the eastern area; blue: biomass in the western area.</w:t>
      </w:r>
      <w:bookmarkEnd w:id="151"/>
    </w:p>
    <w:p w14:paraId="1A596BE6" w14:textId="77777777" w:rsidR="00CB27AF" w:rsidRPr="00CF1718" w:rsidRDefault="00CB27AF" w:rsidP="00091E3F">
      <w:pPr>
        <w:spacing w:after="0"/>
      </w:pPr>
      <w:r w:rsidRPr="00CF1718">
        <w:rPr>
          <w:noProof/>
        </w:rPr>
        <w:lastRenderedPageBreak/>
        <w:drawing>
          <wp:inline distT="0" distB="0" distL="0" distR="0" wp14:anchorId="1D99FB3E" wp14:editId="37482DE6">
            <wp:extent cx="5943600" cy="5522976"/>
            <wp:effectExtent l="0" t="0" r="0" b="19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email">
                      <a:extLst>
                        <a:ext uri="{28A0092B-C50C-407E-A947-70E740481C1C}">
                          <a14:useLocalDpi xmlns:a14="http://schemas.microsoft.com/office/drawing/2010/main"/>
                        </a:ext>
                      </a:extLst>
                    </a:blip>
                    <a:stretch>
                      <a:fillRect/>
                    </a:stretch>
                  </pic:blipFill>
                  <pic:spPr>
                    <a:xfrm>
                      <a:off x="0" y="0"/>
                      <a:ext cx="5943600" cy="5522976"/>
                    </a:xfrm>
                    <a:prstGeom prst="rect">
                      <a:avLst/>
                    </a:prstGeom>
                  </pic:spPr>
                </pic:pic>
              </a:graphicData>
            </a:graphic>
          </wp:inline>
        </w:drawing>
      </w:r>
    </w:p>
    <w:p w14:paraId="738D0409" w14:textId="77777777" w:rsidR="00CB27AF" w:rsidRPr="00CF1718" w:rsidRDefault="00CB27AF" w:rsidP="00091E3F">
      <w:pPr>
        <w:spacing w:after="0"/>
      </w:pPr>
      <w:r w:rsidRPr="00CF1718">
        <w:t>Figure</w:t>
      </w:r>
      <w:r>
        <w:t xml:space="preserve"> </w:t>
      </w:r>
      <w:r>
        <w:rPr>
          <w:noProof/>
        </w:rPr>
        <w:t>12 (cont.)</w:t>
      </w:r>
      <w:r w:rsidRPr="00CF1718">
        <w:t>. Annual estimates of area-swept biomass from the NMFS EBS bottom trawl survey, by sex, maturity state, and management area. Red lines: total biomass; green lines: biomass in the eastern area; blue: biomass in the western area.</w:t>
      </w:r>
    </w:p>
    <w:p w14:paraId="03E0B0EE" w14:textId="77777777" w:rsidR="00CB27AF" w:rsidRPr="00CF1718" w:rsidRDefault="00CB27AF">
      <w:pPr>
        <w:spacing w:after="0"/>
      </w:pPr>
      <w:r w:rsidRPr="00CF1718">
        <w:br w:type="page"/>
      </w:r>
    </w:p>
    <w:p w14:paraId="5DF03E0D" w14:textId="77777777" w:rsidR="00CB27AF" w:rsidRPr="00CF1718" w:rsidRDefault="00CB27AF" w:rsidP="00F32F78">
      <w:pPr>
        <w:spacing w:after="0"/>
        <w:jc w:val="center"/>
      </w:pPr>
      <w:r w:rsidRPr="00CF1718">
        <w:rPr>
          <w:noProof/>
        </w:rPr>
        <w:lastRenderedPageBreak/>
        <w:drawing>
          <wp:inline distT="0" distB="0" distL="0" distR="0" wp14:anchorId="6715A91E" wp14:editId="4505D890">
            <wp:extent cx="5696712" cy="3657600"/>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email">
                      <a:extLst>
                        <a:ext uri="{28A0092B-C50C-407E-A947-70E740481C1C}">
                          <a14:useLocalDpi xmlns:a14="http://schemas.microsoft.com/office/drawing/2010/main"/>
                        </a:ext>
                      </a:extLst>
                    </a:blip>
                    <a:stretch>
                      <a:fillRect/>
                    </a:stretch>
                  </pic:blipFill>
                  <pic:spPr>
                    <a:xfrm>
                      <a:off x="0" y="0"/>
                      <a:ext cx="5696712" cy="3657600"/>
                    </a:xfrm>
                    <a:prstGeom prst="rect">
                      <a:avLst/>
                    </a:prstGeom>
                  </pic:spPr>
                </pic:pic>
              </a:graphicData>
            </a:graphic>
          </wp:inline>
        </w:drawing>
      </w:r>
      <w:r w:rsidRPr="00CF1718">
        <w:rPr>
          <w:noProof/>
        </w:rPr>
        <w:drawing>
          <wp:inline distT="0" distB="0" distL="0" distR="0" wp14:anchorId="0C51DF09" wp14:editId="3BE62420">
            <wp:extent cx="5660136" cy="3657600"/>
            <wp:effectExtent l="0" t="0" r="444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email">
                      <a:extLst>
                        <a:ext uri="{28A0092B-C50C-407E-A947-70E740481C1C}">
                          <a14:useLocalDpi xmlns:a14="http://schemas.microsoft.com/office/drawing/2010/main"/>
                        </a:ext>
                      </a:extLst>
                    </a:blip>
                    <a:stretch>
                      <a:fillRect/>
                    </a:stretch>
                  </pic:blipFill>
                  <pic:spPr>
                    <a:xfrm>
                      <a:off x="0" y="0"/>
                      <a:ext cx="5660136" cy="3657600"/>
                    </a:xfrm>
                    <a:prstGeom prst="rect">
                      <a:avLst/>
                    </a:prstGeom>
                  </pic:spPr>
                </pic:pic>
              </a:graphicData>
            </a:graphic>
          </wp:inline>
        </w:drawing>
      </w:r>
    </w:p>
    <w:p w14:paraId="64895D46" w14:textId="77777777" w:rsidR="00CB27AF" w:rsidRPr="00CF1718" w:rsidRDefault="00CB27AF" w:rsidP="00091E3F">
      <w:pPr>
        <w:spacing w:after="0"/>
      </w:pPr>
      <w:bookmarkStart w:id="152" w:name="_Toc50392551"/>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13</w:t>
      </w:r>
      <w:r w:rsidRPr="00CF1718">
        <w:rPr>
          <w:noProof/>
        </w:rPr>
        <w:fldChar w:fldCharType="end"/>
      </w:r>
      <w:r w:rsidRPr="00CF1718">
        <w:t>. Annual estimates of area-swept biomass from the NMFS EBS bottom trawl survey for preferred-size (&gt;125 mm CW) legal males . Red lines: total biomass; green lines: biomass in the eastern area; blue: biomass in the western area.</w:t>
      </w:r>
      <w:bookmarkEnd w:id="152"/>
    </w:p>
    <w:p w14:paraId="04CC3D7F" w14:textId="77777777" w:rsidR="00CB27AF" w:rsidRPr="00CF1718" w:rsidRDefault="00CB27AF">
      <w:pPr>
        <w:spacing w:after="0"/>
      </w:pPr>
      <w:r w:rsidRPr="00CF1718">
        <w:br w:type="page"/>
      </w:r>
    </w:p>
    <w:p w14:paraId="2A5FD64E" w14:textId="77777777" w:rsidR="00CB27AF" w:rsidRPr="00CF1718" w:rsidRDefault="00CB27AF" w:rsidP="00AC4681">
      <w:pPr>
        <w:spacing w:after="0"/>
        <w:jc w:val="center"/>
      </w:pPr>
      <w:r w:rsidRPr="00CF1718">
        <w:rPr>
          <w:noProof/>
        </w:rPr>
        <w:lastRenderedPageBreak/>
        <w:drawing>
          <wp:inline distT="0" distB="0" distL="0" distR="0" wp14:anchorId="0704C0E3" wp14:editId="5C686F19">
            <wp:extent cx="2743200" cy="152704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email">
                      <a:extLst>
                        <a:ext uri="{28A0092B-C50C-407E-A947-70E740481C1C}">
                          <a14:useLocalDpi xmlns:a14="http://schemas.microsoft.com/office/drawing/2010/main"/>
                        </a:ext>
                      </a:extLst>
                    </a:blip>
                    <a:stretch>
                      <a:fillRect/>
                    </a:stretch>
                  </pic:blipFill>
                  <pic:spPr>
                    <a:xfrm>
                      <a:off x="0" y="0"/>
                      <a:ext cx="2743200" cy="1527048"/>
                    </a:xfrm>
                    <a:prstGeom prst="rect">
                      <a:avLst/>
                    </a:prstGeom>
                  </pic:spPr>
                </pic:pic>
              </a:graphicData>
            </a:graphic>
          </wp:inline>
        </w:drawing>
      </w:r>
      <w:r w:rsidRPr="00CF1718">
        <w:rPr>
          <w:noProof/>
        </w:rPr>
        <w:drawing>
          <wp:inline distT="0" distB="0" distL="0" distR="0" wp14:anchorId="2D7AF97C" wp14:editId="61C1D6FF">
            <wp:extent cx="2743200" cy="152704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email">
                      <a:extLst>
                        <a:ext uri="{28A0092B-C50C-407E-A947-70E740481C1C}">
                          <a14:useLocalDpi xmlns:a14="http://schemas.microsoft.com/office/drawing/2010/main"/>
                        </a:ext>
                      </a:extLst>
                    </a:blip>
                    <a:stretch>
                      <a:fillRect/>
                    </a:stretch>
                  </pic:blipFill>
                  <pic:spPr>
                    <a:xfrm>
                      <a:off x="0" y="0"/>
                      <a:ext cx="2743200" cy="1527048"/>
                    </a:xfrm>
                    <a:prstGeom prst="rect">
                      <a:avLst/>
                    </a:prstGeom>
                  </pic:spPr>
                </pic:pic>
              </a:graphicData>
            </a:graphic>
          </wp:inline>
        </w:drawing>
      </w:r>
      <w:r w:rsidRPr="00CF1718">
        <w:rPr>
          <w:noProof/>
        </w:rPr>
        <w:drawing>
          <wp:inline distT="0" distB="0" distL="0" distR="0" wp14:anchorId="6461E361" wp14:editId="1A5CEBEA">
            <wp:extent cx="2743200" cy="1536192"/>
            <wp:effectExtent l="0" t="0" r="0" b="63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email">
                      <a:extLst>
                        <a:ext uri="{28A0092B-C50C-407E-A947-70E740481C1C}">
                          <a14:useLocalDpi xmlns:a14="http://schemas.microsoft.com/office/drawing/2010/main"/>
                        </a:ext>
                      </a:extLst>
                    </a:blip>
                    <a:stretch>
                      <a:fillRect/>
                    </a:stretch>
                  </pic:blipFill>
                  <pic:spPr>
                    <a:xfrm>
                      <a:off x="0" y="0"/>
                      <a:ext cx="2743200" cy="1536192"/>
                    </a:xfrm>
                    <a:prstGeom prst="rect">
                      <a:avLst/>
                    </a:prstGeom>
                  </pic:spPr>
                </pic:pic>
              </a:graphicData>
            </a:graphic>
          </wp:inline>
        </w:drawing>
      </w:r>
      <w:r w:rsidRPr="00CF1718">
        <w:rPr>
          <w:noProof/>
        </w:rPr>
        <w:drawing>
          <wp:inline distT="0" distB="0" distL="0" distR="0" wp14:anchorId="79D32428" wp14:editId="341EFC8E">
            <wp:extent cx="2743200" cy="1545336"/>
            <wp:effectExtent l="0" t="0" r="0"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email">
                      <a:extLst>
                        <a:ext uri="{28A0092B-C50C-407E-A947-70E740481C1C}">
                          <a14:useLocalDpi xmlns:a14="http://schemas.microsoft.com/office/drawing/2010/main"/>
                        </a:ext>
                      </a:extLst>
                    </a:blip>
                    <a:stretch>
                      <a:fillRect/>
                    </a:stretch>
                  </pic:blipFill>
                  <pic:spPr>
                    <a:xfrm>
                      <a:off x="0" y="0"/>
                      <a:ext cx="2743200" cy="1545336"/>
                    </a:xfrm>
                    <a:prstGeom prst="rect">
                      <a:avLst/>
                    </a:prstGeom>
                  </pic:spPr>
                </pic:pic>
              </a:graphicData>
            </a:graphic>
          </wp:inline>
        </w:drawing>
      </w:r>
      <w:r w:rsidRPr="00CF1718">
        <w:rPr>
          <w:noProof/>
        </w:rPr>
        <w:drawing>
          <wp:inline distT="0" distB="0" distL="0" distR="0" wp14:anchorId="23CBAE53" wp14:editId="57EB7EB7">
            <wp:extent cx="2743200" cy="1536192"/>
            <wp:effectExtent l="0" t="0" r="0" b="63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email">
                      <a:extLst>
                        <a:ext uri="{28A0092B-C50C-407E-A947-70E740481C1C}">
                          <a14:useLocalDpi xmlns:a14="http://schemas.microsoft.com/office/drawing/2010/main"/>
                        </a:ext>
                      </a:extLst>
                    </a:blip>
                    <a:stretch>
                      <a:fillRect/>
                    </a:stretch>
                  </pic:blipFill>
                  <pic:spPr>
                    <a:xfrm>
                      <a:off x="0" y="0"/>
                      <a:ext cx="2743200" cy="1536192"/>
                    </a:xfrm>
                    <a:prstGeom prst="rect">
                      <a:avLst/>
                    </a:prstGeom>
                  </pic:spPr>
                </pic:pic>
              </a:graphicData>
            </a:graphic>
          </wp:inline>
        </w:drawing>
      </w:r>
    </w:p>
    <w:p w14:paraId="39AD2569" w14:textId="77777777" w:rsidR="00CB27AF" w:rsidRPr="00CF1718" w:rsidRDefault="00CB27AF" w:rsidP="00091E3F">
      <w:pPr>
        <w:spacing w:after="0"/>
      </w:pPr>
      <w:bookmarkStart w:id="153" w:name="_Toc50392552"/>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14</w:t>
      </w:r>
      <w:r w:rsidRPr="00CF1718">
        <w:rPr>
          <w:noProof/>
        </w:rPr>
        <w:fldChar w:fldCharType="end"/>
      </w:r>
      <w:r w:rsidRPr="00CF1718">
        <w:t>. Spatial footprints (stations occupied in green) during the BSFRF-NMFS cooperative side-by-side (SBS) catchability studies in 2013-2017. Squares and circles represent stations in the standard NMFS EBS bottom trawl survey (which extends beyond the area shown in the maps).</w:t>
      </w:r>
      <w:bookmarkEnd w:id="153"/>
    </w:p>
    <w:p w14:paraId="4280F407" w14:textId="77777777" w:rsidR="00CB27AF" w:rsidRPr="00CF1718" w:rsidRDefault="00CB27AF">
      <w:pPr>
        <w:spacing w:after="0"/>
      </w:pPr>
      <w:r w:rsidRPr="00CF1718">
        <w:br w:type="page"/>
      </w:r>
    </w:p>
    <w:p w14:paraId="681E83F0" w14:textId="77777777" w:rsidR="00CB27AF" w:rsidRPr="00CF1718" w:rsidRDefault="00CB27AF" w:rsidP="00CA0CEF">
      <w:pPr>
        <w:spacing w:after="0"/>
        <w:jc w:val="center"/>
      </w:pPr>
      <w:r w:rsidRPr="00CF1718">
        <w:rPr>
          <w:noProof/>
        </w:rPr>
        <w:lastRenderedPageBreak/>
        <w:drawing>
          <wp:inline distT="0" distB="0" distL="0" distR="0" wp14:anchorId="00692726" wp14:editId="5D0F8929">
            <wp:extent cx="6629400" cy="50292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email">
                      <a:extLst>
                        <a:ext uri="{28A0092B-C50C-407E-A947-70E740481C1C}">
                          <a14:useLocalDpi xmlns:a14="http://schemas.microsoft.com/office/drawing/2010/main"/>
                        </a:ext>
                      </a:extLst>
                    </a:blip>
                    <a:stretch>
                      <a:fillRect/>
                    </a:stretch>
                  </pic:blipFill>
                  <pic:spPr>
                    <a:xfrm>
                      <a:off x="0" y="0"/>
                      <a:ext cx="6629400" cy="5029200"/>
                    </a:xfrm>
                    <a:prstGeom prst="rect">
                      <a:avLst/>
                    </a:prstGeom>
                  </pic:spPr>
                </pic:pic>
              </a:graphicData>
            </a:graphic>
          </wp:inline>
        </w:drawing>
      </w:r>
    </w:p>
    <w:p w14:paraId="75B86E64" w14:textId="77777777" w:rsidR="00CB27AF" w:rsidRPr="00CF1718" w:rsidRDefault="00CB27AF" w:rsidP="00091E3F">
      <w:pPr>
        <w:spacing w:after="0"/>
      </w:pPr>
      <w:bookmarkStart w:id="154" w:name="_Toc50392553"/>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15</w:t>
      </w:r>
      <w:r w:rsidRPr="00CF1718">
        <w:rPr>
          <w:noProof/>
        </w:rPr>
        <w:fldChar w:fldCharType="end"/>
      </w:r>
      <w:r w:rsidRPr="00CF1718">
        <w:t>. Annual estimates of area-swept biomass from the BSFRF-NMFS cooperative side-by-side (SBS) catchability studies in 2013-2017. The SBS studies had different spatial footprints each year, so annual changes in biomass do not necessarily reflect underlying population trends. Red lines: BSFRF; green lines: NMFS.</w:t>
      </w:r>
      <w:bookmarkEnd w:id="154"/>
    </w:p>
    <w:p w14:paraId="3F6FFB39" w14:textId="77777777" w:rsidR="00CB27AF" w:rsidRDefault="00CB27AF">
      <w:pPr>
        <w:spacing w:after="0"/>
        <w:sectPr w:rsidR="00CB27AF" w:rsidSect="00070875">
          <w:pgSz w:w="12240" w:h="15840"/>
          <w:pgMar w:top="1440" w:right="1440" w:bottom="1440" w:left="1440" w:header="720" w:footer="720" w:gutter="0"/>
          <w:cols w:space="720"/>
          <w:docGrid w:linePitch="360"/>
        </w:sectPr>
      </w:pPr>
      <w:r w:rsidRPr="00CF1718">
        <w:br w:type="page"/>
      </w:r>
    </w:p>
    <w:p w14:paraId="46058E27" w14:textId="77777777" w:rsidR="00CB27AF" w:rsidRPr="00CF1718" w:rsidRDefault="00CB27AF" w:rsidP="00091E3F">
      <w:pPr>
        <w:spacing w:after="0"/>
      </w:pPr>
      <w:r w:rsidRPr="00CF1718">
        <w:rPr>
          <w:noProof/>
        </w:rPr>
        <w:lastRenderedPageBreak/>
        <w:drawing>
          <wp:inline distT="0" distB="0" distL="0" distR="0" wp14:anchorId="380DD81E" wp14:editId="0628C02F">
            <wp:extent cx="4114800" cy="3986784"/>
            <wp:effectExtent l="0" t="0" r="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email">
                      <a:extLst>
                        <a:ext uri="{28A0092B-C50C-407E-A947-70E740481C1C}">
                          <a14:useLocalDpi xmlns:a14="http://schemas.microsoft.com/office/drawing/2010/main"/>
                        </a:ext>
                      </a:extLst>
                    </a:blip>
                    <a:stretch>
                      <a:fillRect/>
                    </a:stretch>
                  </pic:blipFill>
                  <pic:spPr>
                    <a:xfrm>
                      <a:off x="0" y="0"/>
                      <a:ext cx="4114800" cy="3986784"/>
                    </a:xfrm>
                    <a:prstGeom prst="rect">
                      <a:avLst/>
                    </a:prstGeom>
                  </pic:spPr>
                </pic:pic>
              </a:graphicData>
            </a:graphic>
          </wp:inline>
        </w:drawing>
      </w:r>
      <w:r w:rsidRPr="00CF1718">
        <w:rPr>
          <w:noProof/>
        </w:rPr>
        <w:drawing>
          <wp:inline distT="0" distB="0" distL="0" distR="0" wp14:anchorId="646170E9" wp14:editId="0935906F">
            <wp:extent cx="4114800" cy="40690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4114800" cy="4069080"/>
                    </a:xfrm>
                    <a:prstGeom prst="rect">
                      <a:avLst/>
                    </a:prstGeom>
                  </pic:spPr>
                </pic:pic>
              </a:graphicData>
            </a:graphic>
          </wp:inline>
        </w:drawing>
      </w:r>
    </w:p>
    <w:p w14:paraId="5E2B3CD7" w14:textId="77777777" w:rsidR="00CB27AF" w:rsidRPr="00CF1718" w:rsidRDefault="00CB27AF" w:rsidP="00C3714C">
      <w:pPr>
        <w:spacing w:after="0"/>
      </w:pPr>
      <w:bookmarkStart w:id="155" w:name="_Toc50392554"/>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16</w:t>
      </w:r>
      <w:r w:rsidRPr="00CF1718">
        <w:rPr>
          <w:noProof/>
        </w:rPr>
        <w:fldChar w:fldCharType="end"/>
      </w:r>
      <w:r w:rsidRPr="00CF1718">
        <w:t>. Size compositions from the NMFS EBS bottom trawl survey for 1975-2019.</w:t>
      </w:r>
      <w:bookmarkEnd w:id="155"/>
    </w:p>
    <w:p w14:paraId="3BC9F9AB" w14:textId="77777777" w:rsidR="00CB27AF" w:rsidRPr="00CF1718" w:rsidRDefault="00CB27AF">
      <w:pPr>
        <w:spacing w:after="0"/>
      </w:pPr>
      <w:r w:rsidRPr="00CF1718">
        <w:br w:type="page"/>
      </w:r>
    </w:p>
    <w:p w14:paraId="4E7BEEBC" w14:textId="77777777" w:rsidR="00CB27AF" w:rsidRPr="00CF1718" w:rsidRDefault="00CB27AF" w:rsidP="00A75851">
      <w:pPr>
        <w:pStyle w:val="NoSpacing"/>
        <w:jc w:val="center"/>
      </w:pPr>
      <w:r w:rsidRPr="00CF1718">
        <w:rPr>
          <w:noProof/>
        </w:rPr>
        <w:lastRenderedPageBreak/>
        <w:drawing>
          <wp:inline distT="0" distB="0" distL="0" distR="0" wp14:anchorId="66F2BA7A" wp14:editId="08E8D774">
            <wp:extent cx="3648456" cy="2743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3648456" cy="2743200"/>
                    </a:xfrm>
                    <a:prstGeom prst="rect">
                      <a:avLst/>
                    </a:prstGeom>
                  </pic:spPr>
                </pic:pic>
              </a:graphicData>
            </a:graphic>
          </wp:inline>
        </w:drawing>
      </w:r>
      <w:r w:rsidRPr="00CF1718">
        <w:rPr>
          <w:noProof/>
        </w:rPr>
        <w:drawing>
          <wp:inline distT="0" distB="0" distL="0" distR="0" wp14:anchorId="679E3DA7" wp14:editId="3CB01891">
            <wp:extent cx="3566160" cy="2743200"/>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email">
                      <a:extLst>
                        <a:ext uri="{28A0092B-C50C-407E-A947-70E740481C1C}">
                          <a14:useLocalDpi xmlns:a14="http://schemas.microsoft.com/office/drawing/2010/main"/>
                        </a:ext>
                      </a:extLst>
                    </a:blip>
                    <a:stretch>
                      <a:fillRect/>
                    </a:stretch>
                  </pic:blipFill>
                  <pic:spPr>
                    <a:xfrm>
                      <a:off x="0" y="0"/>
                      <a:ext cx="3566160" cy="2743200"/>
                    </a:xfrm>
                    <a:prstGeom prst="rect">
                      <a:avLst/>
                    </a:prstGeom>
                  </pic:spPr>
                </pic:pic>
              </a:graphicData>
            </a:graphic>
          </wp:inline>
        </w:drawing>
      </w:r>
    </w:p>
    <w:p w14:paraId="0382856E" w14:textId="77777777" w:rsidR="00CB27AF" w:rsidRPr="00CF1718" w:rsidRDefault="00CB27AF" w:rsidP="00A75851">
      <w:pPr>
        <w:pStyle w:val="NoSpacing"/>
        <w:jc w:val="center"/>
      </w:pPr>
      <w:r w:rsidRPr="00CF1718">
        <w:rPr>
          <w:noProof/>
        </w:rPr>
        <w:drawing>
          <wp:inline distT="0" distB="0" distL="0" distR="0" wp14:anchorId="4AAB57E7" wp14:editId="2A5821F8">
            <wp:extent cx="3557016" cy="27432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email">
                      <a:extLst>
                        <a:ext uri="{28A0092B-C50C-407E-A947-70E740481C1C}">
                          <a14:useLocalDpi xmlns:a14="http://schemas.microsoft.com/office/drawing/2010/main"/>
                        </a:ext>
                      </a:extLst>
                    </a:blip>
                    <a:stretch>
                      <a:fillRect/>
                    </a:stretch>
                  </pic:blipFill>
                  <pic:spPr>
                    <a:xfrm>
                      <a:off x="0" y="0"/>
                      <a:ext cx="3557016" cy="2743200"/>
                    </a:xfrm>
                    <a:prstGeom prst="rect">
                      <a:avLst/>
                    </a:prstGeom>
                  </pic:spPr>
                </pic:pic>
              </a:graphicData>
            </a:graphic>
          </wp:inline>
        </w:drawing>
      </w:r>
      <w:r w:rsidRPr="00CF1718">
        <w:rPr>
          <w:noProof/>
        </w:rPr>
        <w:drawing>
          <wp:inline distT="0" distB="0" distL="0" distR="0" wp14:anchorId="121BF3E6" wp14:editId="556878FF">
            <wp:extent cx="3538728" cy="2743200"/>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email">
                      <a:extLst>
                        <a:ext uri="{28A0092B-C50C-407E-A947-70E740481C1C}">
                          <a14:useLocalDpi xmlns:a14="http://schemas.microsoft.com/office/drawing/2010/main"/>
                        </a:ext>
                      </a:extLst>
                    </a:blip>
                    <a:stretch>
                      <a:fillRect/>
                    </a:stretch>
                  </pic:blipFill>
                  <pic:spPr>
                    <a:xfrm>
                      <a:off x="0" y="0"/>
                      <a:ext cx="3538728" cy="2743200"/>
                    </a:xfrm>
                    <a:prstGeom prst="rect">
                      <a:avLst/>
                    </a:prstGeom>
                  </pic:spPr>
                </pic:pic>
              </a:graphicData>
            </a:graphic>
          </wp:inline>
        </w:drawing>
      </w:r>
    </w:p>
    <w:p w14:paraId="41458C5A" w14:textId="77777777" w:rsidR="00CB27AF" w:rsidRPr="00CF1718" w:rsidRDefault="00CB27AF">
      <w:pPr>
        <w:spacing w:after="0"/>
      </w:pPr>
      <w:bookmarkStart w:id="156" w:name="_Toc50392555"/>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17</w:t>
      </w:r>
      <w:r w:rsidRPr="00CF1718">
        <w:rPr>
          <w:noProof/>
        </w:rPr>
        <w:fldChar w:fldCharType="end"/>
      </w:r>
      <w:r w:rsidRPr="00CF1718">
        <w:t>. Annual size compositions of area-swept abundance by sex from the BSFRF-NMFS cooperative side-by-side (SBS) catchability studies in 2013-201</w:t>
      </w:r>
      <w:r>
        <w:t>6</w:t>
      </w:r>
      <w:r w:rsidRPr="00CF1718">
        <w:t>. Red lines: BSFRF; green lines: NMFS.</w:t>
      </w:r>
      <w:bookmarkEnd w:id="156"/>
      <w:r w:rsidRPr="00CF1718">
        <w:br w:type="page"/>
      </w:r>
    </w:p>
    <w:p w14:paraId="242625CC" w14:textId="77777777" w:rsidR="00CB27AF" w:rsidRPr="00CF1718" w:rsidRDefault="00CB27AF" w:rsidP="00A75851">
      <w:pPr>
        <w:spacing w:after="0"/>
        <w:jc w:val="center"/>
      </w:pPr>
      <w:r w:rsidRPr="00CF1718">
        <w:rPr>
          <w:noProof/>
        </w:rPr>
        <w:lastRenderedPageBreak/>
        <w:drawing>
          <wp:inline distT="0" distB="0" distL="0" distR="0" wp14:anchorId="23F6C28E" wp14:editId="4C9274FC">
            <wp:extent cx="4718304" cy="3657600"/>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email">
                      <a:extLst>
                        <a:ext uri="{28A0092B-C50C-407E-A947-70E740481C1C}">
                          <a14:useLocalDpi xmlns:a14="http://schemas.microsoft.com/office/drawing/2010/main"/>
                        </a:ext>
                      </a:extLst>
                    </a:blip>
                    <a:stretch>
                      <a:fillRect/>
                    </a:stretch>
                  </pic:blipFill>
                  <pic:spPr>
                    <a:xfrm>
                      <a:off x="0" y="0"/>
                      <a:ext cx="4718304" cy="3657600"/>
                    </a:xfrm>
                    <a:prstGeom prst="rect">
                      <a:avLst/>
                    </a:prstGeom>
                  </pic:spPr>
                </pic:pic>
              </a:graphicData>
            </a:graphic>
          </wp:inline>
        </w:drawing>
      </w:r>
    </w:p>
    <w:p w14:paraId="6684D96D" w14:textId="77777777" w:rsidR="00CB27AF" w:rsidRPr="00CF1718" w:rsidRDefault="00CB27AF">
      <w:pPr>
        <w:spacing w:after="0"/>
      </w:pPr>
      <w:r w:rsidRPr="00CF1718">
        <w:t xml:space="preserve">Figure </w:t>
      </w:r>
      <w:r w:rsidRPr="00CF1718">
        <w:rPr>
          <w:noProof/>
        </w:rPr>
        <w:fldChar w:fldCharType="begin"/>
      </w:r>
      <w:r w:rsidRPr="00CF1718">
        <w:rPr>
          <w:noProof/>
        </w:rPr>
        <w:instrText xml:space="preserve"> SEQ Figure \* ARABIC \c</w:instrText>
      </w:r>
      <w:r w:rsidRPr="00CF1718">
        <w:rPr>
          <w:noProof/>
        </w:rPr>
        <w:fldChar w:fldCharType="separate"/>
      </w:r>
      <w:r>
        <w:rPr>
          <w:noProof/>
        </w:rPr>
        <w:t>17</w:t>
      </w:r>
      <w:r w:rsidRPr="00CF1718">
        <w:rPr>
          <w:noProof/>
        </w:rPr>
        <w:fldChar w:fldCharType="end"/>
      </w:r>
      <w:r w:rsidRPr="00CF1718">
        <w:rPr>
          <w:noProof/>
        </w:rPr>
        <w:t xml:space="preserve"> (cont.)</w:t>
      </w:r>
      <w:r w:rsidRPr="00CF1718">
        <w:t>. Annual size compositions of area-swept abundance by sex from the BSFRF-NMFS cooperative side-by-side (SBS) catchability studies in 2017. Red lines: BSFRF; green lines: NMFS</w:t>
      </w:r>
    </w:p>
    <w:p w14:paraId="11960E08" w14:textId="77777777" w:rsidR="00CB27AF" w:rsidRPr="00CF1718" w:rsidRDefault="00CB27AF">
      <w:pPr>
        <w:spacing w:after="0"/>
      </w:pPr>
      <w:r w:rsidRPr="00CF1718">
        <w:br w:type="page"/>
      </w:r>
    </w:p>
    <w:p w14:paraId="44A4FDCE" w14:textId="77777777" w:rsidR="00CB27AF" w:rsidRPr="00CF1718" w:rsidRDefault="00CB27AF">
      <w:pPr>
        <w:spacing w:after="0"/>
      </w:pPr>
    </w:p>
    <w:p w14:paraId="08A9AAD2" w14:textId="77777777" w:rsidR="00CB27AF" w:rsidRPr="00CF1718" w:rsidRDefault="00CB27AF" w:rsidP="00091E3F">
      <w:pPr>
        <w:spacing w:after="0"/>
      </w:pPr>
      <w:r w:rsidRPr="00CF1718">
        <w:rPr>
          <w:noProof/>
        </w:rPr>
        <w:drawing>
          <wp:inline distT="0" distB="0" distL="0" distR="0" wp14:anchorId="299ED89E" wp14:editId="4DE8DC8C">
            <wp:extent cx="4114800" cy="4443984"/>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email">
                      <a:extLst>
                        <a:ext uri="{28A0092B-C50C-407E-A947-70E740481C1C}">
                          <a14:useLocalDpi xmlns:a14="http://schemas.microsoft.com/office/drawing/2010/main"/>
                        </a:ext>
                      </a:extLst>
                    </a:blip>
                    <a:stretch>
                      <a:fillRect/>
                    </a:stretch>
                  </pic:blipFill>
                  <pic:spPr>
                    <a:xfrm>
                      <a:off x="0" y="0"/>
                      <a:ext cx="4114800" cy="4443984"/>
                    </a:xfrm>
                    <a:prstGeom prst="rect">
                      <a:avLst/>
                    </a:prstGeom>
                  </pic:spPr>
                </pic:pic>
              </a:graphicData>
            </a:graphic>
          </wp:inline>
        </w:drawing>
      </w:r>
      <w:r w:rsidRPr="00CF1718">
        <w:rPr>
          <w:noProof/>
        </w:rPr>
        <w:drawing>
          <wp:inline distT="0" distB="0" distL="0" distR="0" wp14:anchorId="7961B4B5" wp14:editId="345E7964">
            <wp:extent cx="4114800" cy="443484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4114800" cy="4434840"/>
                    </a:xfrm>
                    <a:prstGeom prst="rect">
                      <a:avLst/>
                    </a:prstGeom>
                  </pic:spPr>
                </pic:pic>
              </a:graphicData>
            </a:graphic>
          </wp:inline>
        </w:drawing>
      </w:r>
    </w:p>
    <w:p w14:paraId="700AEBBD" w14:textId="77777777" w:rsidR="00CB27AF" w:rsidRPr="00CF1718" w:rsidRDefault="00CB27AF" w:rsidP="00091E3F">
      <w:pPr>
        <w:spacing w:after="0"/>
      </w:pPr>
      <w:bookmarkStart w:id="157" w:name="_Toc50392556"/>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18</w:t>
      </w:r>
      <w:r w:rsidRPr="00CF1718">
        <w:rPr>
          <w:noProof/>
        </w:rPr>
        <w:fldChar w:fldCharType="end"/>
      </w:r>
      <w:r w:rsidRPr="00CF1718">
        <w:t>. Annual estimates of area-swept abundance (blue circles) from the NMFS EBS bottom trawl survey, by sex and maturity state for 2014 and 2015. Local abundance scales with symbol area. The background “heatmap” represents bottom water temperatures at the time of the survey.</w:t>
      </w:r>
      <w:bookmarkEnd w:id="157"/>
    </w:p>
    <w:p w14:paraId="6E02AD5D" w14:textId="77777777" w:rsidR="00CB27AF" w:rsidRPr="00CF1718" w:rsidRDefault="00CB27AF">
      <w:pPr>
        <w:spacing w:after="0"/>
      </w:pPr>
      <w:r w:rsidRPr="00CF1718">
        <w:br w:type="page"/>
      </w:r>
    </w:p>
    <w:p w14:paraId="77C1C4CA" w14:textId="77777777" w:rsidR="00CB27AF" w:rsidRPr="00CF1718" w:rsidRDefault="00CB27AF" w:rsidP="00091E3F">
      <w:pPr>
        <w:spacing w:after="0"/>
      </w:pPr>
      <w:r w:rsidRPr="00CF1718">
        <w:rPr>
          <w:noProof/>
        </w:rPr>
        <w:lastRenderedPageBreak/>
        <w:drawing>
          <wp:inline distT="0" distB="0" distL="0" distR="0" wp14:anchorId="2763D210" wp14:editId="3B7E7665">
            <wp:extent cx="4114800" cy="4416552"/>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email">
                      <a:extLst>
                        <a:ext uri="{28A0092B-C50C-407E-A947-70E740481C1C}">
                          <a14:useLocalDpi xmlns:a14="http://schemas.microsoft.com/office/drawing/2010/main"/>
                        </a:ext>
                      </a:extLst>
                    </a:blip>
                    <a:stretch>
                      <a:fillRect/>
                    </a:stretch>
                  </pic:blipFill>
                  <pic:spPr>
                    <a:xfrm>
                      <a:off x="0" y="0"/>
                      <a:ext cx="4114800" cy="4416552"/>
                    </a:xfrm>
                    <a:prstGeom prst="rect">
                      <a:avLst/>
                    </a:prstGeom>
                  </pic:spPr>
                </pic:pic>
              </a:graphicData>
            </a:graphic>
          </wp:inline>
        </w:drawing>
      </w:r>
      <w:r w:rsidRPr="00CF1718">
        <w:rPr>
          <w:noProof/>
        </w:rPr>
        <w:drawing>
          <wp:inline distT="0" distB="0" distL="0" distR="0" wp14:anchorId="7D90DE93" wp14:editId="39B79E18">
            <wp:extent cx="4114800" cy="4416552"/>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email">
                      <a:extLst>
                        <a:ext uri="{28A0092B-C50C-407E-A947-70E740481C1C}">
                          <a14:useLocalDpi xmlns:a14="http://schemas.microsoft.com/office/drawing/2010/main"/>
                        </a:ext>
                      </a:extLst>
                    </a:blip>
                    <a:stretch>
                      <a:fillRect/>
                    </a:stretch>
                  </pic:blipFill>
                  <pic:spPr>
                    <a:xfrm>
                      <a:off x="0" y="0"/>
                      <a:ext cx="4114800" cy="4416552"/>
                    </a:xfrm>
                    <a:prstGeom prst="rect">
                      <a:avLst/>
                    </a:prstGeom>
                  </pic:spPr>
                </pic:pic>
              </a:graphicData>
            </a:graphic>
          </wp:inline>
        </w:drawing>
      </w:r>
    </w:p>
    <w:p w14:paraId="5FA76AE6" w14:textId="77777777" w:rsidR="00CB27AF" w:rsidRPr="00CF1718" w:rsidRDefault="00CB27AF" w:rsidP="004320F7">
      <w:pPr>
        <w:spacing w:after="0"/>
      </w:pPr>
      <w:r w:rsidRPr="00CF1718">
        <w:t>Figure</w:t>
      </w:r>
      <w:r>
        <w:rPr>
          <w:noProof/>
        </w:rPr>
        <w:t xml:space="preserve"> 18 (cont.)</w:t>
      </w:r>
      <w:r w:rsidRPr="00CF1718">
        <w:t>. Annual estimates of area-swept abundance (blue circles) from the NMFS EBS bottom trawl survey, by sex and maturity state for 2016 and 2017. Local abundance scales with symbol area. The background “heatmap” represents bottom water temperatures at the time of the survey.</w:t>
      </w:r>
    </w:p>
    <w:p w14:paraId="34BCDA96" w14:textId="77777777" w:rsidR="00CB27AF" w:rsidRPr="00CF1718" w:rsidRDefault="00CB27AF">
      <w:pPr>
        <w:spacing w:after="0"/>
      </w:pPr>
      <w:r w:rsidRPr="00CF1718">
        <w:br w:type="page"/>
      </w:r>
    </w:p>
    <w:p w14:paraId="4C1A8EF3" w14:textId="77777777" w:rsidR="00CB27AF" w:rsidRPr="00CF1718" w:rsidRDefault="00CB27AF" w:rsidP="004320F7">
      <w:pPr>
        <w:spacing w:after="0"/>
      </w:pPr>
      <w:r w:rsidRPr="00CF1718">
        <w:rPr>
          <w:noProof/>
        </w:rPr>
        <w:lastRenderedPageBreak/>
        <w:drawing>
          <wp:inline distT="0" distB="0" distL="0" distR="0" wp14:anchorId="5438DFC0" wp14:editId="24ECAB35">
            <wp:extent cx="4114800" cy="443484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email">
                      <a:extLst>
                        <a:ext uri="{28A0092B-C50C-407E-A947-70E740481C1C}">
                          <a14:useLocalDpi xmlns:a14="http://schemas.microsoft.com/office/drawing/2010/main"/>
                        </a:ext>
                      </a:extLst>
                    </a:blip>
                    <a:stretch>
                      <a:fillRect/>
                    </a:stretch>
                  </pic:blipFill>
                  <pic:spPr>
                    <a:xfrm>
                      <a:off x="0" y="0"/>
                      <a:ext cx="4114800" cy="4434840"/>
                    </a:xfrm>
                    <a:prstGeom prst="rect">
                      <a:avLst/>
                    </a:prstGeom>
                  </pic:spPr>
                </pic:pic>
              </a:graphicData>
            </a:graphic>
          </wp:inline>
        </w:drawing>
      </w:r>
      <w:r w:rsidRPr="00CF1718">
        <w:rPr>
          <w:noProof/>
        </w:rPr>
        <w:drawing>
          <wp:inline distT="0" distB="0" distL="0" distR="0" wp14:anchorId="2670DDA8" wp14:editId="52F441DC">
            <wp:extent cx="4114800" cy="442569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email">
                      <a:extLst>
                        <a:ext uri="{28A0092B-C50C-407E-A947-70E740481C1C}">
                          <a14:useLocalDpi xmlns:a14="http://schemas.microsoft.com/office/drawing/2010/main"/>
                        </a:ext>
                      </a:extLst>
                    </a:blip>
                    <a:stretch>
                      <a:fillRect/>
                    </a:stretch>
                  </pic:blipFill>
                  <pic:spPr>
                    <a:xfrm>
                      <a:off x="0" y="0"/>
                      <a:ext cx="4114800" cy="4425696"/>
                    </a:xfrm>
                    <a:prstGeom prst="rect">
                      <a:avLst/>
                    </a:prstGeom>
                  </pic:spPr>
                </pic:pic>
              </a:graphicData>
            </a:graphic>
          </wp:inline>
        </w:drawing>
      </w:r>
    </w:p>
    <w:p w14:paraId="31EACDAE" w14:textId="77777777" w:rsidR="00CB27AF" w:rsidRPr="00CF1718" w:rsidRDefault="00CB27AF" w:rsidP="00091E3F">
      <w:pPr>
        <w:spacing w:after="0"/>
      </w:pPr>
      <w:r w:rsidRPr="00CF1718">
        <w:t>Figure</w:t>
      </w:r>
      <w:r>
        <w:t xml:space="preserve"> </w:t>
      </w:r>
      <w:r>
        <w:rPr>
          <w:noProof/>
        </w:rPr>
        <w:t>18 (cont.)</w:t>
      </w:r>
      <w:r w:rsidRPr="00CF1718">
        <w:t>. Annual estimates of area-swept abundance (blue circles) from the NMFS EBS bottom trawl survey, by sex and maturity state for 2018 and 2019. Local abundance scales with symbol area. The background “heatmap” represents bottom water temperatures at the time of the survey.</w:t>
      </w:r>
    </w:p>
    <w:p w14:paraId="17E1580B" w14:textId="77777777" w:rsidR="00CB27AF" w:rsidRPr="00CF1718" w:rsidRDefault="00CB27AF">
      <w:pPr>
        <w:spacing w:after="0"/>
        <w:rPr>
          <w:bCs/>
          <w:szCs w:val="18"/>
        </w:rPr>
      </w:pPr>
    </w:p>
    <w:p w14:paraId="3AFB4A94" w14:textId="77777777" w:rsidR="00CB27AF" w:rsidRPr="00CF1718" w:rsidRDefault="00CB27AF">
      <w:pPr>
        <w:spacing w:after="0"/>
        <w:rPr>
          <w:bCs/>
          <w:szCs w:val="18"/>
        </w:rPr>
        <w:sectPr w:rsidR="00CB27AF" w:rsidRPr="00CF1718" w:rsidSect="00F32F78">
          <w:pgSz w:w="15840" w:h="12240" w:orient="landscape"/>
          <w:pgMar w:top="1440" w:right="1440" w:bottom="1440" w:left="1440" w:header="720" w:footer="720" w:gutter="0"/>
          <w:cols w:space="720"/>
          <w:docGrid w:linePitch="360"/>
        </w:sectPr>
      </w:pPr>
    </w:p>
    <w:p w14:paraId="5568EC87" w14:textId="77777777" w:rsidR="00CB27AF" w:rsidRPr="00CF1718" w:rsidRDefault="00CB27AF" w:rsidP="00BD355B">
      <w:pPr>
        <w:pStyle w:val="NoSpacing"/>
        <w:jc w:val="center"/>
      </w:pPr>
      <w:r w:rsidRPr="00CF1718">
        <w:rPr>
          <w:noProof/>
        </w:rPr>
        <w:lastRenderedPageBreak/>
        <w:drawing>
          <wp:inline distT="0" distB="0" distL="0" distR="0" wp14:anchorId="7F8F67DD" wp14:editId="3B908C69">
            <wp:extent cx="5184648" cy="3474720"/>
            <wp:effectExtent l="0" t="0" r="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email">
                      <a:extLst>
                        <a:ext uri="{28A0092B-C50C-407E-A947-70E740481C1C}">
                          <a14:useLocalDpi xmlns:a14="http://schemas.microsoft.com/office/drawing/2010/main"/>
                        </a:ext>
                      </a:extLst>
                    </a:blip>
                    <a:stretch>
                      <a:fillRect/>
                    </a:stretch>
                  </pic:blipFill>
                  <pic:spPr>
                    <a:xfrm>
                      <a:off x="0" y="0"/>
                      <a:ext cx="5184648" cy="3474720"/>
                    </a:xfrm>
                    <a:prstGeom prst="rect">
                      <a:avLst/>
                    </a:prstGeom>
                  </pic:spPr>
                </pic:pic>
              </a:graphicData>
            </a:graphic>
          </wp:inline>
        </w:drawing>
      </w:r>
    </w:p>
    <w:p w14:paraId="3546CBF0" w14:textId="77777777" w:rsidR="00CB27AF" w:rsidRPr="00CF1718" w:rsidRDefault="00CB27AF" w:rsidP="00F46924">
      <w:pPr>
        <w:pStyle w:val="Caption"/>
      </w:pPr>
      <w:bookmarkStart w:id="158" w:name="_Toc50392557"/>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19</w:t>
      </w:r>
      <w:r w:rsidRPr="00CF1718">
        <w:rPr>
          <w:noProof/>
        </w:rPr>
        <w:fldChar w:fldCharType="end"/>
      </w:r>
      <w:r w:rsidRPr="00CF1718">
        <w:t xml:space="preserve">. Male maturity ogives (the fraction of new shell mature males, relative to all new shell males) as determined from chela </w:t>
      </w:r>
      <w:proofErr w:type="spellStart"/>
      <w:r w:rsidRPr="00CF1718">
        <w:t>height:carapace</w:t>
      </w:r>
      <w:proofErr w:type="spellEnd"/>
      <w:r w:rsidRPr="00CF1718">
        <w:t xml:space="preserve"> width ratios from the NMFS EBS bottom trawl survey for years when chela heights were collected with 0.1 mm </w:t>
      </w:r>
      <w:proofErr w:type="gramStart"/>
      <w:r w:rsidRPr="00CF1718">
        <w:t>precision..</w:t>
      </w:r>
      <w:bookmarkEnd w:id="158"/>
      <w:proofErr w:type="gramEnd"/>
    </w:p>
    <w:p w14:paraId="780A884E" w14:textId="77777777" w:rsidR="00CB27AF" w:rsidRPr="00CF1718" w:rsidRDefault="00CB27AF" w:rsidP="00BD355B">
      <w:pPr>
        <w:pStyle w:val="NoSpacing"/>
        <w:jc w:val="center"/>
      </w:pPr>
      <w:r w:rsidRPr="00CF1718">
        <w:rPr>
          <w:noProof/>
        </w:rPr>
        <w:drawing>
          <wp:inline distT="0" distB="0" distL="0" distR="0" wp14:anchorId="33676D30" wp14:editId="21D4AA7F">
            <wp:extent cx="3986784" cy="3657600"/>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email">
                      <a:extLst>
                        <a:ext uri="{28A0092B-C50C-407E-A947-70E740481C1C}">
                          <a14:useLocalDpi xmlns:a14="http://schemas.microsoft.com/office/drawing/2010/main"/>
                        </a:ext>
                      </a:extLst>
                    </a:blip>
                    <a:stretch>
                      <a:fillRect/>
                    </a:stretch>
                  </pic:blipFill>
                  <pic:spPr>
                    <a:xfrm>
                      <a:off x="0" y="0"/>
                      <a:ext cx="3986784" cy="3657600"/>
                    </a:xfrm>
                    <a:prstGeom prst="rect">
                      <a:avLst/>
                    </a:prstGeom>
                  </pic:spPr>
                </pic:pic>
              </a:graphicData>
            </a:graphic>
          </wp:inline>
        </w:drawing>
      </w:r>
    </w:p>
    <w:p w14:paraId="471C1B89" w14:textId="77777777" w:rsidR="00CB27AF" w:rsidRPr="00CF1718" w:rsidRDefault="00CB27AF" w:rsidP="00DA48F3">
      <w:pPr>
        <w:pStyle w:val="Caption"/>
      </w:pPr>
      <w:bookmarkStart w:id="159" w:name="_Toc50392558"/>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20</w:t>
      </w:r>
      <w:r w:rsidRPr="00CF1718">
        <w:rPr>
          <w:noProof/>
        </w:rPr>
        <w:fldChar w:fldCharType="end"/>
      </w:r>
      <w:r w:rsidRPr="00CF1718">
        <w:t>. Molt increment data collected collaboratively by NMFS, BSFRF, and ADFG.</w:t>
      </w:r>
      <w:bookmarkEnd w:id="159"/>
    </w:p>
    <w:p w14:paraId="1C5932B6" w14:textId="77777777" w:rsidR="00CB27AF" w:rsidRPr="00CF1718" w:rsidRDefault="00CB27AF">
      <w:pPr>
        <w:spacing w:after="0"/>
        <w:rPr>
          <w:bCs/>
          <w:szCs w:val="18"/>
        </w:rPr>
      </w:pPr>
      <w:r w:rsidRPr="00CF1718">
        <w:br w:type="page"/>
      </w:r>
    </w:p>
    <w:p w14:paraId="24FB1EB9" w14:textId="77777777" w:rsidR="00CB27AF" w:rsidRPr="00CF1718" w:rsidRDefault="00CB27AF" w:rsidP="00BD355B">
      <w:pPr>
        <w:pStyle w:val="NoSpacing"/>
        <w:jc w:val="center"/>
      </w:pPr>
      <w:r w:rsidRPr="00CF1718">
        <w:rPr>
          <w:noProof/>
        </w:rPr>
        <w:lastRenderedPageBreak/>
        <w:drawing>
          <wp:inline distT="0" distB="0" distL="0" distR="0" wp14:anchorId="769D9EBA" wp14:editId="17DF488C">
            <wp:extent cx="3657600" cy="2221992"/>
            <wp:effectExtent l="0" t="0" r="0" b="698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3657600" cy="2221992"/>
                    </a:xfrm>
                    <a:prstGeom prst="rect">
                      <a:avLst/>
                    </a:prstGeom>
                    <a:noFill/>
                  </pic:spPr>
                </pic:pic>
              </a:graphicData>
            </a:graphic>
          </wp:inline>
        </w:drawing>
      </w:r>
    </w:p>
    <w:p w14:paraId="50D6784C" w14:textId="77777777" w:rsidR="00CB27AF" w:rsidRPr="00CF1718" w:rsidRDefault="00CB27AF" w:rsidP="00BD355B">
      <w:pPr>
        <w:pStyle w:val="Caption"/>
      </w:pPr>
      <w:bookmarkStart w:id="160" w:name="_Toc50392559"/>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21</w:t>
      </w:r>
      <w:r w:rsidRPr="00CF1718">
        <w:rPr>
          <w:noProof/>
        </w:rPr>
        <w:fldChar w:fldCharType="end"/>
      </w:r>
      <w:r w:rsidRPr="00CF1718">
        <w:t>. Size-weight relationships developed from NMFS EBS summer trawl survey data.</w:t>
      </w:r>
      <w:bookmarkEnd w:id="160"/>
    </w:p>
    <w:p w14:paraId="4ED1D453" w14:textId="77777777" w:rsidR="00CB27AF" w:rsidRPr="00CF1718" w:rsidRDefault="00CB27AF" w:rsidP="00BD355B">
      <w:pPr>
        <w:pStyle w:val="NoSpacing"/>
        <w:jc w:val="center"/>
      </w:pPr>
      <w:r w:rsidRPr="00CF1718">
        <w:rPr>
          <w:noProof/>
        </w:rPr>
        <w:drawing>
          <wp:inline distT="0" distB="0" distL="0" distR="0" wp14:anchorId="6BEEE9D0" wp14:editId="478CD14A">
            <wp:extent cx="3657600" cy="2377440"/>
            <wp:effectExtent l="0" t="0" r="0" b="3810"/>
            <wp:docPr id="1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3657600" cy="2377440"/>
                    </a:xfrm>
                    <a:prstGeom prst="rect">
                      <a:avLst/>
                    </a:prstGeom>
                    <a:noFill/>
                    <a:ln w="9525">
                      <a:noFill/>
                      <a:miter lim="800000"/>
                      <a:headEnd/>
                      <a:tailEnd/>
                    </a:ln>
                  </pic:spPr>
                </pic:pic>
              </a:graphicData>
            </a:graphic>
          </wp:inline>
        </w:drawing>
      </w:r>
    </w:p>
    <w:p w14:paraId="62CB5063" w14:textId="77777777" w:rsidR="00CB27AF" w:rsidRDefault="00CB27AF" w:rsidP="00BD355B">
      <w:bookmarkStart w:id="161" w:name="_Toc50392560"/>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22</w:t>
      </w:r>
      <w:r w:rsidRPr="00CF1718">
        <w:rPr>
          <w:noProof/>
        </w:rPr>
        <w:fldChar w:fldCharType="end"/>
      </w:r>
      <w:r w:rsidRPr="00CF1718">
        <w:t>. Assumed size distribution for recruits entering the population.</w:t>
      </w:r>
      <w:bookmarkEnd w:id="161"/>
    </w:p>
    <w:p w14:paraId="2CD7D6CF" w14:textId="77777777" w:rsidR="00CB27AF" w:rsidRDefault="00CB27AF">
      <w:pPr>
        <w:spacing w:after="0"/>
      </w:pPr>
      <w:r>
        <w:br w:type="page"/>
      </w:r>
    </w:p>
    <w:p w14:paraId="6F588BCD" w14:textId="77777777" w:rsidR="00CB27AF" w:rsidRDefault="00CB27AF" w:rsidP="00BD355B">
      <w:r w:rsidRPr="002A6206">
        <w:rPr>
          <w:noProof/>
        </w:rPr>
        <w:lastRenderedPageBreak/>
        <w:drawing>
          <wp:inline distT="0" distB="0" distL="0" distR="0" wp14:anchorId="0045E020" wp14:editId="13B3CFBE">
            <wp:extent cx="4572000" cy="3401568"/>
            <wp:effectExtent l="0" t="0" r="0" b="2540"/>
            <wp:docPr id="108" name="Picture 10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 up of a map&#10;&#10;Description automatically generated"/>
                    <pic:cNvPicPr/>
                  </pic:nvPicPr>
                  <pic:blipFill>
                    <a:blip r:embed="rId120" cstate="email">
                      <a:extLst>
                        <a:ext uri="{28A0092B-C50C-407E-A947-70E740481C1C}">
                          <a14:useLocalDpi xmlns:a14="http://schemas.microsoft.com/office/drawing/2010/main"/>
                        </a:ext>
                      </a:extLst>
                    </a:blip>
                    <a:stretch>
                      <a:fillRect/>
                    </a:stretch>
                  </pic:blipFill>
                  <pic:spPr>
                    <a:xfrm>
                      <a:off x="0" y="0"/>
                      <a:ext cx="4572000" cy="3401568"/>
                    </a:xfrm>
                    <a:prstGeom prst="rect">
                      <a:avLst/>
                    </a:prstGeom>
                  </pic:spPr>
                </pic:pic>
              </a:graphicData>
            </a:graphic>
          </wp:inline>
        </w:drawing>
      </w:r>
      <w:r w:rsidRPr="00412D46">
        <w:rPr>
          <w:noProof/>
        </w:rPr>
        <w:t xml:space="preserve"> </w:t>
      </w:r>
      <w:r w:rsidRPr="00412D46">
        <w:rPr>
          <w:noProof/>
        </w:rPr>
        <w:drawing>
          <wp:inline distT="0" distB="0" distL="0" distR="0" wp14:anchorId="743574A1" wp14:editId="41C82D12">
            <wp:extent cx="4572000" cy="3712464"/>
            <wp:effectExtent l="0" t="0" r="0" b="0"/>
            <wp:docPr id="109" name="Picture 10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lose up of a map&#10;&#10;Description automatically generated"/>
                    <pic:cNvPicPr/>
                  </pic:nvPicPr>
                  <pic:blipFill>
                    <a:blip r:embed="rId121" cstate="email">
                      <a:extLst>
                        <a:ext uri="{28A0092B-C50C-407E-A947-70E740481C1C}">
                          <a14:useLocalDpi xmlns:a14="http://schemas.microsoft.com/office/drawing/2010/main"/>
                        </a:ext>
                      </a:extLst>
                    </a:blip>
                    <a:stretch>
                      <a:fillRect/>
                    </a:stretch>
                  </pic:blipFill>
                  <pic:spPr>
                    <a:xfrm>
                      <a:off x="0" y="0"/>
                      <a:ext cx="4572000" cy="3712464"/>
                    </a:xfrm>
                    <a:prstGeom prst="rect">
                      <a:avLst/>
                    </a:prstGeom>
                  </pic:spPr>
                </pic:pic>
              </a:graphicData>
            </a:graphic>
          </wp:inline>
        </w:drawing>
      </w:r>
    </w:p>
    <w:p w14:paraId="32F8380D" w14:textId="77777777" w:rsidR="00CB27AF" w:rsidRPr="00493984" w:rsidRDefault="00CB27AF" w:rsidP="002A6206">
      <w:bookmarkStart w:id="162" w:name="_Toc50392561"/>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23</w:t>
      </w:r>
      <w:r w:rsidRPr="00CF1718">
        <w:rPr>
          <w:noProof/>
        </w:rPr>
        <w:fldChar w:fldCharType="end"/>
      </w:r>
      <w:r w:rsidRPr="00CF1718">
        <w:t xml:space="preserve">. </w:t>
      </w:r>
      <w:r>
        <w:t>Upper: Empirical availability for males in SBS study areas, by year. Red line and points: annual ratios of NMFS abundance-at-size in SBS study areas to full survey area; dashed blue line and fill: LOESS smooth. Lower: “best”-fitting GAMs using cubic spline smooths to the values in the upper plot</w:t>
      </w:r>
      <w:r w:rsidRPr="00CF1718">
        <w:t>.</w:t>
      </w:r>
      <w:bookmarkEnd w:id="162"/>
    </w:p>
    <w:p w14:paraId="778B18DF" w14:textId="77777777" w:rsidR="00CB27AF" w:rsidRDefault="00CB27AF">
      <w:pPr>
        <w:spacing w:after="0"/>
      </w:pPr>
      <w:r>
        <w:br w:type="page"/>
      </w:r>
    </w:p>
    <w:p w14:paraId="2E460E29" w14:textId="77777777" w:rsidR="00CB27AF" w:rsidRDefault="00CB27AF" w:rsidP="00BD355B"/>
    <w:p w14:paraId="509A0B24" w14:textId="77777777" w:rsidR="00CB27AF" w:rsidRDefault="00CB27AF" w:rsidP="00BD355B">
      <w:r w:rsidRPr="00412D46">
        <w:rPr>
          <w:noProof/>
        </w:rPr>
        <w:drawing>
          <wp:inline distT="0" distB="0" distL="0" distR="0" wp14:anchorId="3775DCD6" wp14:editId="3FA5DAA7">
            <wp:extent cx="4572000" cy="3429000"/>
            <wp:effectExtent l="0" t="0" r="0" b="0"/>
            <wp:docPr id="110" name="Picture 1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cell phone&#10;&#10;Description automatically generated"/>
                    <pic:cNvPicPr/>
                  </pic:nvPicPr>
                  <pic:blipFill>
                    <a:blip r:embed="rId122" cstate="email">
                      <a:extLst>
                        <a:ext uri="{28A0092B-C50C-407E-A947-70E740481C1C}">
                          <a14:useLocalDpi xmlns:a14="http://schemas.microsoft.com/office/drawing/2010/main"/>
                        </a:ext>
                      </a:extLst>
                    </a:blip>
                    <a:stretch>
                      <a:fillRect/>
                    </a:stretch>
                  </pic:blipFill>
                  <pic:spPr>
                    <a:xfrm>
                      <a:off x="0" y="0"/>
                      <a:ext cx="4572000" cy="3429000"/>
                    </a:xfrm>
                    <a:prstGeom prst="rect">
                      <a:avLst/>
                    </a:prstGeom>
                  </pic:spPr>
                </pic:pic>
              </a:graphicData>
            </a:graphic>
          </wp:inline>
        </w:drawing>
      </w:r>
      <w:r w:rsidRPr="00412D46">
        <w:rPr>
          <w:noProof/>
        </w:rPr>
        <w:drawing>
          <wp:inline distT="0" distB="0" distL="0" distR="0" wp14:anchorId="58C21B7F" wp14:editId="29A5C762">
            <wp:extent cx="4572000" cy="3685032"/>
            <wp:effectExtent l="0" t="0" r="0" b="0"/>
            <wp:docPr id="111" name="Picture 1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 up of a map&#10;&#10;Description automatically generated"/>
                    <pic:cNvPicPr/>
                  </pic:nvPicPr>
                  <pic:blipFill>
                    <a:blip r:embed="rId123" cstate="email">
                      <a:extLst>
                        <a:ext uri="{28A0092B-C50C-407E-A947-70E740481C1C}">
                          <a14:useLocalDpi xmlns:a14="http://schemas.microsoft.com/office/drawing/2010/main"/>
                        </a:ext>
                      </a:extLst>
                    </a:blip>
                    <a:stretch>
                      <a:fillRect/>
                    </a:stretch>
                  </pic:blipFill>
                  <pic:spPr>
                    <a:xfrm>
                      <a:off x="0" y="0"/>
                      <a:ext cx="4572000" cy="3685032"/>
                    </a:xfrm>
                    <a:prstGeom prst="rect">
                      <a:avLst/>
                    </a:prstGeom>
                  </pic:spPr>
                </pic:pic>
              </a:graphicData>
            </a:graphic>
          </wp:inline>
        </w:drawing>
      </w:r>
    </w:p>
    <w:p w14:paraId="40AA5286" w14:textId="77777777" w:rsidR="00CB27AF" w:rsidRDefault="00CB27AF" w:rsidP="00412D46">
      <w:bookmarkStart w:id="163" w:name="_Toc50392562"/>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24</w:t>
      </w:r>
      <w:r w:rsidRPr="00CF1718">
        <w:rPr>
          <w:noProof/>
        </w:rPr>
        <w:fldChar w:fldCharType="end"/>
      </w:r>
      <w:r w:rsidRPr="00CF1718">
        <w:t xml:space="preserve">. </w:t>
      </w:r>
      <w:r>
        <w:t>Upper: Empirical availability for females in SBS study areas, by year. Red line and points: annual ratios of NMFS abundance-at-size in SBS study areas to full survey area; dashed blue line and fill: LOESS smooth. Lower: “best”-fitting GAMs using cubic spline smooths to the values in the upper plot</w:t>
      </w:r>
      <w:r w:rsidRPr="00CF1718">
        <w:t>.</w:t>
      </w:r>
      <w:bookmarkEnd w:id="163"/>
      <w:r>
        <w:br w:type="page"/>
      </w:r>
    </w:p>
    <w:p w14:paraId="612CAE7A" w14:textId="77777777" w:rsidR="00CB27AF" w:rsidRPr="00493984" w:rsidRDefault="00CB27AF" w:rsidP="00BD355B">
      <w:r w:rsidRPr="00043BE1">
        <w:rPr>
          <w:noProof/>
        </w:rPr>
        <w:lastRenderedPageBreak/>
        <w:drawing>
          <wp:inline distT="0" distB="0" distL="0" distR="0" wp14:anchorId="57DEB1D3" wp14:editId="1558C079">
            <wp:extent cx="5389848" cy="334327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cstate="email">
                      <a:extLst>
                        <a:ext uri="{28A0092B-C50C-407E-A947-70E740481C1C}">
                          <a14:useLocalDpi xmlns:a14="http://schemas.microsoft.com/office/drawing/2010/main"/>
                        </a:ext>
                      </a:extLst>
                    </a:blip>
                    <a:srcRect/>
                    <a:stretch/>
                  </pic:blipFill>
                  <pic:spPr bwMode="auto">
                    <a:xfrm>
                      <a:off x="0" y="0"/>
                      <a:ext cx="5389848" cy="3343275"/>
                    </a:xfrm>
                    <a:prstGeom prst="rect">
                      <a:avLst/>
                    </a:prstGeom>
                    <a:ln>
                      <a:noFill/>
                    </a:ln>
                    <a:extLst>
                      <a:ext uri="{53640926-AAD7-44D8-BBD7-CCE9431645EC}">
                        <a14:shadowObscured xmlns:a14="http://schemas.microsoft.com/office/drawing/2010/main"/>
                      </a:ext>
                    </a:extLst>
                  </pic:spPr>
                </pic:pic>
              </a:graphicData>
            </a:graphic>
          </wp:inline>
        </w:drawing>
      </w:r>
    </w:p>
    <w:p w14:paraId="0A2E6952" w14:textId="77777777" w:rsidR="00CB27AF" w:rsidRPr="00493984" w:rsidRDefault="00CB27AF" w:rsidP="00043BE1">
      <w:bookmarkStart w:id="164" w:name="_Toc50392563"/>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25</w:t>
      </w:r>
      <w:r w:rsidRPr="00CF1718">
        <w:rPr>
          <w:noProof/>
        </w:rPr>
        <w:fldChar w:fldCharType="end"/>
      </w:r>
      <w:r w:rsidRPr="00CF1718">
        <w:t xml:space="preserve">. </w:t>
      </w:r>
      <w:r>
        <w:t>“Best”-fitting selectivity function for females from a catch-ratio analysis of the BSFRF-NMFS SBS data</w:t>
      </w:r>
      <w:r w:rsidRPr="00CF1718">
        <w:t>.</w:t>
      </w:r>
      <w:bookmarkEnd w:id="164"/>
    </w:p>
    <w:p w14:paraId="318B30F4" w14:textId="77777777" w:rsidR="00CB27AF" w:rsidRDefault="00CB27AF" w:rsidP="00FB135E">
      <w:pPr>
        <w:spacing w:after="0"/>
      </w:pPr>
      <w:r w:rsidRPr="00043BE1">
        <w:rPr>
          <w:noProof/>
        </w:rPr>
        <w:drawing>
          <wp:inline distT="0" distB="0" distL="0" distR="0" wp14:anchorId="08DCAD1D" wp14:editId="14E9EC22">
            <wp:extent cx="5361451" cy="3343275"/>
            <wp:effectExtent l="0" t="0" r="0" b="0"/>
            <wp:docPr id="113" name="Picture 1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lose up of a map&#10;&#10;Description automatically generated"/>
                    <pic:cNvPicPr/>
                  </pic:nvPicPr>
                  <pic:blipFill rotWithShape="1">
                    <a:blip r:embed="rId125" cstate="email">
                      <a:extLst>
                        <a:ext uri="{28A0092B-C50C-407E-A947-70E740481C1C}">
                          <a14:useLocalDpi xmlns:a14="http://schemas.microsoft.com/office/drawing/2010/main"/>
                        </a:ext>
                      </a:extLst>
                    </a:blip>
                    <a:srcRect/>
                    <a:stretch/>
                  </pic:blipFill>
                  <pic:spPr bwMode="auto">
                    <a:xfrm>
                      <a:off x="0" y="0"/>
                      <a:ext cx="5361451" cy="3343275"/>
                    </a:xfrm>
                    <a:prstGeom prst="rect">
                      <a:avLst/>
                    </a:prstGeom>
                    <a:ln>
                      <a:noFill/>
                    </a:ln>
                    <a:extLst>
                      <a:ext uri="{53640926-AAD7-44D8-BBD7-CCE9431645EC}">
                        <a14:shadowObscured xmlns:a14="http://schemas.microsoft.com/office/drawing/2010/main"/>
                      </a:ext>
                    </a:extLst>
                  </pic:spPr>
                </pic:pic>
              </a:graphicData>
            </a:graphic>
          </wp:inline>
        </w:drawing>
      </w:r>
    </w:p>
    <w:p w14:paraId="43E1C307" w14:textId="77777777" w:rsidR="00CB27AF" w:rsidRPr="00493984" w:rsidRDefault="00CB27AF" w:rsidP="00043BE1">
      <w:bookmarkStart w:id="165" w:name="_Toc50392564"/>
      <w:r w:rsidRPr="00CF1718">
        <w:t xml:space="preserve">Figure </w:t>
      </w:r>
      <w:r w:rsidRPr="00CF1718">
        <w:rPr>
          <w:noProof/>
        </w:rPr>
        <w:fldChar w:fldCharType="begin"/>
      </w:r>
      <w:r w:rsidRPr="00CF1718">
        <w:rPr>
          <w:noProof/>
        </w:rPr>
        <w:instrText xml:space="preserve"> SEQ Figure \* ARABIC </w:instrText>
      </w:r>
      <w:r w:rsidRPr="00CF1718">
        <w:rPr>
          <w:noProof/>
        </w:rPr>
        <w:fldChar w:fldCharType="separate"/>
      </w:r>
      <w:r>
        <w:rPr>
          <w:noProof/>
        </w:rPr>
        <w:t>26</w:t>
      </w:r>
      <w:r w:rsidRPr="00CF1718">
        <w:rPr>
          <w:noProof/>
        </w:rPr>
        <w:fldChar w:fldCharType="end"/>
      </w:r>
      <w:r w:rsidRPr="00CF1718">
        <w:t xml:space="preserve">. </w:t>
      </w:r>
      <w:r>
        <w:t>“Best”-fitting selectivity function for males from a catch-ratio analysis of the BSFRF-NMFS SBS data</w:t>
      </w:r>
      <w:r w:rsidRPr="00CF1718">
        <w:t>.</w:t>
      </w:r>
      <w:bookmarkEnd w:id="165"/>
    </w:p>
    <w:p w14:paraId="1444B90B" w14:textId="6D148979" w:rsidR="00CB27AF" w:rsidRDefault="00CB27AF">
      <w:pPr>
        <w:spacing w:after="200" w:line="276" w:lineRule="auto"/>
      </w:pPr>
      <w:r>
        <w:br w:type="page"/>
      </w:r>
    </w:p>
    <w:p w14:paraId="161D0F5A" w14:textId="77777777" w:rsidR="00CB27AF" w:rsidRDefault="00CB27AF">
      <w:pPr>
        <w:spacing w:after="0"/>
      </w:pPr>
      <w:r w:rsidRPr="004318AD">
        <w:rPr>
          <w:noProof/>
        </w:rPr>
        <w:lastRenderedPageBreak/>
        <w:drawing>
          <wp:inline distT="0" distB="0" distL="0" distR="0" wp14:anchorId="1E908DB8" wp14:editId="2A99925A">
            <wp:extent cx="5943600" cy="3300730"/>
            <wp:effectExtent l="0" t="0" r="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email">
                      <a:extLst>
                        <a:ext uri="{28A0092B-C50C-407E-A947-70E740481C1C}">
                          <a14:useLocalDpi xmlns:a14="http://schemas.microsoft.com/office/drawing/2010/main"/>
                        </a:ext>
                      </a:extLst>
                    </a:blip>
                    <a:stretch>
                      <a:fillRect/>
                    </a:stretch>
                  </pic:blipFill>
                  <pic:spPr>
                    <a:xfrm>
                      <a:off x="0" y="0"/>
                      <a:ext cx="5943600" cy="3300730"/>
                    </a:xfrm>
                    <a:prstGeom prst="rect">
                      <a:avLst/>
                    </a:prstGeom>
                  </pic:spPr>
                </pic:pic>
              </a:graphicData>
            </a:graphic>
          </wp:inline>
        </w:drawing>
      </w:r>
    </w:p>
    <w:p w14:paraId="73E29A1A" w14:textId="77777777" w:rsidR="00CB27AF" w:rsidRDefault="00CB27AF">
      <w:pPr>
        <w:spacing w:after="0"/>
      </w:pPr>
      <w:bookmarkStart w:id="166" w:name="_Toc50392565"/>
      <w:r w:rsidRPr="00466E5F">
        <w:t xml:space="preserve">Figure </w:t>
      </w:r>
      <w:r>
        <w:rPr>
          <w:noProof/>
        </w:rPr>
        <w:fldChar w:fldCharType="begin"/>
      </w:r>
      <w:r>
        <w:rPr>
          <w:noProof/>
        </w:rPr>
        <w:instrText xml:space="preserve"> SEQ Figure \* ARABIC \r 27 </w:instrText>
      </w:r>
      <w:r>
        <w:rPr>
          <w:noProof/>
        </w:rPr>
        <w:fldChar w:fldCharType="separate"/>
      </w:r>
      <w:r>
        <w:rPr>
          <w:noProof/>
        </w:rPr>
        <w:t>27</w:t>
      </w:r>
      <w:r>
        <w:rPr>
          <w:noProof/>
        </w:rPr>
        <w:fldChar w:fldCharType="end"/>
      </w:r>
      <w:r>
        <w:rPr>
          <w:noProof/>
        </w:rPr>
        <w:t>.</w:t>
      </w:r>
      <w:r w:rsidRPr="00466E5F">
        <w:t xml:space="preserve"> </w:t>
      </w:r>
      <w:r>
        <w:t>Fits to retained catch biomass in the directed fishery from all model scenarios.</w:t>
      </w:r>
      <w:bookmarkEnd w:id="166"/>
    </w:p>
    <w:p w14:paraId="573ED04E" w14:textId="77777777" w:rsidR="00CB27AF" w:rsidRDefault="00CB27AF">
      <w:pPr>
        <w:spacing w:after="0"/>
      </w:pPr>
      <w:r>
        <w:br w:type="page"/>
      </w:r>
    </w:p>
    <w:p w14:paraId="1FCA19BA" w14:textId="77777777" w:rsidR="00CB27AF" w:rsidRDefault="00CB27AF">
      <w:pPr>
        <w:spacing w:after="0"/>
      </w:pPr>
      <w:r w:rsidRPr="004318AD">
        <w:rPr>
          <w:noProof/>
        </w:rPr>
        <w:lastRenderedPageBreak/>
        <w:drawing>
          <wp:inline distT="0" distB="0" distL="0" distR="0" wp14:anchorId="60905D9C" wp14:editId="1D641E7D">
            <wp:extent cx="5943600" cy="3630295"/>
            <wp:effectExtent l="0" t="0" r="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2749C2CC" w14:textId="77777777" w:rsidR="00CB27AF" w:rsidRDefault="00CB27AF">
      <w:pPr>
        <w:spacing w:after="0"/>
      </w:pPr>
      <w:r w:rsidRPr="004318AD">
        <w:rPr>
          <w:noProof/>
        </w:rPr>
        <w:drawing>
          <wp:inline distT="0" distB="0" distL="0" distR="0" wp14:anchorId="24F25BB5" wp14:editId="00B4EE5F">
            <wp:extent cx="5943600" cy="3630295"/>
            <wp:effectExtent l="0" t="0" r="0" b="1905"/>
            <wp:docPr id="116" name="Picture 1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28"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53C2D7DC" w14:textId="77777777" w:rsidR="00CB27AF" w:rsidRDefault="00CB27AF" w:rsidP="004318AD">
      <w:pPr>
        <w:spacing w:after="0"/>
      </w:pPr>
      <w:bookmarkStart w:id="167" w:name="_Toc50392566"/>
      <w:r w:rsidRPr="00466E5F">
        <w:t xml:space="preserve">Figure </w:t>
      </w:r>
      <w:r>
        <w:rPr>
          <w:noProof/>
        </w:rPr>
        <w:fldChar w:fldCharType="begin"/>
      </w:r>
      <w:r>
        <w:rPr>
          <w:noProof/>
        </w:rPr>
        <w:instrText xml:space="preserve"> SEQ Figure \* ARABIC </w:instrText>
      </w:r>
      <w:r>
        <w:rPr>
          <w:noProof/>
        </w:rPr>
        <w:fldChar w:fldCharType="separate"/>
      </w:r>
      <w:r>
        <w:rPr>
          <w:noProof/>
        </w:rPr>
        <w:t>28</w:t>
      </w:r>
      <w:r>
        <w:rPr>
          <w:noProof/>
        </w:rPr>
        <w:fldChar w:fldCharType="end"/>
      </w:r>
      <w:r w:rsidRPr="00466E5F">
        <w:t xml:space="preserve">. </w:t>
      </w:r>
      <w:r>
        <w:t>Fits to total catch biomass in the directed fishery from all model scenarios.</w:t>
      </w:r>
      <w:bookmarkEnd w:id="167"/>
    </w:p>
    <w:p w14:paraId="74E00542" w14:textId="77777777" w:rsidR="00CB27AF" w:rsidRDefault="00CB27AF">
      <w:pPr>
        <w:spacing w:after="0"/>
      </w:pPr>
      <w:r>
        <w:br w:type="page"/>
      </w:r>
    </w:p>
    <w:p w14:paraId="5136BC39" w14:textId="77777777" w:rsidR="00CB27AF" w:rsidRDefault="00CB27AF">
      <w:pPr>
        <w:spacing w:after="0"/>
      </w:pPr>
      <w:r w:rsidRPr="001A1A9C">
        <w:rPr>
          <w:noProof/>
        </w:rPr>
        <w:lastRenderedPageBreak/>
        <w:drawing>
          <wp:inline distT="0" distB="0" distL="0" distR="0" wp14:anchorId="38296E28" wp14:editId="2873BE7D">
            <wp:extent cx="5943600" cy="3630295"/>
            <wp:effectExtent l="0" t="0" r="0" b="1905"/>
            <wp:docPr id="117" name="Picture 117"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text on a white background&#10;&#10;Description automatically generated"/>
                    <pic:cNvPicPr/>
                  </pic:nvPicPr>
                  <pic:blipFill>
                    <a:blip r:embed="rId129"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3BDFAB4D" w14:textId="77777777" w:rsidR="00CB27AF" w:rsidRDefault="00CB27AF">
      <w:pPr>
        <w:spacing w:after="0"/>
      </w:pPr>
      <w:r w:rsidRPr="001A1A9C">
        <w:rPr>
          <w:noProof/>
        </w:rPr>
        <w:drawing>
          <wp:inline distT="0" distB="0" distL="0" distR="0" wp14:anchorId="7B5F8B10" wp14:editId="1B66D3DC">
            <wp:extent cx="5943600" cy="3630295"/>
            <wp:effectExtent l="0" t="0" r="0" b="1905"/>
            <wp:docPr id="118" name="Picture 1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 up of a map&#10;&#10;Description automatically generated"/>
                    <pic:cNvPicPr/>
                  </pic:nvPicPr>
                  <pic:blipFill>
                    <a:blip r:embed="rId130"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0EBB8596" w14:textId="77777777" w:rsidR="00CB27AF" w:rsidRDefault="00CB27AF" w:rsidP="000477EF">
      <w:pPr>
        <w:spacing w:after="0"/>
      </w:pPr>
      <w:bookmarkStart w:id="168" w:name="_Toc50392567"/>
      <w:r w:rsidRPr="00466E5F">
        <w:t xml:space="preserve">Figure </w:t>
      </w:r>
      <w:r>
        <w:rPr>
          <w:noProof/>
        </w:rPr>
        <w:fldChar w:fldCharType="begin"/>
      </w:r>
      <w:r>
        <w:rPr>
          <w:noProof/>
        </w:rPr>
        <w:instrText xml:space="preserve"> SEQ Figure \* ARABIC </w:instrText>
      </w:r>
      <w:r>
        <w:rPr>
          <w:noProof/>
        </w:rPr>
        <w:fldChar w:fldCharType="separate"/>
      </w:r>
      <w:r>
        <w:rPr>
          <w:noProof/>
        </w:rPr>
        <w:t>29</w:t>
      </w:r>
      <w:r>
        <w:rPr>
          <w:noProof/>
        </w:rPr>
        <w:fldChar w:fldCharType="end"/>
      </w:r>
      <w:r w:rsidRPr="00466E5F">
        <w:t xml:space="preserve">. </w:t>
      </w:r>
      <w:r>
        <w:t>Fits to total catch biomass in the snow crab fishery from all scenarios.</w:t>
      </w:r>
      <w:bookmarkEnd w:id="168"/>
    </w:p>
    <w:p w14:paraId="4B009273" w14:textId="77777777" w:rsidR="00CB27AF" w:rsidRDefault="00CB27AF">
      <w:pPr>
        <w:spacing w:after="0"/>
      </w:pPr>
      <w:r>
        <w:br w:type="page"/>
      </w:r>
    </w:p>
    <w:p w14:paraId="6FFF2023" w14:textId="77777777" w:rsidR="00CB27AF" w:rsidRDefault="00CB27AF" w:rsidP="00717904">
      <w:pPr>
        <w:spacing w:after="0"/>
      </w:pPr>
      <w:r w:rsidRPr="001A1A9C">
        <w:rPr>
          <w:noProof/>
        </w:rPr>
        <w:lastRenderedPageBreak/>
        <w:drawing>
          <wp:inline distT="0" distB="0" distL="0" distR="0" wp14:anchorId="52DA59E4" wp14:editId="1DB757CC">
            <wp:extent cx="5943600" cy="3630295"/>
            <wp:effectExtent l="0" t="0" r="0" b="1905"/>
            <wp:docPr id="119" name="Picture 11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lose up of text on a white background&#10;&#10;Description automatically generated"/>
                    <pic:cNvPicPr/>
                  </pic:nvPicPr>
                  <pic:blipFill>
                    <a:blip r:embed="rId131"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2980E12B" w14:textId="77777777" w:rsidR="00CB27AF" w:rsidRDefault="00CB27AF" w:rsidP="00717904">
      <w:pPr>
        <w:spacing w:after="0"/>
      </w:pPr>
      <w:r w:rsidRPr="001A1A9C">
        <w:rPr>
          <w:noProof/>
        </w:rPr>
        <w:drawing>
          <wp:inline distT="0" distB="0" distL="0" distR="0" wp14:anchorId="1DAFEA07" wp14:editId="00B1DBE0">
            <wp:extent cx="5943600" cy="3630295"/>
            <wp:effectExtent l="0" t="0" r="0" b="1905"/>
            <wp:docPr id="120" name="Picture 120"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clock&#10;&#10;Description automatically generated"/>
                    <pic:cNvPicPr/>
                  </pic:nvPicPr>
                  <pic:blipFill>
                    <a:blip r:embed="rId132"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504AEB3D" w14:textId="77777777" w:rsidR="00CB27AF" w:rsidRDefault="00CB27AF" w:rsidP="00717904">
      <w:pPr>
        <w:spacing w:after="0"/>
      </w:pPr>
      <w:bookmarkStart w:id="169" w:name="_Toc50392568"/>
      <w:r w:rsidRPr="00466E5F">
        <w:t xml:space="preserve">Figure </w:t>
      </w:r>
      <w:r>
        <w:rPr>
          <w:noProof/>
        </w:rPr>
        <w:fldChar w:fldCharType="begin"/>
      </w:r>
      <w:r>
        <w:rPr>
          <w:noProof/>
        </w:rPr>
        <w:instrText xml:space="preserve"> SEQ Figure \* ARABIC </w:instrText>
      </w:r>
      <w:r>
        <w:rPr>
          <w:noProof/>
        </w:rPr>
        <w:fldChar w:fldCharType="separate"/>
      </w:r>
      <w:r>
        <w:rPr>
          <w:noProof/>
        </w:rPr>
        <w:t>30</w:t>
      </w:r>
      <w:r>
        <w:rPr>
          <w:noProof/>
        </w:rPr>
        <w:fldChar w:fldCharType="end"/>
      </w:r>
      <w:r w:rsidRPr="00466E5F">
        <w:t xml:space="preserve">. </w:t>
      </w:r>
      <w:r>
        <w:t>Fits to total catch biomass in the BBRKC fishery from all scenarios.</w:t>
      </w:r>
      <w:bookmarkEnd w:id="169"/>
    </w:p>
    <w:p w14:paraId="652F5AF9" w14:textId="77777777" w:rsidR="00CB27AF" w:rsidRDefault="00CB27AF">
      <w:pPr>
        <w:spacing w:after="0"/>
      </w:pPr>
      <w:r>
        <w:br w:type="page"/>
      </w:r>
    </w:p>
    <w:p w14:paraId="64C1FE29" w14:textId="77777777" w:rsidR="00CB27AF" w:rsidRDefault="00CB27AF" w:rsidP="001066F4">
      <w:pPr>
        <w:spacing w:after="0"/>
      </w:pPr>
      <w:r w:rsidRPr="001A1A9C">
        <w:rPr>
          <w:noProof/>
        </w:rPr>
        <w:lastRenderedPageBreak/>
        <w:drawing>
          <wp:inline distT="0" distB="0" distL="0" distR="0" wp14:anchorId="424CBEDF" wp14:editId="15434815">
            <wp:extent cx="5943600" cy="3630295"/>
            <wp:effectExtent l="0" t="0" r="0" b="1905"/>
            <wp:docPr id="121" name="Picture 12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a device&#10;&#10;Description automatically generated"/>
                    <pic:cNvPicPr/>
                  </pic:nvPicPr>
                  <pic:blipFill>
                    <a:blip r:embed="rId133"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014066D4" w14:textId="77777777" w:rsidR="00CB27AF" w:rsidRDefault="00CB27AF" w:rsidP="001066F4">
      <w:pPr>
        <w:spacing w:after="0"/>
      </w:pPr>
      <w:bookmarkStart w:id="170" w:name="_Toc50392569"/>
      <w:r w:rsidRPr="00466E5F">
        <w:t xml:space="preserve">Figure </w:t>
      </w:r>
      <w:r>
        <w:rPr>
          <w:noProof/>
        </w:rPr>
        <w:fldChar w:fldCharType="begin"/>
      </w:r>
      <w:r>
        <w:rPr>
          <w:noProof/>
        </w:rPr>
        <w:instrText xml:space="preserve"> SEQ Figure \* ARABIC </w:instrText>
      </w:r>
      <w:r>
        <w:rPr>
          <w:noProof/>
        </w:rPr>
        <w:fldChar w:fldCharType="separate"/>
      </w:r>
      <w:r>
        <w:rPr>
          <w:noProof/>
        </w:rPr>
        <w:t>31</w:t>
      </w:r>
      <w:r>
        <w:rPr>
          <w:noProof/>
        </w:rPr>
        <w:fldChar w:fldCharType="end"/>
      </w:r>
      <w:r w:rsidRPr="00466E5F">
        <w:t xml:space="preserve">. </w:t>
      </w:r>
      <w:r>
        <w:t>Fits to total catch biomass in the groundfish fisheries for all scenarios.</w:t>
      </w:r>
      <w:bookmarkEnd w:id="170"/>
    </w:p>
    <w:p w14:paraId="1EB59721" w14:textId="77777777" w:rsidR="00CB27AF" w:rsidRDefault="00CB27AF" w:rsidP="00423800">
      <w:pPr>
        <w:spacing w:after="0"/>
      </w:pPr>
      <w:r>
        <w:br w:type="page"/>
      </w:r>
    </w:p>
    <w:p w14:paraId="377384BD" w14:textId="77777777" w:rsidR="00CB27AF" w:rsidRDefault="00CB27AF" w:rsidP="00E82602">
      <w:pPr>
        <w:spacing w:after="0"/>
      </w:pPr>
      <w:r w:rsidRPr="007C3FDC">
        <w:rPr>
          <w:noProof/>
        </w:rPr>
        <w:lastRenderedPageBreak/>
        <w:drawing>
          <wp:inline distT="0" distB="0" distL="0" distR="0" wp14:anchorId="51310F1E" wp14:editId="621DC24B">
            <wp:extent cx="5943600" cy="3630295"/>
            <wp:effectExtent l="0" t="0" r="0" b="1905"/>
            <wp:docPr id="122" name="Picture 1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pic:nvPicPr>
                  <pic:blipFill>
                    <a:blip r:embed="rId134"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65B80B08" w14:textId="77777777" w:rsidR="00CB27AF" w:rsidRDefault="00CB27AF" w:rsidP="00E82602">
      <w:pPr>
        <w:spacing w:after="0"/>
      </w:pPr>
      <w:r w:rsidRPr="007C3FDC">
        <w:rPr>
          <w:noProof/>
        </w:rPr>
        <w:drawing>
          <wp:inline distT="0" distB="0" distL="0" distR="0" wp14:anchorId="2AB3B3A1" wp14:editId="4AFEEF0B">
            <wp:extent cx="5943600" cy="3630295"/>
            <wp:effectExtent l="0" t="0" r="0" b="1905"/>
            <wp:docPr id="123" name="Picture 12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close up of a map&#10;&#10;Description automatically generated"/>
                    <pic:cNvPicPr/>
                  </pic:nvPicPr>
                  <pic:blipFill>
                    <a:blip r:embed="rId135"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608C1542" w14:textId="77777777" w:rsidR="00CB27AF" w:rsidRDefault="00CB27AF" w:rsidP="001068C7">
      <w:pPr>
        <w:spacing w:after="0"/>
      </w:pPr>
      <w:bookmarkStart w:id="171" w:name="_Toc50392570"/>
      <w:r w:rsidRPr="00466E5F">
        <w:t xml:space="preserve">Figure </w:t>
      </w:r>
      <w:r>
        <w:rPr>
          <w:noProof/>
        </w:rPr>
        <w:fldChar w:fldCharType="begin"/>
      </w:r>
      <w:r>
        <w:rPr>
          <w:noProof/>
        </w:rPr>
        <w:instrText xml:space="preserve"> SEQ Figure \* ARABIC </w:instrText>
      </w:r>
      <w:r>
        <w:rPr>
          <w:noProof/>
        </w:rPr>
        <w:fldChar w:fldCharType="separate"/>
      </w:r>
      <w:r>
        <w:rPr>
          <w:noProof/>
        </w:rPr>
        <w:t>32</w:t>
      </w:r>
      <w:r>
        <w:rPr>
          <w:noProof/>
        </w:rPr>
        <w:fldChar w:fldCharType="end"/>
      </w:r>
      <w:r w:rsidRPr="00466E5F">
        <w:t xml:space="preserve">. </w:t>
      </w:r>
      <w:r>
        <w:t>Fits to time series of all male (upper graph), immature female (center graph), and mature female (lower plot) biomass from the NMFS EBS shelf bottom trawl survey.</w:t>
      </w:r>
      <w:bookmarkEnd w:id="171"/>
    </w:p>
    <w:p w14:paraId="79187FA2" w14:textId="77777777" w:rsidR="00CB27AF" w:rsidRDefault="00CB27AF">
      <w:pPr>
        <w:spacing w:after="0"/>
      </w:pPr>
      <w:r>
        <w:br w:type="page"/>
      </w:r>
    </w:p>
    <w:p w14:paraId="3BE550F4" w14:textId="77777777" w:rsidR="00CB27AF" w:rsidRDefault="00CB27AF">
      <w:pPr>
        <w:spacing w:after="0"/>
      </w:pPr>
    </w:p>
    <w:p w14:paraId="675F7814" w14:textId="77777777" w:rsidR="00CB27AF" w:rsidRDefault="00CB27AF">
      <w:pPr>
        <w:spacing w:after="0"/>
      </w:pPr>
      <w:r w:rsidRPr="00E91B9C">
        <w:rPr>
          <w:noProof/>
        </w:rPr>
        <w:drawing>
          <wp:inline distT="0" distB="0" distL="0" distR="0" wp14:anchorId="312564BF" wp14:editId="0296AE82">
            <wp:extent cx="5943600" cy="3630295"/>
            <wp:effectExtent l="0" t="0" r="0" b="1905"/>
            <wp:docPr id="124" name="Picture 12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text on a white background&#10;&#10;Description automatically generated"/>
                    <pic:cNvPicPr/>
                  </pic:nvPicPr>
                  <pic:blipFill>
                    <a:blip r:embed="rId136"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548E967E" w14:textId="77777777" w:rsidR="00CB27AF" w:rsidRDefault="00CB27AF">
      <w:pPr>
        <w:spacing w:after="0"/>
      </w:pPr>
      <w:r w:rsidRPr="00E91B9C">
        <w:rPr>
          <w:noProof/>
        </w:rPr>
        <w:drawing>
          <wp:inline distT="0" distB="0" distL="0" distR="0" wp14:anchorId="69B170C3" wp14:editId="573FEA3E">
            <wp:extent cx="5943600" cy="3630295"/>
            <wp:effectExtent l="0" t="0" r="0" b="1905"/>
            <wp:docPr id="125" name="Picture 12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map&#10;&#10;Description automatically generated"/>
                    <pic:cNvPicPr/>
                  </pic:nvPicPr>
                  <pic:blipFill>
                    <a:blip r:embed="rId137" cstate="email">
                      <a:extLst>
                        <a:ext uri="{28A0092B-C50C-407E-A947-70E740481C1C}">
                          <a14:useLocalDpi xmlns:a14="http://schemas.microsoft.com/office/drawing/2010/main"/>
                        </a:ext>
                      </a:extLst>
                    </a:blip>
                    <a:stretch>
                      <a:fillRect/>
                    </a:stretch>
                  </pic:blipFill>
                  <pic:spPr>
                    <a:xfrm>
                      <a:off x="0" y="0"/>
                      <a:ext cx="5943600" cy="3630295"/>
                    </a:xfrm>
                    <a:prstGeom prst="rect">
                      <a:avLst/>
                    </a:prstGeom>
                  </pic:spPr>
                </pic:pic>
              </a:graphicData>
            </a:graphic>
          </wp:inline>
        </w:drawing>
      </w:r>
    </w:p>
    <w:p w14:paraId="7D3049F2" w14:textId="77777777" w:rsidR="00CB27AF" w:rsidRDefault="00CB27AF">
      <w:pPr>
        <w:spacing w:after="0"/>
      </w:pPr>
      <w:bookmarkStart w:id="172" w:name="_Toc50392571"/>
      <w:r w:rsidRPr="00466E5F">
        <w:t xml:space="preserve">Figure </w:t>
      </w:r>
      <w:r>
        <w:rPr>
          <w:noProof/>
        </w:rPr>
        <w:fldChar w:fldCharType="begin"/>
      </w:r>
      <w:r>
        <w:rPr>
          <w:noProof/>
        </w:rPr>
        <w:instrText xml:space="preserve"> SEQ Figure \* ARABIC </w:instrText>
      </w:r>
      <w:r>
        <w:rPr>
          <w:noProof/>
        </w:rPr>
        <w:fldChar w:fldCharType="separate"/>
      </w:r>
      <w:r>
        <w:rPr>
          <w:noProof/>
        </w:rPr>
        <w:t>33</w:t>
      </w:r>
      <w:r>
        <w:rPr>
          <w:noProof/>
        </w:rPr>
        <w:fldChar w:fldCharType="end"/>
      </w:r>
      <w:r w:rsidRPr="00466E5F">
        <w:t xml:space="preserve">. </w:t>
      </w:r>
      <w:r>
        <w:t>Fits to survey biomass from the BSFRF SBS bottom trawl survey data for scenario 20.07.</w:t>
      </w:r>
      <w:bookmarkEnd w:id="172"/>
    </w:p>
    <w:p w14:paraId="4091B184" w14:textId="77777777" w:rsidR="00CB27AF" w:rsidRDefault="00CB27AF">
      <w:pPr>
        <w:spacing w:after="0"/>
      </w:pPr>
      <w:r>
        <w:br w:type="page"/>
      </w:r>
    </w:p>
    <w:p w14:paraId="3053DE4F" w14:textId="77777777" w:rsidR="00CB27AF" w:rsidRDefault="00CB27AF">
      <w:pPr>
        <w:spacing w:after="0"/>
      </w:pPr>
      <w:r w:rsidRPr="00E91B9C">
        <w:rPr>
          <w:noProof/>
        </w:rPr>
        <w:lastRenderedPageBreak/>
        <w:drawing>
          <wp:inline distT="0" distB="0" distL="0" distR="0" wp14:anchorId="4A0A319A" wp14:editId="041DBC10">
            <wp:extent cx="5943600" cy="6855460"/>
            <wp:effectExtent l="0" t="0" r="0" b="2540"/>
            <wp:docPr id="126" name="Picture 1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close up of a map&#10;&#10;Description automatically generated"/>
                    <pic:cNvPicPr/>
                  </pic:nvPicPr>
                  <pic:blipFill>
                    <a:blip r:embed="rId138" cstate="email">
                      <a:extLst>
                        <a:ext uri="{28A0092B-C50C-407E-A947-70E740481C1C}">
                          <a14:useLocalDpi xmlns:a14="http://schemas.microsoft.com/office/drawing/2010/main"/>
                        </a:ext>
                      </a:extLst>
                    </a:blip>
                    <a:stretch>
                      <a:fillRect/>
                    </a:stretch>
                  </pic:blipFill>
                  <pic:spPr>
                    <a:xfrm>
                      <a:off x="0" y="0"/>
                      <a:ext cx="5943600" cy="6855460"/>
                    </a:xfrm>
                    <a:prstGeom prst="rect">
                      <a:avLst/>
                    </a:prstGeom>
                  </pic:spPr>
                </pic:pic>
              </a:graphicData>
            </a:graphic>
          </wp:inline>
        </w:drawing>
      </w:r>
    </w:p>
    <w:p w14:paraId="1C844FDF" w14:textId="77777777" w:rsidR="00CB27AF" w:rsidRDefault="00CB27AF" w:rsidP="00CF7CFB">
      <w:pPr>
        <w:spacing w:after="0"/>
      </w:pPr>
      <w:bookmarkStart w:id="173" w:name="_Toc50392572"/>
      <w:r w:rsidRPr="00466E5F">
        <w:t xml:space="preserve">Figure </w:t>
      </w:r>
      <w:r>
        <w:rPr>
          <w:noProof/>
        </w:rPr>
        <w:fldChar w:fldCharType="begin"/>
      </w:r>
      <w:r>
        <w:rPr>
          <w:noProof/>
        </w:rPr>
        <w:instrText xml:space="preserve"> SEQ Figure \* ARABIC </w:instrText>
      </w:r>
      <w:r>
        <w:rPr>
          <w:noProof/>
        </w:rPr>
        <w:fldChar w:fldCharType="separate"/>
      </w:r>
      <w:r>
        <w:rPr>
          <w:noProof/>
        </w:rPr>
        <w:t>34</w:t>
      </w:r>
      <w:r>
        <w:rPr>
          <w:noProof/>
        </w:rPr>
        <w:fldChar w:fldCharType="end"/>
      </w:r>
      <w:r w:rsidRPr="00466E5F">
        <w:t xml:space="preserve">. </w:t>
      </w:r>
      <w:r>
        <w:t>Fits to molt increment data for all scenarios.</w:t>
      </w:r>
      <w:bookmarkEnd w:id="173"/>
      <w:r>
        <w:t xml:space="preserve"> </w:t>
      </w:r>
    </w:p>
    <w:p w14:paraId="1AF8E951" w14:textId="77777777" w:rsidR="00CB27AF" w:rsidRDefault="00CB27AF">
      <w:pPr>
        <w:spacing w:after="0"/>
      </w:pPr>
      <w:r>
        <w:br w:type="page"/>
      </w:r>
    </w:p>
    <w:p w14:paraId="5A1B90F5" w14:textId="77777777" w:rsidR="00CB27AF" w:rsidRDefault="00CB27AF" w:rsidP="00CF7CFB">
      <w:pPr>
        <w:spacing w:after="0"/>
        <w:rPr>
          <w:noProof/>
        </w:rPr>
      </w:pPr>
      <w:r w:rsidRPr="00E91B9C">
        <w:rPr>
          <w:noProof/>
        </w:rPr>
        <w:lastRenderedPageBreak/>
        <w:drawing>
          <wp:inline distT="0" distB="0" distL="0" distR="0" wp14:anchorId="03C4607F" wp14:editId="1FB6A1D5">
            <wp:extent cx="5943600" cy="6855460"/>
            <wp:effectExtent l="0" t="0" r="0" b="2540"/>
            <wp:docPr id="127" name="Picture 12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close up of a map&#10;&#10;Description automatically generated"/>
                    <pic:cNvPicPr/>
                  </pic:nvPicPr>
                  <pic:blipFill>
                    <a:blip r:embed="rId139" cstate="email">
                      <a:extLst>
                        <a:ext uri="{28A0092B-C50C-407E-A947-70E740481C1C}">
                          <a14:useLocalDpi xmlns:a14="http://schemas.microsoft.com/office/drawing/2010/main"/>
                        </a:ext>
                      </a:extLst>
                    </a:blip>
                    <a:stretch>
                      <a:fillRect/>
                    </a:stretch>
                  </pic:blipFill>
                  <pic:spPr>
                    <a:xfrm>
                      <a:off x="0" y="0"/>
                      <a:ext cx="5943600" cy="6855460"/>
                    </a:xfrm>
                    <a:prstGeom prst="rect">
                      <a:avLst/>
                    </a:prstGeom>
                  </pic:spPr>
                </pic:pic>
              </a:graphicData>
            </a:graphic>
          </wp:inline>
        </w:drawing>
      </w:r>
      <w:r w:rsidRPr="006935DB">
        <w:rPr>
          <w:noProof/>
        </w:rPr>
        <w:t xml:space="preserve"> </w:t>
      </w:r>
    </w:p>
    <w:p w14:paraId="6E94DA3F" w14:textId="77777777" w:rsidR="00CB27AF" w:rsidRDefault="00CB27AF" w:rsidP="006935DB">
      <w:pPr>
        <w:spacing w:after="0"/>
      </w:pPr>
      <w:bookmarkStart w:id="174" w:name="_Toc50392573"/>
      <w:r w:rsidRPr="00466E5F">
        <w:t xml:space="preserve">Figure </w:t>
      </w:r>
      <w:r>
        <w:rPr>
          <w:noProof/>
        </w:rPr>
        <w:fldChar w:fldCharType="begin"/>
      </w:r>
      <w:r>
        <w:rPr>
          <w:noProof/>
        </w:rPr>
        <w:instrText xml:space="preserve"> SEQ Figure \* ARABIC </w:instrText>
      </w:r>
      <w:r>
        <w:rPr>
          <w:noProof/>
        </w:rPr>
        <w:fldChar w:fldCharType="separate"/>
      </w:r>
      <w:r>
        <w:rPr>
          <w:noProof/>
        </w:rPr>
        <w:t>35</w:t>
      </w:r>
      <w:r>
        <w:rPr>
          <w:noProof/>
        </w:rPr>
        <w:fldChar w:fldCharType="end"/>
      </w:r>
      <w:r w:rsidRPr="00466E5F">
        <w:t xml:space="preserve">. </w:t>
      </w:r>
      <w:r>
        <w:t>Fits to male maturity ogive data for all scenarios.</w:t>
      </w:r>
      <w:bookmarkEnd w:id="174"/>
    </w:p>
    <w:p w14:paraId="5F859B85" w14:textId="77777777" w:rsidR="00CB27AF" w:rsidRDefault="00CB27AF" w:rsidP="00CF7CFB">
      <w:pPr>
        <w:spacing w:after="0"/>
      </w:pPr>
      <w:r w:rsidRPr="006935DB">
        <w:rPr>
          <w:noProof/>
        </w:rPr>
        <w:lastRenderedPageBreak/>
        <w:drawing>
          <wp:inline distT="0" distB="0" distL="0" distR="0" wp14:anchorId="3C6B3CF9" wp14:editId="790EF911">
            <wp:extent cx="5943600" cy="6855460"/>
            <wp:effectExtent l="0" t="0" r="0" b="2540"/>
            <wp:docPr id="128" name="Picture 12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 up of a map&#10;&#10;Description automatically generated"/>
                    <pic:cNvPicPr/>
                  </pic:nvPicPr>
                  <pic:blipFill>
                    <a:blip r:embed="rId140" cstate="email">
                      <a:extLst>
                        <a:ext uri="{28A0092B-C50C-407E-A947-70E740481C1C}">
                          <a14:useLocalDpi xmlns:a14="http://schemas.microsoft.com/office/drawing/2010/main"/>
                        </a:ext>
                      </a:extLst>
                    </a:blip>
                    <a:stretch>
                      <a:fillRect/>
                    </a:stretch>
                  </pic:blipFill>
                  <pic:spPr>
                    <a:xfrm>
                      <a:off x="0" y="0"/>
                      <a:ext cx="5943600" cy="6855460"/>
                    </a:xfrm>
                    <a:prstGeom prst="rect">
                      <a:avLst/>
                    </a:prstGeom>
                  </pic:spPr>
                </pic:pic>
              </a:graphicData>
            </a:graphic>
          </wp:inline>
        </w:drawing>
      </w:r>
    </w:p>
    <w:p w14:paraId="23AC283E" w14:textId="77777777" w:rsidR="00CB27AF" w:rsidRDefault="00CB27AF" w:rsidP="0051367C">
      <w:pPr>
        <w:spacing w:after="0"/>
      </w:pPr>
      <w:r w:rsidRPr="00466E5F">
        <w:t>Figure</w:t>
      </w:r>
      <w:r>
        <w:rPr>
          <w:noProof/>
        </w:rPr>
        <w:t>35 (cont.)</w:t>
      </w:r>
      <w:r w:rsidRPr="00466E5F">
        <w:t xml:space="preserve">. </w:t>
      </w:r>
      <w:r>
        <w:t>Fits to male maturity ogive data for all scenarios.</w:t>
      </w:r>
    </w:p>
    <w:p w14:paraId="47EADED8" w14:textId="6E91E274" w:rsidR="00751D4B" w:rsidRDefault="00751D4B">
      <w:pPr>
        <w:spacing w:after="200" w:line="276" w:lineRule="auto"/>
        <w:rPr>
          <w:rFonts w:eastAsia="Times New Roman" w:cs="Times New Roman"/>
        </w:rPr>
      </w:pPr>
      <w:r>
        <w:rPr>
          <w:rFonts w:eastAsia="Times New Roman" w:cs="Times New Roman"/>
        </w:rPr>
        <w:br w:type="page"/>
      </w:r>
    </w:p>
    <w:p w14:paraId="11268D0F" w14:textId="77777777" w:rsidR="00D7598A" w:rsidRDefault="00D7598A">
      <w:pPr>
        <w:spacing w:after="0"/>
      </w:pPr>
      <w:r w:rsidRPr="00A93D8E">
        <w:rPr>
          <w:noProof/>
        </w:rPr>
        <w:lastRenderedPageBreak/>
        <w:drawing>
          <wp:inline distT="0" distB="0" distL="0" distR="0" wp14:anchorId="4C7FBA10" wp14:editId="5B11CFED">
            <wp:extent cx="5943600" cy="5943600"/>
            <wp:effectExtent l="0" t="0" r="0" b="0"/>
            <wp:docPr id="129" name="Picture 12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map&#10;&#10;Description automatically generated"/>
                    <pic:cNvPicPr/>
                  </pic:nvPicPr>
                  <pic:blipFill>
                    <a:blip r:embed="rId141"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0EFE2D0D" w14:textId="77777777" w:rsidR="00D7598A" w:rsidRDefault="00D7598A">
      <w:pPr>
        <w:spacing w:after="0"/>
      </w:pPr>
      <w:bookmarkStart w:id="175" w:name="_Toc50392574"/>
      <w:r w:rsidRPr="00466E5F">
        <w:t xml:space="preserve">Figure </w:t>
      </w:r>
      <w:r>
        <w:rPr>
          <w:noProof/>
        </w:rPr>
        <w:fldChar w:fldCharType="begin"/>
      </w:r>
      <w:r>
        <w:rPr>
          <w:noProof/>
        </w:rPr>
        <w:instrText xml:space="preserve"> SEQ Figure \* ARABIC \r 36</w:instrText>
      </w:r>
      <w:r>
        <w:rPr>
          <w:noProof/>
        </w:rPr>
        <w:fldChar w:fldCharType="separate"/>
      </w:r>
      <w:r>
        <w:rPr>
          <w:noProof/>
        </w:rPr>
        <w:t>36</w:t>
      </w:r>
      <w:r>
        <w:rPr>
          <w:noProof/>
        </w:rPr>
        <w:fldChar w:fldCharType="end"/>
      </w:r>
      <w:r w:rsidRPr="00466E5F">
        <w:t xml:space="preserve">. </w:t>
      </w:r>
      <w:r>
        <w:t>Directed fishery catchability (capture rates) from all model scenarios.</w:t>
      </w:r>
      <w:bookmarkEnd w:id="175"/>
      <w:r>
        <w:br w:type="page"/>
      </w:r>
    </w:p>
    <w:p w14:paraId="481312D4" w14:textId="77777777" w:rsidR="00D7598A" w:rsidRDefault="00D7598A" w:rsidP="00FA338E">
      <w:pPr>
        <w:spacing w:after="0"/>
      </w:pPr>
      <w:r w:rsidRPr="001240E6">
        <w:rPr>
          <w:noProof/>
        </w:rPr>
        <w:lastRenderedPageBreak/>
        <w:drawing>
          <wp:inline distT="0" distB="0" distL="0" distR="0" wp14:anchorId="5562A850" wp14:editId="44DFF082">
            <wp:extent cx="5943600" cy="5943600"/>
            <wp:effectExtent l="0" t="0" r="0" b="0"/>
            <wp:docPr id="130" name="Picture 13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map&#10;&#10;Description automatically generated"/>
                    <pic:cNvPicPr/>
                  </pic:nvPicPr>
                  <pic:blipFill>
                    <a:blip r:embed="rId142"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1EC63751" w14:textId="77777777" w:rsidR="00D7598A" w:rsidRDefault="00D7598A" w:rsidP="00FA338E">
      <w:pPr>
        <w:spacing w:after="0"/>
      </w:pPr>
      <w:bookmarkStart w:id="176" w:name="_Toc50392575"/>
      <w:r w:rsidRPr="00466E5F">
        <w:t xml:space="preserve">Figure </w:t>
      </w:r>
      <w:r>
        <w:rPr>
          <w:noProof/>
        </w:rPr>
        <w:fldChar w:fldCharType="begin"/>
      </w:r>
      <w:r>
        <w:rPr>
          <w:noProof/>
        </w:rPr>
        <w:instrText xml:space="preserve"> SEQ Figure \* ARABIC </w:instrText>
      </w:r>
      <w:r>
        <w:rPr>
          <w:noProof/>
        </w:rPr>
        <w:fldChar w:fldCharType="separate"/>
      </w:r>
      <w:r>
        <w:rPr>
          <w:noProof/>
        </w:rPr>
        <w:t>37</w:t>
      </w:r>
      <w:r>
        <w:rPr>
          <w:noProof/>
        </w:rPr>
        <w:fldChar w:fldCharType="end"/>
      </w:r>
      <w:r w:rsidRPr="00466E5F">
        <w:t xml:space="preserve">. </w:t>
      </w:r>
      <w:r>
        <w:t>Directed fishery selectivity curves from all scenarios. The size-at-50%-selected parameter varies annually for 1991+.</w:t>
      </w:r>
      <w:bookmarkEnd w:id="176"/>
    </w:p>
    <w:p w14:paraId="3544F246" w14:textId="77777777" w:rsidR="00D7598A" w:rsidRDefault="00D7598A" w:rsidP="00FA338E">
      <w:pPr>
        <w:spacing w:after="0"/>
      </w:pPr>
      <w:r>
        <w:br w:type="page"/>
      </w:r>
    </w:p>
    <w:p w14:paraId="310F24B9" w14:textId="77777777" w:rsidR="00D7598A" w:rsidRDefault="00D7598A" w:rsidP="00FA338E">
      <w:pPr>
        <w:spacing w:after="0"/>
      </w:pPr>
      <w:r w:rsidRPr="001240E6">
        <w:rPr>
          <w:noProof/>
        </w:rPr>
        <w:lastRenderedPageBreak/>
        <w:drawing>
          <wp:inline distT="0" distB="0" distL="0" distR="0" wp14:anchorId="5E1A9732" wp14:editId="3D274F8D">
            <wp:extent cx="5943600" cy="5943600"/>
            <wp:effectExtent l="0" t="0" r="0" b="0"/>
            <wp:docPr id="131" name="Picture 13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map&#10;&#10;Description automatically generated"/>
                    <pic:cNvPicPr/>
                  </pic:nvPicPr>
                  <pic:blipFill>
                    <a:blip r:embed="rId143"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2D009703" w14:textId="77777777" w:rsidR="00D7598A" w:rsidRDefault="00D7598A" w:rsidP="001240E6">
      <w:pPr>
        <w:spacing w:after="0"/>
      </w:pPr>
      <w:r w:rsidRPr="00466E5F">
        <w:t>Figure</w:t>
      </w:r>
      <w:r>
        <w:t xml:space="preserve"> </w:t>
      </w:r>
      <w:r>
        <w:rPr>
          <w:noProof/>
        </w:rPr>
        <w:t>37 (cont.)</w:t>
      </w:r>
      <w:r w:rsidRPr="00466E5F">
        <w:t xml:space="preserve">. </w:t>
      </w:r>
      <w:r>
        <w:t>Directed fishery selectivity curves from all scenarios. The size-at-50%-selected parameter varies annually for 1991+.</w:t>
      </w:r>
    </w:p>
    <w:p w14:paraId="0AAE24B6" w14:textId="77777777" w:rsidR="00D7598A" w:rsidRDefault="00D7598A" w:rsidP="00675B5E">
      <w:pPr>
        <w:spacing w:after="0"/>
      </w:pPr>
      <w:r>
        <w:br w:type="page"/>
      </w:r>
    </w:p>
    <w:p w14:paraId="55C30CB1" w14:textId="77777777" w:rsidR="00D7598A" w:rsidRDefault="00D7598A" w:rsidP="00675B5E">
      <w:pPr>
        <w:spacing w:after="0"/>
      </w:pPr>
      <w:r w:rsidRPr="001240E6">
        <w:rPr>
          <w:noProof/>
        </w:rPr>
        <w:lastRenderedPageBreak/>
        <w:drawing>
          <wp:inline distT="0" distB="0" distL="0" distR="0" wp14:anchorId="2823ADC4" wp14:editId="7BCDEE00">
            <wp:extent cx="5943600" cy="5943600"/>
            <wp:effectExtent l="0" t="0" r="0" b="0"/>
            <wp:docPr id="132" name="Picture 13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map&#10;&#10;Description automatically generated"/>
                    <pic:cNvPicPr/>
                  </pic:nvPicPr>
                  <pic:blipFill>
                    <a:blip r:embed="rId144"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36CAD372" w14:textId="77777777" w:rsidR="00D7598A" w:rsidRDefault="00D7598A" w:rsidP="001240E6">
      <w:pPr>
        <w:spacing w:after="0"/>
      </w:pPr>
      <w:r w:rsidRPr="00466E5F">
        <w:t>Figure</w:t>
      </w:r>
      <w:r>
        <w:t xml:space="preserve"> </w:t>
      </w:r>
      <w:r>
        <w:rPr>
          <w:noProof/>
        </w:rPr>
        <w:t>37 (cont.)</w:t>
      </w:r>
      <w:r w:rsidRPr="00466E5F">
        <w:t xml:space="preserve">. </w:t>
      </w:r>
      <w:r>
        <w:t>Directed fishery selectivity curves from all scenarios. The size-at-50%-selected parameter varies annually for 1991+.</w:t>
      </w:r>
    </w:p>
    <w:p w14:paraId="1E1E7A88" w14:textId="77777777" w:rsidR="00D7598A" w:rsidRDefault="00D7598A" w:rsidP="00675B5E">
      <w:pPr>
        <w:spacing w:after="0"/>
      </w:pPr>
      <w:r>
        <w:br w:type="page"/>
      </w:r>
    </w:p>
    <w:p w14:paraId="124F7D24" w14:textId="77777777" w:rsidR="00D7598A" w:rsidRDefault="00D7598A" w:rsidP="00675B5E">
      <w:pPr>
        <w:spacing w:after="0"/>
      </w:pPr>
      <w:r w:rsidRPr="001240E6">
        <w:rPr>
          <w:noProof/>
        </w:rPr>
        <w:lastRenderedPageBreak/>
        <w:drawing>
          <wp:inline distT="0" distB="0" distL="0" distR="0" wp14:anchorId="26305FE0" wp14:editId="28DAE12E">
            <wp:extent cx="5943600" cy="5943600"/>
            <wp:effectExtent l="0" t="0" r="0" b="0"/>
            <wp:docPr id="133" name="Picture 13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 up of a device&#10;&#10;Description automatically generated"/>
                    <pic:cNvPicPr/>
                  </pic:nvPicPr>
                  <pic:blipFill>
                    <a:blip r:embed="rId145"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0E80775E" w14:textId="77777777" w:rsidR="00D7598A" w:rsidRDefault="00D7598A" w:rsidP="001240E6">
      <w:pPr>
        <w:spacing w:after="0"/>
      </w:pPr>
      <w:r w:rsidRPr="00466E5F">
        <w:t>Figure</w:t>
      </w:r>
      <w:r>
        <w:t xml:space="preserve"> </w:t>
      </w:r>
      <w:r>
        <w:rPr>
          <w:noProof/>
        </w:rPr>
        <w:t>37 (cont.)</w:t>
      </w:r>
      <w:r w:rsidRPr="00466E5F">
        <w:t xml:space="preserve">. </w:t>
      </w:r>
      <w:r>
        <w:t>Directed fishery selectivity curves from all scenarios. The size-at-50%-selected parameter varies annually for 1991+.</w:t>
      </w:r>
    </w:p>
    <w:p w14:paraId="717007D8" w14:textId="77777777" w:rsidR="00D7598A" w:rsidRDefault="00D7598A" w:rsidP="00675B5E">
      <w:pPr>
        <w:spacing w:after="0"/>
      </w:pPr>
      <w:r>
        <w:br w:type="page"/>
      </w:r>
    </w:p>
    <w:p w14:paraId="71E9DA3C" w14:textId="77777777" w:rsidR="00D7598A" w:rsidRDefault="00D7598A" w:rsidP="00675B5E">
      <w:pPr>
        <w:spacing w:after="0"/>
      </w:pPr>
      <w:r w:rsidRPr="001240E6">
        <w:rPr>
          <w:noProof/>
        </w:rPr>
        <w:lastRenderedPageBreak/>
        <w:drawing>
          <wp:inline distT="0" distB="0" distL="0" distR="0" wp14:anchorId="6FFD5C27" wp14:editId="65C53814">
            <wp:extent cx="5943600" cy="5943600"/>
            <wp:effectExtent l="0" t="0" r="0" b="0"/>
            <wp:docPr id="134" name="Picture 134"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 up of a device&#10;&#10;Description automatically generated"/>
                    <pic:cNvPicPr/>
                  </pic:nvPicPr>
                  <pic:blipFill>
                    <a:blip r:embed="rId146"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336617E0" w14:textId="77777777" w:rsidR="00D7598A" w:rsidRDefault="00D7598A" w:rsidP="00675B5E">
      <w:pPr>
        <w:spacing w:after="0"/>
      </w:pPr>
      <w:bookmarkStart w:id="177" w:name="_Toc50392576"/>
      <w:r w:rsidRPr="00466E5F">
        <w:t xml:space="preserve">Figure </w:t>
      </w:r>
      <w:r>
        <w:rPr>
          <w:noProof/>
        </w:rPr>
        <w:fldChar w:fldCharType="begin"/>
      </w:r>
      <w:r>
        <w:rPr>
          <w:noProof/>
        </w:rPr>
        <w:instrText xml:space="preserve"> SEQ Figure \* ARABIC </w:instrText>
      </w:r>
      <w:r>
        <w:rPr>
          <w:noProof/>
        </w:rPr>
        <w:fldChar w:fldCharType="separate"/>
      </w:r>
      <w:r>
        <w:rPr>
          <w:noProof/>
        </w:rPr>
        <w:t>38</w:t>
      </w:r>
      <w:r>
        <w:rPr>
          <w:noProof/>
        </w:rPr>
        <w:fldChar w:fldCharType="end"/>
      </w:r>
      <w:r w:rsidRPr="00466E5F">
        <w:t xml:space="preserve">. </w:t>
      </w:r>
      <w:r>
        <w:t>Directed fishery retention curves from all scenarios for the pre-1991, 1991-1996, and post-2004 time periods.</w:t>
      </w:r>
      <w:bookmarkEnd w:id="177"/>
    </w:p>
    <w:p w14:paraId="6EAEAB63" w14:textId="77777777" w:rsidR="00D7598A" w:rsidRDefault="00D7598A" w:rsidP="00675B5E">
      <w:pPr>
        <w:spacing w:after="0"/>
      </w:pPr>
      <w:r>
        <w:br w:type="page"/>
      </w:r>
    </w:p>
    <w:p w14:paraId="3DF1EBF4" w14:textId="77777777" w:rsidR="00D7598A" w:rsidRDefault="00D7598A" w:rsidP="00C05B6E">
      <w:pPr>
        <w:spacing w:after="0"/>
      </w:pPr>
      <w:r w:rsidRPr="001240E6">
        <w:rPr>
          <w:noProof/>
        </w:rPr>
        <w:lastRenderedPageBreak/>
        <w:drawing>
          <wp:inline distT="0" distB="0" distL="0" distR="0" wp14:anchorId="5A055777" wp14:editId="19F96845">
            <wp:extent cx="5943600" cy="5943600"/>
            <wp:effectExtent l="0" t="0" r="0" b="0"/>
            <wp:docPr id="135" name="Picture 13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map&#10;&#10;Description automatically generated"/>
                    <pic:cNvPicPr/>
                  </pic:nvPicPr>
                  <pic:blipFill>
                    <a:blip r:embed="rId147"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04F5B434" w14:textId="77777777" w:rsidR="00D7598A" w:rsidRDefault="00D7598A" w:rsidP="00C05B6E">
      <w:pPr>
        <w:spacing w:after="0"/>
      </w:pPr>
      <w:bookmarkStart w:id="178" w:name="_Toc50392577"/>
      <w:r w:rsidRPr="00466E5F">
        <w:t xml:space="preserve">Figure </w:t>
      </w:r>
      <w:r>
        <w:rPr>
          <w:noProof/>
        </w:rPr>
        <w:fldChar w:fldCharType="begin"/>
      </w:r>
      <w:r>
        <w:rPr>
          <w:noProof/>
        </w:rPr>
        <w:instrText xml:space="preserve"> SEQ Figure \* ARABIC </w:instrText>
      </w:r>
      <w:r>
        <w:rPr>
          <w:noProof/>
        </w:rPr>
        <w:fldChar w:fldCharType="separate"/>
      </w:r>
      <w:r>
        <w:rPr>
          <w:noProof/>
        </w:rPr>
        <w:t>39</w:t>
      </w:r>
      <w:r>
        <w:rPr>
          <w:noProof/>
        </w:rPr>
        <w:fldChar w:fldCharType="end"/>
      </w:r>
      <w:r w:rsidRPr="00466E5F">
        <w:t xml:space="preserve">. </w:t>
      </w:r>
      <w:r>
        <w:t>Snow crab fishery catchability (capture rates) from all scenarios.</w:t>
      </w:r>
      <w:bookmarkEnd w:id="178"/>
    </w:p>
    <w:p w14:paraId="610EEA15" w14:textId="77777777" w:rsidR="00D7598A" w:rsidRDefault="00D7598A">
      <w:pPr>
        <w:spacing w:after="0"/>
      </w:pPr>
      <w:r>
        <w:br w:type="page"/>
      </w:r>
    </w:p>
    <w:p w14:paraId="14371481" w14:textId="77777777" w:rsidR="00D7598A" w:rsidRDefault="00D7598A">
      <w:pPr>
        <w:spacing w:after="0"/>
      </w:pPr>
      <w:r w:rsidRPr="00150C6B">
        <w:rPr>
          <w:noProof/>
        </w:rPr>
        <w:lastRenderedPageBreak/>
        <w:drawing>
          <wp:inline distT="0" distB="0" distL="0" distR="0" wp14:anchorId="1021D219" wp14:editId="7C85B0F1">
            <wp:extent cx="5943600" cy="5943600"/>
            <wp:effectExtent l="0" t="0" r="0" b="0"/>
            <wp:docPr id="136" name="Picture 13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 up of a map&#10;&#10;Description automatically generated"/>
                    <pic:cNvPicPr/>
                  </pic:nvPicPr>
                  <pic:blipFill>
                    <a:blip r:embed="rId148"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201A496B" w14:textId="77777777" w:rsidR="00D7598A" w:rsidRDefault="00D7598A">
      <w:pPr>
        <w:spacing w:after="0"/>
      </w:pPr>
      <w:bookmarkStart w:id="179" w:name="_Toc50392578"/>
      <w:r w:rsidRPr="00466E5F">
        <w:t xml:space="preserve">Figure </w:t>
      </w:r>
      <w:r>
        <w:rPr>
          <w:noProof/>
        </w:rPr>
        <w:fldChar w:fldCharType="begin"/>
      </w:r>
      <w:r>
        <w:rPr>
          <w:noProof/>
        </w:rPr>
        <w:instrText xml:space="preserve"> SEQ Figure \* ARABIC </w:instrText>
      </w:r>
      <w:r>
        <w:rPr>
          <w:noProof/>
        </w:rPr>
        <w:fldChar w:fldCharType="separate"/>
      </w:r>
      <w:r>
        <w:rPr>
          <w:noProof/>
        </w:rPr>
        <w:t>40</w:t>
      </w:r>
      <w:r>
        <w:rPr>
          <w:noProof/>
        </w:rPr>
        <w:fldChar w:fldCharType="end"/>
      </w:r>
      <w:r w:rsidRPr="00466E5F">
        <w:t xml:space="preserve">. </w:t>
      </w:r>
      <w:r>
        <w:t>Snow crab fishery selectivity curves from all scenarios for 3 time periods: pre-1997, 1997-2004, 2005+.</w:t>
      </w:r>
      <w:bookmarkEnd w:id="179"/>
    </w:p>
    <w:p w14:paraId="2B7F5C53" w14:textId="77777777" w:rsidR="00D7598A" w:rsidRDefault="00D7598A">
      <w:pPr>
        <w:spacing w:after="0"/>
      </w:pPr>
      <w:r>
        <w:br w:type="page"/>
      </w:r>
    </w:p>
    <w:p w14:paraId="50059672" w14:textId="77777777" w:rsidR="00D7598A" w:rsidRDefault="00D7598A" w:rsidP="00FA338E">
      <w:pPr>
        <w:spacing w:after="0"/>
      </w:pPr>
      <w:r w:rsidRPr="001240E6">
        <w:rPr>
          <w:noProof/>
        </w:rPr>
        <w:lastRenderedPageBreak/>
        <w:drawing>
          <wp:inline distT="0" distB="0" distL="0" distR="0" wp14:anchorId="2FE1FFAB" wp14:editId="0C1A0F2D">
            <wp:extent cx="5943600" cy="5943600"/>
            <wp:effectExtent l="0" t="0" r="0" b="0"/>
            <wp:docPr id="137" name="Picture 13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map&#10;&#10;Description automatically generated"/>
                    <pic:cNvPicPr/>
                  </pic:nvPicPr>
                  <pic:blipFill>
                    <a:blip r:embed="rId149"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01697965" w14:textId="77777777" w:rsidR="00D7598A" w:rsidRDefault="00D7598A" w:rsidP="00FA338E">
      <w:pPr>
        <w:spacing w:after="0"/>
      </w:pPr>
      <w:bookmarkStart w:id="180" w:name="_Toc50392579"/>
      <w:r w:rsidRPr="00466E5F">
        <w:t xml:space="preserve">Figure </w:t>
      </w:r>
      <w:r>
        <w:rPr>
          <w:noProof/>
        </w:rPr>
        <w:fldChar w:fldCharType="begin"/>
      </w:r>
      <w:r>
        <w:rPr>
          <w:noProof/>
        </w:rPr>
        <w:instrText xml:space="preserve"> SEQ Figure \* ARABIC </w:instrText>
      </w:r>
      <w:r>
        <w:rPr>
          <w:noProof/>
        </w:rPr>
        <w:fldChar w:fldCharType="separate"/>
      </w:r>
      <w:r>
        <w:rPr>
          <w:noProof/>
        </w:rPr>
        <w:t>41</w:t>
      </w:r>
      <w:r>
        <w:rPr>
          <w:noProof/>
        </w:rPr>
        <w:fldChar w:fldCharType="end"/>
      </w:r>
      <w:r w:rsidRPr="00466E5F">
        <w:t xml:space="preserve">. </w:t>
      </w:r>
      <w:r>
        <w:t>BBRKC fishery catchability (capture rates) from all scenarios.</w:t>
      </w:r>
      <w:bookmarkEnd w:id="180"/>
    </w:p>
    <w:p w14:paraId="4662D356" w14:textId="77777777" w:rsidR="00D7598A" w:rsidRDefault="00D7598A">
      <w:pPr>
        <w:spacing w:after="0"/>
      </w:pPr>
      <w:r>
        <w:br w:type="page"/>
      </w:r>
    </w:p>
    <w:p w14:paraId="58525432" w14:textId="77777777" w:rsidR="00D7598A" w:rsidRDefault="00D7598A" w:rsidP="00FA338E">
      <w:pPr>
        <w:spacing w:after="0"/>
      </w:pPr>
      <w:r w:rsidRPr="00150C6B">
        <w:rPr>
          <w:noProof/>
        </w:rPr>
        <w:lastRenderedPageBreak/>
        <w:drawing>
          <wp:inline distT="0" distB="0" distL="0" distR="0" wp14:anchorId="5EC4F2D5" wp14:editId="44A4CC24">
            <wp:extent cx="5943600" cy="5943600"/>
            <wp:effectExtent l="0" t="0" r="0" b="0"/>
            <wp:docPr id="138" name="Picture 13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 up of a map&#10;&#10;Description automatically generated"/>
                    <pic:cNvPicPr/>
                  </pic:nvPicPr>
                  <pic:blipFill>
                    <a:blip r:embed="rId150"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6974F22E" w14:textId="77777777" w:rsidR="00D7598A" w:rsidRDefault="00D7598A" w:rsidP="00FA338E">
      <w:pPr>
        <w:spacing w:after="0"/>
      </w:pPr>
      <w:bookmarkStart w:id="181" w:name="_Toc50392580"/>
      <w:r w:rsidRPr="00466E5F">
        <w:t xml:space="preserve">Figure </w:t>
      </w:r>
      <w:r>
        <w:rPr>
          <w:noProof/>
        </w:rPr>
        <w:fldChar w:fldCharType="begin"/>
      </w:r>
      <w:r>
        <w:rPr>
          <w:noProof/>
        </w:rPr>
        <w:instrText xml:space="preserve"> SEQ Figure \* ARABIC </w:instrText>
      </w:r>
      <w:r>
        <w:rPr>
          <w:noProof/>
        </w:rPr>
        <w:fldChar w:fldCharType="separate"/>
      </w:r>
      <w:r>
        <w:rPr>
          <w:noProof/>
        </w:rPr>
        <w:t>42</w:t>
      </w:r>
      <w:r>
        <w:rPr>
          <w:noProof/>
        </w:rPr>
        <w:fldChar w:fldCharType="end"/>
      </w:r>
      <w:r w:rsidRPr="00466E5F">
        <w:t xml:space="preserve">. </w:t>
      </w:r>
      <w:r>
        <w:t>BBRKC fishery selectivity curves from all scenarios for 3 time periods: pre-1997, 1997-2004, 2005+.</w:t>
      </w:r>
      <w:bookmarkEnd w:id="181"/>
    </w:p>
    <w:p w14:paraId="467BBDC1" w14:textId="77777777" w:rsidR="00D7598A" w:rsidRDefault="00D7598A" w:rsidP="00FA338E">
      <w:pPr>
        <w:spacing w:after="0"/>
      </w:pPr>
      <w:r>
        <w:br w:type="page"/>
      </w:r>
    </w:p>
    <w:p w14:paraId="142B764C" w14:textId="77777777" w:rsidR="00D7598A" w:rsidRDefault="00D7598A" w:rsidP="00FA338E">
      <w:pPr>
        <w:spacing w:after="0"/>
      </w:pPr>
      <w:r w:rsidRPr="001240E6">
        <w:rPr>
          <w:noProof/>
        </w:rPr>
        <w:lastRenderedPageBreak/>
        <w:drawing>
          <wp:inline distT="0" distB="0" distL="0" distR="0" wp14:anchorId="0138571A" wp14:editId="697221A3">
            <wp:extent cx="5943600" cy="59436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62660BA3" w14:textId="77777777" w:rsidR="00D7598A" w:rsidRDefault="00D7598A" w:rsidP="00D80986">
      <w:pPr>
        <w:spacing w:after="0"/>
      </w:pPr>
      <w:bookmarkStart w:id="182" w:name="_Toc50392581"/>
      <w:r w:rsidRPr="00466E5F">
        <w:t xml:space="preserve">Figure </w:t>
      </w:r>
      <w:r>
        <w:rPr>
          <w:noProof/>
        </w:rPr>
        <w:fldChar w:fldCharType="begin"/>
      </w:r>
      <w:r>
        <w:rPr>
          <w:noProof/>
        </w:rPr>
        <w:instrText xml:space="preserve"> SEQ Figure \* ARABIC </w:instrText>
      </w:r>
      <w:r>
        <w:rPr>
          <w:noProof/>
        </w:rPr>
        <w:fldChar w:fldCharType="separate"/>
      </w:r>
      <w:r>
        <w:rPr>
          <w:noProof/>
        </w:rPr>
        <w:t>43</w:t>
      </w:r>
      <w:r>
        <w:rPr>
          <w:noProof/>
        </w:rPr>
        <w:fldChar w:fldCharType="end"/>
      </w:r>
      <w:r w:rsidRPr="00466E5F">
        <w:t xml:space="preserve">. </w:t>
      </w:r>
      <w:r>
        <w:t>Catchability (capture rates) in the groundfish fisheries from all scenarios.</w:t>
      </w:r>
      <w:bookmarkEnd w:id="182"/>
    </w:p>
    <w:p w14:paraId="7FD957BC" w14:textId="77777777" w:rsidR="00D7598A" w:rsidRDefault="00D7598A" w:rsidP="00FA338E">
      <w:pPr>
        <w:spacing w:after="0"/>
      </w:pPr>
      <w:r>
        <w:br w:type="page"/>
      </w:r>
    </w:p>
    <w:p w14:paraId="5007BA3C" w14:textId="77777777" w:rsidR="00D7598A" w:rsidRDefault="00D7598A" w:rsidP="00FA338E">
      <w:pPr>
        <w:spacing w:after="0"/>
      </w:pPr>
      <w:r w:rsidRPr="000B2B19">
        <w:rPr>
          <w:noProof/>
        </w:rPr>
        <w:lastRenderedPageBreak/>
        <w:drawing>
          <wp:inline distT="0" distB="0" distL="0" distR="0" wp14:anchorId="5A8155F6" wp14:editId="2ECBAB50">
            <wp:extent cx="5943600" cy="5943600"/>
            <wp:effectExtent l="0" t="0" r="0" b="0"/>
            <wp:docPr id="140" name="Picture 14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map&#10;&#10;Description automatically generated"/>
                    <pic:cNvPicPr/>
                  </pic:nvPicPr>
                  <pic:blipFill>
                    <a:blip r:embed="rId152"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53808236" w14:textId="77777777" w:rsidR="00D7598A" w:rsidRDefault="00D7598A" w:rsidP="00FA338E">
      <w:pPr>
        <w:spacing w:after="0"/>
      </w:pPr>
      <w:bookmarkStart w:id="183" w:name="_Toc50392582"/>
      <w:r w:rsidRPr="00466E5F">
        <w:t xml:space="preserve">Figure </w:t>
      </w:r>
      <w:r>
        <w:rPr>
          <w:noProof/>
        </w:rPr>
        <w:fldChar w:fldCharType="begin"/>
      </w:r>
      <w:r>
        <w:rPr>
          <w:noProof/>
        </w:rPr>
        <w:instrText xml:space="preserve"> SEQ Figure \* ARABIC </w:instrText>
      </w:r>
      <w:r>
        <w:rPr>
          <w:noProof/>
        </w:rPr>
        <w:fldChar w:fldCharType="separate"/>
      </w:r>
      <w:r>
        <w:rPr>
          <w:noProof/>
        </w:rPr>
        <w:t>44</w:t>
      </w:r>
      <w:r>
        <w:rPr>
          <w:noProof/>
        </w:rPr>
        <w:fldChar w:fldCharType="end"/>
      </w:r>
      <w:r w:rsidRPr="00466E5F">
        <w:t xml:space="preserve">. </w:t>
      </w:r>
      <w:r>
        <w:t>Groundfish fisheries selectivity curves from all scenarios estimated for 3 time periods: pre-1997, 1997-2004, 2005+.</w:t>
      </w:r>
      <w:bookmarkEnd w:id="183"/>
    </w:p>
    <w:p w14:paraId="04103979" w14:textId="77777777" w:rsidR="00D7598A" w:rsidRDefault="00D7598A" w:rsidP="00FA338E">
      <w:pPr>
        <w:spacing w:after="0"/>
      </w:pPr>
      <w:r>
        <w:br w:type="page"/>
      </w:r>
    </w:p>
    <w:p w14:paraId="7D7980FD" w14:textId="77777777" w:rsidR="00D7598A" w:rsidRDefault="00D7598A" w:rsidP="001A62BC">
      <w:pPr>
        <w:spacing w:after="0"/>
      </w:pPr>
      <w:r w:rsidRPr="00CB4C54">
        <w:rPr>
          <w:noProof/>
        </w:rPr>
        <w:lastRenderedPageBreak/>
        <w:drawing>
          <wp:inline distT="0" distB="0" distL="0" distR="0" wp14:anchorId="5677F9F2" wp14:editId="53BCA99B">
            <wp:extent cx="5943600" cy="59436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3956664B" w14:textId="77777777" w:rsidR="00D7598A" w:rsidRDefault="00D7598A" w:rsidP="001A62BC">
      <w:pPr>
        <w:spacing w:after="0"/>
      </w:pPr>
      <w:bookmarkStart w:id="184" w:name="_Toc50392583"/>
      <w:r w:rsidRPr="00466E5F">
        <w:t xml:space="preserve">Figure </w:t>
      </w:r>
      <w:r>
        <w:rPr>
          <w:noProof/>
        </w:rPr>
        <w:fldChar w:fldCharType="begin"/>
      </w:r>
      <w:r>
        <w:rPr>
          <w:noProof/>
        </w:rPr>
        <w:instrText xml:space="preserve"> SEQ Figure \* ARABIC </w:instrText>
      </w:r>
      <w:r>
        <w:rPr>
          <w:noProof/>
        </w:rPr>
        <w:fldChar w:fldCharType="separate"/>
      </w:r>
      <w:r>
        <w:rPr>
          <w:noProof/>
        </w:rPr>
        <w:t>45</w:t>
      </w:r>
      <w:r>
        <w:rPr>
          <w:noProof/>
        </w:rPr>
        <w:fldChar w:fldCharType="end"/>
      </w:r>
      <w:r w:rsidRPr="00466E5F">
        <w:t xml:space="preserve">. </w:t>
      </w:r>
      <w:r>
        <w:t>NMFS survey selectivity functions for males from all scenarios for the 1975-1981 and 1982+ time periods.</w:t>
      </w:r>
      <w:bookmarkEnd w:id="184"/>
    </w:p>
    <w:p w14:paraId="429F12CE" w14:textId="77777777" w:rsidR="00D7598A" w:rsidRDefault="00D7598A" w:rsidP="001A62BC">
      <w:pPr>
        <w:spacing w:after="0"/>
      </w:pPr>
      <w:r w:rsidRPr="00F779D2">
        <w:rPr>
          <w:noProof/>
        </w:rPr>
        <w:lastRenderedPageBreak/>
        <w:drawing>
          <wp:inline distT="0" distB="0" distL="0" distR="0" wp14:anchorId="07C38058" wp14:editId="721F6C0F">
            <wp:extent cx="5943600" cy="5943600"/>
            <wp:effectExtent l="0" t="0" r="0" b="0"/>
            <wp:docPr id="142" name="Picture 14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 up of a device&#10;&#10;Description automatically generated"/>
                    <pic:cNvPicPr/>
                  </pic:nvPicPr>
                  <pic:blipFill>
                    <a:blip r:embed="rId154"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6BA12E38" w14:textId="77777777" w:rsidR="00D7598A" w:rsidRDefault="00D7598A" w:rsidP="00F779D2">
      <w:pPr>
        <w:spacing w:after="0"/>
      </w:pPr>
      <w:bookmarkStart w:id="185" w:name="_Toc50392584"/>
      <w:r w:rsidRPr="00466E5F">
        <w:t xml:space="preserve">Figure </w:t>
      </w:r>
      <w:r>
        <w:rPr>
          <w:noProof/>
        </w:rPr>
        <w:fldChar w:fldCharType="begin"/>
      </w:r>
      <w:r>
        <w:rPr>
          <w:noProof/>
        </w:rPr>
        <w:instrText xml:space="preserve"> SEQ Figure \* ARABIC </w:instrText>
      </w:r>
      <w:r>
        <w:rPr>
          <w:noProof/>
        </w:rPr>
        <w:fldChar w:fldCharType="separate"/>
      </w:r>
      <w:r>
        <w:rPr>
          <w:noProof/>
        </w:rPr>
        <w:t>46</w:t>
      </w:r>
      <w:r>
        <w:rPr>
          <w:noProof/>
        </w:rPr>
        <w:fldChar w:fldCharType="end"/>
      </w:r>
      <w:r w:rsidRPr="00466E5F">
        <w:t xml:space="preserve">. </w:t>
      </w:r>
      <w:r>
        <w:t>NMFS survey selectivity functions for females from all scenarios for the 1975-1981 and 1982+ time periods.</w:t>
      </w:r>
      <w:bookmarkEnd w:id="185"/>
    </w:p>
    <w:p w14:paraId="2176FBD4" w14:textId="77777777" w:rsidR="00D7598A" w:rsidRDefault="00D7598A" w:rsidP="001A62BC">
      <w:pPr>
        <w:spacing w:after="0"/>
      </w:pPr>
    </w:p>
    <w:p w14:paraId="6CA7B3A1" w14:textId="77777777" w:rsidR="00D7598A" w:rsidRDefault="00D7598A" w:rsidP="001A62BC">
      <w:pPr>
        <w:spacing w:after="0"/>
      </w:pPr>
      <w:r w:rsidRPr="00CB4C54">
        <w:rPr>
          <w:noProof/>
        </w:rPr>
        <w:lastRenderedPageBreak/>
        <w:drawing>
          <wp:inline distT="0" distB="0" distL="0" distR="0" wp14:anchorId="3A816F37" wp14:editId="12945CE3">
            <wp:extent cx="5943600" cy="5943600"/>
            <wp:effectExtent l="0" t="0" r="0" b="0"/>
            <wp:docPr id="143" name="Picture 14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 up of a map&#10;&#10;Description automatically generated"/>
                    <pic:cNvPicPr/>
                  </pic:nvPicPr>
                  <pic:blipFill>
                    <a:blip r:embed="rId155"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78A3097E" w14:textId="77777777" w:rsidR="00D7598A" w:rsidRDefault="00D7598A" w:rsidP="00CB4C54">
      <w:pPr>
        <w:spacing w:after="0"/>
      </w:pPr>
      <w:bookmarkStart w:id="186" w:name="_Toc50392585"/>
      <w:r w:rsidRPr="00466E5F">
        <w:t xml:space="preserve">Figure </w:t>
      </w:r>
      <w:r>
        <w:rPr>
          <w:noProof/>
        </w:rPr>
        <w:fldChar w:fldCharType="begin"/>
      </w:r>
      <w:r>
        <w:rPr>
          <w:noProof/>
        </w:rPr>
        <w:instrText xml:space="preserve"> SEQ Figure \* ARABIC </w:instrText>
      </w:r>
      <w:r>
        <w:rPr>
          <w:noProof/>
        </w:rPr>
        <w:fldChar w:fldCharType="separate"/>
      </w:r>
      <w:r>
        <w:rPr>
          <w:noProof/>
        </w:rPr>
        <w:t>47</w:t>
      </w:r>
      <w:r>
        <w:rPr>
          <w:noProof/>
        </w:rPr>
        <w:fldChar w:fldCharType="end"/>
      </w:r>
      <w:r w:rsidRPr="00466E5F">
        <w:t xml:space="preserve">. </w:t>
      </w:r>
      <w:r>
        <w:t>NMFS survey capture probabilities (fully-selected catchability x selectivity) for males from all scenarios for the 1975-1981 and 1982+ time periods.</w:t>
      </w:r>
      <w:bookmarkEnd w:id="186"/>
    </w:p>
    <w:p w14:paraId="21B01718" w14:textId="77777777" w:rsidR="00D7598A" w:rsidRDefault="00D7598A" w:rsidP="00F779D2">
      <w:pPr>
        <w:spacing w:after="0"/>
      </w:pPr>
      <w:r>
        <w:br w:type="page"/>
      </w:r>
    </w:p>
    <w:p w14:paraId="7B72B1FB" w14:textId="77777777" w:rsidR="00D7598A" w:rsidRDefault="00D7598A" w:rsidP="00F779D2">
      <w:pPr>
        <w:spacing w:after="0"/>
      </w:pPr>
      <w:r w:rsidRPr="00F779D2">
        <w:rPr>
          <w:noProof/>
        </w:rPr>
        <w:lastRenderedPageBreak/>
        <w:drawing>
          <wp:inline distT="0" distB="0" distL="0" distR="0" wp14:anchorId="60BC2404" wp14:editId="2CBE8618">
            <wp:extent cx="5943600" cy="5943600"/>
            <wp:effectExtent l="0" t="0" r="0" b="0"/>
            <wp:docPr id="144" name="Picture 14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 up of a map&#10;&#10;Description automatically generated"/>
                    <pic:cNvPicPr/>
                  </pic:nvPicPr>
                  <pic:blipFill>
                    <a:blip r:embed="rId156"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7A22E836" w14:textId="77777777" w:rsidR="00D7598A" w:rsidRDefault="00D7598A" w:rsidP="00F779D2">
      <w:pPr>
        <w:spacing w:after="0"/>
      </w:pPr>
      <w:bookmarkStart w:id="187" w:name="_Toc50392586"/>
      <w:r w:rsidRPr="00466E5F">
        <w:t xml:space="preserve">Figure </w:t>
      </w:r>
      <w:r>
        <w:rPr>
          <w:noProof/>
        </w:rPr>
        <w:fldChar w:fldCharType="begin"/>
      </w:r>
      <w:r>
        <w:rPr>
          <w:noProof/>
        </w:rPr>
        <w:instrText xml:space="preserve"> SEQ Figure \* ARABIC </w:instrText>
      </w:r>
      <w:r>
        <w:rPr>
          <w:noProof/>
        </w:rPr>
        <w:fldChar w:fldCharType="separate"/>
      </w:r>
      <w:r>
        <w:rPr>
          <w:noProof/>
        </w:rPr>
        <w:t>48</w:t>
      </w:r>
      <w:r>
        <w:rPr>
          <w:noProof/>
        </w:rPr>
        <w:fldChar w:fldCharType="end"/>
      </w:r>
      <w:r w:rsidRPr="00466E5F">
        <w:t xml:space="preserve">. </w:t>
      </w:r>
      <w:r>
        <w:t>NMFS survey capture probabilities (fully-selected catchability x selectivity) for females from all scenarios for the 1975-1981 and 1982+ time periods.</w:t>
      </w:r>
      <w:bookmarkEnd w:id="187"/>
    </w:p>
    <w:p w14:paraId="28334D8A" w14:textId="77777777" w:rsidR="00D7598A" w:rsidRDefault="00D7598A" w:rsidP="00F779D2">
      <w:pPr>
        <w:spacing w:after="0"/>
      </w:pPr>
      <w:r>
        <w:br w:type="page"/>
      </w:r>
    </w:p>
    <w:p w14:paraId="53326C97" w14:textId="77777777" w:rsidR="00D7598A" w:rsidRDefault="00D7598A" w:rsidP="006D01D0">
      <w:pPr>
        <w:spacing w:after="0"/>
      </w:pPr>
      <w:r>
        <w:rPr>
          <w:noProof/>
        </w:rPr>
        <w:lastRenderedPageBreak/>
        <w:drawing>
          <wp:inline distT="0" distB="0" distL="0" distR="0" wp14:anchorId="242B1BFD" wp14:editId="24DD8783">
            <wp:extent cx="5943600" cy="59436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57"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507CC54E" w14:textId="77777777" w:rsidR="00D7598A" w:rsidRDefault="00D7598A" w:rsidP="004B1A0C">
      <w:pPr>
        <w:spacing w:after="0"/>
      </w:pPr>
      <w:bookmarkStart w:id="188" w:name="_Toc50392587"/>
      <w:r w:rsidRPr="00466E5F">
        <w:t xml:space="preserve">Figure </w:t>
      </w:r>
      <w:r>
        <w:rPr>
          <w:noProof/>
        </w:rPr>
        <w:fldChar w:fldCharType="begin"/>
      </w:r>
      <w:r>
        <w:rPr>
          <w:noProof/>
        </w:rPr>
        <w:instrText xml:space="preserve"> SEQ Figure \* ARABIC </w:instrText>
      </w:r>
      <w:r>
        <w:rPr>
          <w:noProof/>
        </w:rPr>
        <w:fldChar w:fldCharType="separate"/>
      </w:r>
      <w:r>
        <w:rPr>
          <w:noProof/>
        </w:rPr>
        <w:t>49</w:t>
      </w:r>
      <w:r>
        <w:rPr>
          <w:noProof/>
        </w:rPr>
        <w:fldChar w:fldCharType="end"/>
      </w:r>
      <w:r w:rsidRPr="00466E5F">
        <w:t xml:space="preserve">. </w:t>
      </w:r>
      <w:r>
        <w:t>Annual availability functions for males in the BSFRF SBS surveys, for scenarios that include BSFRF SBS data. Availability functions were determined outside the model for Scenario 20.07.</w:t>
      </w:r>
      <w:bookmarkEnd w:id="188"/>
    </w:p>
    <w:p w14:paraId="5DAA231E" w14:textId="77777777" w:rsidR="00D7598A" w:rsidRDefault="00D7598A" w:rsidP="006D01D0">
      <w:pPr>
        <w:spacing w:after="0"/>
      </w:pPr>
    </w:p>
    <w:p w14:paraId="6312114F" w14:textId="77777777" w:rsidR="00D7598A" w:rsidRDefault="00D7598A" w:rsidP="006D01D0">
      <w:pPr>
        <w:spacing w:after="0"/>
      </w:pPr>
      <w:r>
        <w:rPr>
          <w:noProof/>
        </w:rPr>
        <w:lastRenderedPageBreak/>
        <w:drawing>
          <wp:inline distT="0" distB="0" distL="0" distR="0" wp14:anchorId="61A474D2" wp14:editId="7D227A05">
            <wp:extent cx="5943600" cy="59436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58"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472EF49E" w14:textId="77777777" w:rsidR="00D7598A" w:rsidRDefault="00D7598A" w:rsidP="006D01D0">
      <w:pPr>
        <w:spacing w:after="0"/>
      </w:pPr>
      <w:bookmarkStart w:id="189" w:name="_Toc50392588"/>
      <w:r w:rsidRPr="00466E5F">
        <w:t xml:space="preserve">Figure </w:t>
      </w:r>
      <w:r>
        <w:rPr>
          <w:noProof/>
        </w:rPr>
        <w:fldChar w:fldCharType="begin"/>
      </w:r>
      <w:r>
        <w:rPr>
          <w:noProof/>
        </w:rPr>
        <w:instrText xml:space="preserve"> SEQ Figure \* ARABIC </w:instrText>
      </w:r>
      <w:r>
        <w:rPr>
          <w:noProof/>
        </w:rPr>
        <w:fldChar w:fldCharType="separate"/>
      </w:r>
      <w:r>
        <w:rPr>
          <w:noProof/>
        </w:rPr>
        <w:t>50</w:t>
      </w:r>
      <w:r>
        <w:rPr>
          <w:noProof/>
        </w:rPr>
        <w:fldChar w:fldCharType="end"/>
      </w:r>
      <w:r w:rsidRPr="00466E5F">
        <w:t xml:space="preserve">. </w:t>
      </w:r>
      <w:r>
        <w:t>Annual availability functions for females in the BSFRF SBS surveys, for scenarios that include BSFRF SBS data. Availability functions were determined outside the model for Scenario 20.07.</w:t>
      </w:r>
      <w:bookmarkEnd w:id="189"/>
    </w:p>
    <w:p w14:paraId="6F6B20F8" w14:textId="77777777" w:rsidR="00D7598A" w:rsidRDefault="00D7598A" w:rsidP="006D01D0">
      <w:pPr>
        <w:spacing w:after="0"/>
      </w:pPr>
      <w:r>
        <w:br w:type="page"/>
      </w:r>
    </w:p>
    <w:p w14:paraId="7BDCC68C" w14:textId="77777777" w:rsidR="00D7598A" w:rsidRDefault="00D7598A" w:rsidP="005854AD">
      <w:pPr>
        <w:spacing w:after="0"/>
      </w:pPr>
      <w:r w:rsidRPr="00C66C51">
        <w:rPr>
          <w:noProof/>
        </w:rPr>
        <w:lastRenderedPageBreak/>
        <w:drawing>
          <wp:inline distT="0" distB="0" distL="0" distR="0" wp14:anchorId="2EB01AF0" wp14:editId="35062C40">
            <wp:extent cx="5943600" cy="5785485"/>
            <wp:effectExtent l="0" t="0" r="0" b="5715"/>
            <wp:docPr id="147" name="Picture 14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a:blip r:embed="rId159" cstate="email">
                      <a:extLst>
                        <a:ext uri="{28A0092B-C50C-407E-A947-70E740481C1C}">
                          <a14:useLocalDpi xmlns:a14="http://schemas.microsoft.com/office/drawing/2010/main"/>
                        </a:ext>
                      </a:extLst>
                    </a:blip>
                    <a:stretch>
                      <a:fillRect/>
                    </a:stretch>
                  </pic:blipFill>
                  <pic:spPr>
                    <a:xfrm>
                      <a:off x="0" y="0"/>
                      <a:ext cx="5943600" cy="5785485"/>
                    </a:xfrm>
                    <a:prstGeom prst="rect">
                      <a:avLst/>
                    </a:prstGeom>
                  </pic:spPr>
                </pic:pic>
              </a:graphicData>
            </a:graphic>
          </wp:inline>
        </w:drawing>
      </w:r>
    </w:p>
    <w:p w14:paraId="5FB9DDD2" w14:textId="77777777" w:rsidR="00D7598A" w:rsidRDefault="00D7598A" w:rsidP="006125E9">
      <w:pPr>
        <w:spacing w:after="0"/>
      </w:pPr>
      <w:bookmarkStart w:id="190" w:name="_Toc50392589"/>
      <w:r w:rsidRPr="00466E5F">
        <w:t xml:space="preserve">Figure </w:t>
      </w:r>
      <w:r>
        <w:rPr>
          <w:noProof/>
        </w:rPr>
        <w:fldChar w:fldCharType="begin"/>
      </w:r>
      <w:r>
        <w:rPr>
          <w:noProof/>
        </w:rPr>
        <w:instrText xml:space="preserve"> SEQ Figure \* ARABIC </w:instrText>
      </w:r>
      <w:r>
        <w:rPr>
          <w:noProof/>
        </w:rPr>
        <w:fldChar w:fldCharType="separate"/>
      </w:r>
      <w:r>
        <w:rPr>
          <w:noProof/>
        </w:rPr>
        <w:t>51</w:t>
      </w:r>
      <w:r>
        <w:rPr>
          <w:noProof/>
        </w:rPr>
        <w:fldChar w:fldCharType="end"/>
      </w:r>
      <w:r w:rsidRPr="00466E5F">
        <w:t xml:space="preserve">. </w:t>
      </w:r>
      <w:r>
        <w:t>Estimates of natural mortality from all scenarios.</w:t>
      </w:r>
      <w:bookmarkEnd w:id="190"/>
    </w:p>
    <w:p w14:paraId="787FAFF4" w14:textId="77777777" w:rsidR="00D7598A" w:rsidRDefault="00D7598A">
      <w:pPr>
        <w:spacing w:after="0"/>
      </w:pPr>
      <w:r>
        <w:br w:type="page"/>
      </w:r>
    </w:p>
    <w:p w14:paraId="558E2EB5" w14:textId="77777777" w:rsidR="00D7598A" w:rsidRDefault="00D7598A" w:rsidP="006125E9">
      <w:pPr>
        <w:spacing w:after="0"/>
      </w:pPr>
      <w:r w:rsidRPr="00C66C51">
        <w:rPr>
          <w:noProof/>
        </w:rPr>
        <w:lastRenderedPageBreak/>
        <w:drawing>
          <wp:inline distT="0" distB="0" distL="0" distR="0" wp14:anchorId="48DC5C88" wp14:editId="48D6999C">
            <wp:extent cx="5943600" cy="5943600"/>
            <wp:effectExtent l="0" t="0" r="0" b="0"/>
            <wp:docPr id="148" name="Picture 14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 up of a map&#10;&#10;Description automatically generated"/>
                    <pic:cNvPicPr/>
                  </pic:nvPicPr>
                  <pic:blipFill>
                    <a:blip r:embed="rId160"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4AA2B463" w14:textId="77777777" w:rsidR="00D7598A" w:rsidRDefault="00D7598A" w:rsidP="006125E9">
      <w:pPr>
        <w:spacing w:after="0"/>
      </w:pPr>
      <w:bookmarkStart w:id="191" w:name="_Toc50392590"/>
      <w:r w:rsidRPr="00466E5F">
        <w:t xml:space="preserve">Figure </w:t>
      </w:r>
      <w:r>
        <w:rPr>
          <w:noProof/>
        </w:rPr>
        <w:fldChar w:fldCharType="begin"/>
      </w:r>
      <w:r>
        <w:rPr>
          <w:noProof/>
        </w:rPr>
        <w:instrText xml:space="preserve"> SEQ Figure \* ARABIC </w:instrText>
      </w:r>
      <w:r>
        <w:rPr>
          <w:noProof/>
        </w:rPr>
        <w:fldChar w:fldCharType="separate"/>
      </w:r>
      <w:r>
        <w:rPr>
          <w:noProof/>
        </w:rPr>
        <w:t>52</w:t>
      </w:r>
      <w:r>
        <w:rPr>
          <w:noProof/>
        </w:rPr>
        <w:fldChar w:fldCharType="end"/>
      </w:r>
      <w:r w:rsidRPr="00466E5F">
        <w:t xml:space="preserve">. </w:t>
      </w:r>
      <w:r>
        <w:t>Estimates of the probability of terminal molt from all scenarios.</w:t>
      </w:r>
      <w:bookmarkEnd w:id="191"/>
    </w:p>
    <w:p w14:paraId="5EEF239D" w14:textId="77777777" w:rsidR="00D7598A" w:rsidRDefault="00D7598A" w:rsidP="006125E9">
      <w:pPr>
        <w:spacing w:after="0"/>
      </w:pPr>
      <w:r>
        <w:br w:type="page"/>
      </w:r>
    </w:p>
    <w:p w14:paraId="17361C39" w14:textId="77777777" w:rsidR="00D7598A" w:rsidRDefault="00D7598A" w:rsidP="006125E9">
      <w:pPr>
        <w:spacing w:after="0"/>
      </w:pPr>
      <w:r w:rsidRPr="00C66C51">
        <w:rPr>
          <w:noProof/>
        </w:rPr>
        <w:lastRenderedPageBreak/>
        <w:drawing>
          <wp:inline distT="0" distB="0" distL="0" distR="0" wp14:anchorId="6BCFC518" wp14:editId="1CC9183E">
            <wp:extent cx="5943600" cy="59436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11E5768D" w14:textId="77777777" w:rsidR="00D7598A" w:rsidRDefault="00D7598A" w:rsidP="006125E9">
      <w:pPr>
        <w:spacing w:after="0"/>
      </w:pPr>
      <w:bookmarkStart w:id="192" w:name="_Toc50392591"/>
      <w:r w:rsidRPr="00466E5F">
        <w:t xml:space="preserve">Figure </w:t>
      </w:r>
      <w:r>
        <w:rPr>
          <w:noProof/>
        </w:rPr>
        <w:fldChar w:fldCharType="begin"/>
      </w:r>
      <w:r>
        <w:rPr>
          <w:noProof/>
        </w:rPr>
        <w:instrText xml:space="preserve"> SEQ Figure \* ARABIC </w:instrText>
      </w:r>
      <w:r>
        <w:rPr>
          <w:noProof/>
        </w:rPr>
        <w:fldChar w:fldCharType="separate"/>
      </w:r>
      <w:r>
        <w:rPr>
          <w:noProof/>
        </w:rPr>
        <w:t>53</w:t>
      </w:r>
      <w:r>
        <w:rPr>
          <w:noProof/>
        </w:rPr>
        <w:fldChar w:fldCharType="end"/>
      </w:r>
      <w:r w:rsidRPr="00466E5F">
        <w:t xml:space="preserve">. </w:t>
      </w:r>
      <w:r>
        <w:t>Estimates of mean growth from all scenarios. Dashed line is 1:1.</w:t>
      </w:r>
      <w:bookmarkEnd w:id="192"/>
    </w:p>
    <w:p w14:paraId="2B01A969" w14:textId="77777777" w:rsidR="00D7598A" w:rsidRDefault="00D7598A" w:rsidP="006125E9">
      <w:pPr>
        <w:spacing w:after="0"/>
      </w:pPr>
      <w:r>
        <w:br w:type="page"/>
      </w:r>
    </w:p>
    <w:p w14:paraId="79CCDEBB" w14:textId="77777777" w:rsidR="00D7598A" w:rsidRDefault="00D7598A" w:rsidP="006125E9">
      <w:pPr>
        <w:spacing w:after="0"/>
      </w:pPr>
      <w:r w:rsidRPr="007B18FB">
        <w:rPr>
          <w:noProof/>
        </w:rPr>
        <w:lastRenderedPageBreak/>
        <w:drawing>
          <wp:inline distT="0" distB="0" distL="0" distR="0" wp14:anchorId="69B3B300" wp14:editId="2DE6F4D9">
            <wp:extent cx="5943600" cy="4543425"/>
            <wp:effectExtent l="0" t="0" r="0" b="3175"/>
            <wp:docPr id="150" name="Picture 15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 up of text on a white background&#10;&#10;Description automatically generated"/>
                    <pic:cNvPicPr/>
                  </pic:nvPicPr>
                  <pic:blipFill>
                    <a:blip r:embed="rId162" cstate="email">
                      <a:extLst>
                        <a:ext uri="{28A0092B-C50C-407E-A947-70E740481C1C}">
                          <a14:useLocalDpi xmlns:a14="http://schemas.microsoft.com/office/drawing/2010/main"/>
                        </a:ext>
                      </a:extLst>
                    </a:blip>
                    <a:stretch>
                      <a:fillRect/>
                    </a:stretch>
                  </pic:blipFill>
                  <pic:spPr>
                    <a:xfrm>
                      <a:off x="0" y="0"/>
                      <a:ext cx="5943600" cy="4543425"/>
                    </a:xfrm>
                    <a:prstGeom prst="rect">
                      <a:avLst/>
                    </a:prstGeom>
                  </pic:spPr>
                </pic:pic>
              </a:graphicData>
            </a:graphic>
          </wp:inline>
        </w:drawing>
      </w:r>
    </w:p>
    <w:p w14:paraId="4389B7FA" w14:textId="77777777" w:rsidR="00D7598A" w:rsidRDefault="00D7598A" w:rsidP="006125E9">
      <w:pPr>
        <w:spacing w:after="0"/>
      </w:pPr>
      <w:bookmarkStart w:id="193" w:name="_Toc50392592"/>
      <w:r w:rsidRPr="00466E5F">
        <w:t xml:space="preserve">Figure </w:t>
      </w:r>
      <w:r>
        <w:rPr>
          <w:noProof/>
        </w:rPr>
        <w:fldChar w:fldCharType="begin"/>
      </w:r>
      <w:r>
        <w:rPr>
          <w:noProof/>
        </w:rPr>
        <w:instrText xml:space="preserve"> SEQ Figure \* ARABIC </w:instrText>
      </w:r>
      <w:r>
        <w:rPr>
          <w:noProof/>
        </w:rPr>
        <w:fldChar w:fldCharType="separate"/>
      </w:r>
      <w:r>
        <w:rPr>
          <w:noProof/>
        </w:rPr>
        <w:t>54</w:t>
      </w:r>
      <w:r>
        <w:rPr>
          <w:noProof/>
        </w:rPr>
        <w:fldChar w:fldCharType="end"/>
      </w:r>
      <w:r w:rsidRPr="00466E5F">
        <w:t xml:space="preserve">. </w:t>
      </w:r>
      <w:r>
        <w:t>Estimated recruitment time series from all scenarios.</w:t>
      </w:r>
      <w:bookmarkEnd w:id="193"/>
    </w:p>
    <w:p w14:paraId="1563B808" w14:textId="77777777" w:rsidR="00D7598A" w:rsidRDefault="00D7598A" w:rsidP="006125E9">
      <w:pPr>
        <w:spacing w:after="0"/>
      </w:pPr>
      <w:r>
        <w:br w:type="page"/>
      </w:r>
    </w:p>
    <w:p w14:paraId="2D97C5F4" w14:textId="77777777" w:rsidR="00D7598A" w:rsidRDefault="00D7598A" w:rsidP="006125E9">
      <w:pPr>
        <w:spacing w:after="0"/>
      </w:pPr>
      <w:r w:rsidRPr="007B18FB">
        <w:rPr>
          <w:noProof/>
        </w:rPr>
        <w:lastRenderedPageBreak/>
        <w:drawing>
          <wp:inline distT="0" distB="0" distL="0" distR="0" wp14:anchorId="104BE740" wp14:editId="4AF3417D">
            <wp:extent cx="5943600" cy="4543425"/>
            <wp:effectExtent l="0" t="0" r="0" b="317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email">
                      <a:extLst>
                        <a:ext uri="{28A0092B-C50C-407E-A947-70E740481C1C}">
                          <a14:useLocalDpi xmlns:a14="http://schemas.microsoft.com/office/drawing/2010/main"/>
                        </a:ext>
                      </a:extLst>
                    </a:blip>
                    <a:stretch>
                      <a:fillRect/>
                    </a:stretch>
                  </pic:blipFill>
                  <pic:spPr>
                    <a:xfrm>
                      <a:off x="0" y="0"/>
                      <a:ext cx="5943600" cy="4543425"/>
                    </a:xfrm>
                    <a:prstGeom prst="rect">
                      <a:avLst/>
                    </a:prstGeom>
                  </pic:spPr>
                </pic:pic>
              </a:graphicData>
            </a:graphic>
          </wp:inline>
        </w:drawing>
      </w:r>
    </w:p>
    <w:p w14:paraId="3291DA36" w14:textId="77777777" w:rsidR="00D7598A" w:rsidRDefault="00D7598A" w:rsidP="006125E9">
      <w:pPr>
        <w:spacing w:after="0"/>
      </w:pPr>
      <w:bookmarkStart w:id="194" w:name="_Toc50392593"/>
      <w:r w:rsidRPr="00466E5F">
        <w:t xml:space="preserve">Figure </w:t>
      </w:r>
      <w:r>
        <w:rPr>
          <w:noProof/>
        </w:rPr>
        <w:fldChar w:fldCharType="begin"/>
      </w:r>
      <w:r>
        <w:rPr>
          <w:noProof/>
        </w:rPr>
        <w:instrText xml:space="preserve"> SEQ Figure \* ARABIC </w:instrText>
      </w:r>
      <w:r>
        <w:rPr>
          <w:noProof/>
        </w:rPr>
        <w:fldChar w:fldCharType="separate"/>
      </w:r>
      <w:r>
        <w:rPr>
          <w:noProof/>
        </w:rPr>
        <w:t>55</w:t>
      </w:r>
      <w:r>
        <w:rPr>
          <w:noProof/>
        </w:rPr>
        <w:fldChar w:fldCharType="end"/>
      </w:r>
      <w:r w:rsidRPr="00466E5F">
        <w:t xml:space="preserve">. </w:t>
      </w:r>
      <w:r>
        <w:t>Estimated recent recruitment time series from all scenarios.</w:t>
      </w:r>
      <w:bookmarkEnd w:id="194"/>
    </w:p>
    <w:p w14:paraId="206D28C7" w14:textId="77777777" w:rsidR="00D7598A" w:rsidRDefault="00D7598A" w:rsidP="006125E9">
      <w:pPr>
        <w:spacing w:after="0"/>
      </w:pPr>
      <w:r>
        <w:br w:type="page"/>
      </w:r>
    </w:p>
    <w:p w14:paraId="16C227FF" w14:textId="77777777" w:rsidR="00D7598A" w:rsidRDefault="00D7598A" w:rsidP="006125E9">
      <w:pPr>
        <w:spacing w:after="0"/>
      </w:pPr>
      <w:r w:rsidRPr="007B18FB">
        <w:rPr>
          <w:noProof/>
        </w:rPr>
        <w:lastRenderedPageBreak/>
        <w:drawing>
          <wp:inline distT="0" distB="0" distL="0" distR="0" wp14:anchorId="71243DEF" wp14:editId="1668FEC0">
            <wp:extent cx="5943600" cy="5943600"/>
            <wp:effectExtent l="0" t="0" r="0" b="0"/>
            <wp:docPr id="152" name="Picture 15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close up of a map&#10;&#10;Description automatically generated"/>
                    <pic:cNvPicPr/>
                  </pic:nvPicPr>
                  <pic:blipFill>
                    <a:blip r:embed="rId164"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318522FA" w14:textId="77777777" w:rsidR="00D7598A" w:rsidRDefault="00D7598A" w:rsidP="006125E9">
      <w:pPr>
        <w:spacing w:after="0"/>
      </w:pPr>
      <w:bookmarkStart w:id="195" w:name="_Toc50392594"/>
      <w:r w:rsidRPr="00466E5F">
        <w:t xml:space="preserve">Figure </w:t>
      </w:r>
      <w:r>
        <w:rPr>
          <w:noProof/>
        </w:rPr>
        <w:fldChar w:fldCharType="begin"/>
      </w:r>
      <w:r>
        <w:rPr>
          <w:noProof/>
        </w:rPr>
        <w:instrText xml:space="preserve"> SEQ Figure \* ARABIC </w:instrText>
      </w:r>
      <w:r>
        <w:rPr>
          <w:noProof/>
        </w:rPr>
        <w:fldChar w:fldCharType="separate"/>
      </w:r>
      <w:r>
        <w:rPr>
          <w:noProof/>
        </w:rPr>
        <w:t>56</w:t>
      </w:r>
      <w:r>
        <w:rPr>
          <w:noProof/>
        </w:rPr>
        <w:fldChar w:fldCharType="end"/>
      </w:r>
      <w:r w:rsidRPr="00466E5F">
        <w:t xml:space="preserve">. </w:t>
      </w:r>
      <w:r>
        <w:t>Estimated (Feb. 15) mature biomass time series from all scenarios.</w:t>
      </w:r>
      <w:bookmarkEnd w:id="195"/>
    </w:p>
    <w:p w14:paraId="5B9B9348" w14:textId="77777777" w:rsidR="00D7598A" w:rsidRDefault="00D7598A" w:rsidP="006125E9">
      <w:pPr>
        <w:spacing w:after="0"/>
      </w:pPr>
      <w:r>
        <w:br w:type="page"/>
      </w:r>
    </w:p>
    <w:p w14:paraId="7A6E0F6A" w14:textId="77777777" w:rsidR="00D7598A" w:rsidRDefault="00D7598A" w:rsidP="00BD20A4">
      <w:pPr>
        <w:spacing w:after="0"/>
      </w:pPr>
      <w:r w:rsidRPr="007B18FB">
        <w:rPr>
          <w:noProof/>
        </w:rPr>
        <w:lastRenderedPageBreak/>
        <w:drawing>
          <wp:inline distT="0" distB="0" distL="0" distR="0" wp14:anchorId="5501C837" wp14:editId="406AD639">
            <wp:extent cx="5943600" cy="5943600"/>
            <wp:effectExtent l="0" t="0" r="0" b="0"/>
            <wp:docPr id="153" name="Picture 15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 up of a map&#10;&#10;Description automatically generated"/>
                    <pic:cNvPicPr/>
                  </pic:nvPicPr>
                  <pic:blipFill>
                    <a:blip r:embed="rId165" cstate="email">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p>
    <w:p w14:paraId="6B5242AD" w14:textId="77777777" w:rsidR="00D7598A" w:rsidRDefault="00D7598A" w:rsidP="00BD20A4">
      <w:pPr>
        <w:spacing w:after="0"/>
      </w:pPr>
      <w:bookmarkStart w:id="196" w:name="_Toc50392595"/>
      <w:r w:rsidRPr="00466E5F">
        <w:t xml:space="preserve">Figure </w:t>
      </w:r>
      <w:r>
        <w:rPr>
          <w:noProof/>
        </w:rPr>
        <w:fldChar w:fldCharType="begin"/>
      </w:r>
      <w:r>
        <w:rPr>
          <w:noProof/>
        </w:rPr>
        <w:instrText xml:space="preserve"> SEQ Figure \* ARABIC </w:instrText>
      </w:r>
      <w:r>
        <w:rPr>
          <w:noProof/>
        </w:rPr>
        <w:fldChar w:fldCharType="separate"/>
      </w:r>
      <w:r>
        <w:rPr>
          <w:noProof/>
        </w:rPr>
        <w:t>57</w:t>
      </w:r>
      <w:r>
        <w:rPr>
          <w:noProof/>
        </w:rPr>
        <w:fldChar w:fldCharType="end"/>
      </w:r>
      <w:r w:rsidRPr="00466E5F">
        <w:t xml:space="preserve">. </w:t>
      </w:r>
      <w:r>
        <w:t>Estimated recent (Feb. 15) mature biomass time series from all scenarios.</w:t>
      </w:r>
      <w:bookmarkEnd w:id="196"/>
    </w:p>
    <w:p w14:paraId="4DD4D9B6" w14:textId="77777777" w:rsidR="00D7598A" w:rsidRDefault="00D7598A" w:rsidP="00BD20A4">
      <w:pPr>
        <w:spacing w:after="0"/>
      </w:pPr>
      <w:r>
        <w:br w:type="page"/>
      </w:r>
    </w:p>
    <w:p w14:paraId="79B1067C" w14:textId="77777777" w:rsidR="00D7598A" w:rsidRDefault="00D7598A" w:rsidP="006125E9">
      <w:pPr>
        <w:spacing w:after="0"/>
      </w:pPr>
      <w:r w:rsidRPr="00451AE9">
        <w:rPr>
          <w:noProof/>
        </w:rPr>
        <w:lastRenderedPageBreak/>
        <w:drawing>
          <wp:inline distT="0" distB="0" distL="0" distR="0" wp14:anchorId="5DA9264A" wp14:editId="3D2EE011">
            <wp:extent cx="5943600" cy="7317105"/>
            <wp:effectExtent l="0" t="0" r="0" b="0"/>
            <wp:docPr id="154" name="Picture 15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close up of a map&#10;&#10;Description automatically generated"/>
                    <pic:cNvPicPr/>
                  </pic:nvPicPr>
                  <pic:blipFill>
                    <a:blip r:embed="rId166" cstate="email">
                      <a:extLst>
                        <a:ext uri="{28A0092B-C50C-407E-A947-70E740481C1C}">
                          <a14:useLocalDpi xmlns:a14="http://schemas.microsoft.com/office/drawing/2010/main"/>
                        </a:ext>
                      </a:extLst>
                    </a:blip>
                    <a:stretch>
                      <a:fillRect/>
                    </a:stretch>
                  </pic:blipFill>
                  <pic:spPr>
                    <a:xfrm>
                      <a:off x="0" y="0"/>
                      <a:ext cx="5943600" cy="7317105"/>
                    </a:xfrm>
                    <a:prstGeom prst="rect">
                      <a:avLst/>
                    </a:prstGeom>
                  </pic:spPr>
                </pic:pic>
              </a:graphicData>
            </a:graphic>
          </wp:inline>
        </w:drawing>
      </w:r>
    </w:p>
    <w:p w14:paraId="1752CE6B" w14:textId="77777777" w:rsidR="00D7598A" w:rsidRDefault="00D7598A" w:rsidP="006125E9">
      <w:pPr>
        <w:spacing w:after="0"/>
      </w:pPr>
      <w:bookmarkStart w:id="197" w:name="_Toc50392596"/>
      <w:r w:rsidRPr="00466E5F">
        <w:t xml:space="preserve">Figure </w:t>
      </w:r>
      <w:r>
        <w:rPr>
          <w:noProof/>
        </w:rPr>
        <w:fldChar w:fldCharType="begin"/>
      </w:r>
      <w:r>
        <w:rPr>
          <w:noProof/>
        </w:rPr>
        <w:instrText xml:space="preserve"> SEQ Figure \* ARABIC </w:instrText>
      </w:r>
      <w:r>
        <w:rPr>
          <w:noProof/>
        </w:rPr>
        <w:fldChar w:fldCharType="separate"/>
      </w:r>
      <w:r>
        <w:rPr>
          <w:noProof/>
        </w:rPr>
        <w:t>58</w:t>
      </w:r>
      <w:r>
        <w:rPr>
          <w:noProof/>
        </w:rPr>
        <w:fldChar w:fldCharType="end"/>
      </w:r>
      <w:r w:rsidRPr="00466E5F">
        <w:t xml:space="preserve">. </w:t>
      </w:r>
      <w:r>
        <w:t>Estimated biomass (on July 1) time series by population category for all scenarios.</w:t>
      </w:r>
      <w:bookmarkEnd w:id="197"/>
    </w:p>
    <w:p w14:paraId="5EC58CA7" w14:textId="77777777" w:rsidR="00D7598A" w:rsidRDefault="00D7598A" w:rsidP="006125E9">
      <w:pPr>
        <w:spacing w:after="0"/>
      </w:pPr>
      <w:r w:rsidRPr="00451AE9">
        <w:rPr>
          <w:noProof/>
        </w:rPr>
        <w:lastRenderedPageBreak/>
        <w:drawing>
          <wp:inline distT="0" distB="0" distL="0" distR="0" wp14:anchorId="4A56B754" wp14:editId="7BC3F278">
            <wp:extent cx="5943600" cy="7317105"/>
            <wp:effectExtent l="0" t="0" r="0" b="0"/>
            <wp:docPr id="155" name="Picture 15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lose up of a map&#10;&#10;Description automatically generated"/>
                    <pic:cNvPicPr/>
                  </pic:nvPicPr>
                  <pic:blipFill>
                    <a:blip r:embed="rId167" cstate="email">
                      <a:extLst>
                        <a:ext uri="{28A0092B-C50C-407E-A947-70E740481C1C}">
                          <a14:useLocalDpi xmlns:a14="http://schemas.microsoft.com/office/drawing/2010/main"/>
                        </a:ext>
                      </a:extLst>
                    </a:blip>
                    <a:stretch>
                      <a:fillRect/>
                    </a:stretch>
                  </pic:blipFill>
                  <pic:spPr>
                    <a:xfrm>
                      <a:off x="0" y="0"/>
                      <a:ext cx="5943600" cy="7317105"/>
                    </a:xfrm>
                    <a:prstGeom prst="rect">
                      <a:avLst/>
                    </a:prstGeom>
                  </pic:spPr>
                </pic:pic>
              </a:graphicData>
            </a:graphic>
          </wp:inline>
        </w:drawing>
      </w:r>
    </w:p>
    <w:p w14:paraId="5BB1BBD5" w14:textId="77777777" w:rsidR="00D7598A" w:rsidRDefault="00D7598A" w:rsidP="00451AE9">
      <w:pPr>
        <w:spacing w:after="0"/>
      </w:pPr>
      <w:bookmarkStart w:id="198" w:name="_Toc50392597"/>
      <w:r w:rsidRPr="00466E5F">
        <w:t xml:space="preserve">Figure </w:t>
      </w:r>
      <w:r>
        <w:rPr>
          <w:noProof/>
        </w:rPr>
        <w:fldChar w:fldCharType="begin"/>
      </w:r>
      <w:r>
        <w:rPr>
          <w:noProof/>
        </w:rPr>
        <w:instrText xml:space="preserve"> SEQ Figure \* ARABIC </w:instrText>
      </w:r>
      <w:r>
        <w:rPr>
          <w:noProof/>
        </w:rPr>
        <w:fldChar w:fldCharType="separate"/>
      </w:r>
      <w:r>
        <w:rPr>
          <w:noProof/>
        </w:rPr>
        <w:t>59</w:t>
      </w:r>
      <w:r>
        <w:rPr>
          <w:noProof/>
        </w:rPr>
        <w:fldChar w:fldCharType="end"/>
      </w:r>
      <w:r w:rsidRPr="00466E5F">
        <w:t xml:space="preserve">. </w:t>
      </w:r>
      <w:r>
        <w:t>Estimated recent biomass (on July 1) time series by population category for all scenarios.</w:t>
      </w:r>
      <w:bookmarkEnd w:id="198"/>
    </w:p>
    <w:p w14:paraId="6DA98149" w14:textId="2739E772" w:rsidR="00D7598A" w:rsidRDefault="00D7598A">
      <w:pPr>
        <w:spacing w:after="200" w:line="276" w:lineRule="auto"/>
        <w:rPr>
          <w:rFonts w:eastAsia="Times New Roman" w:cs="Times New Roman"/>
        </w:rPr>
      </w:pPr>
      <w:r>
        <w:rPr>
          <w:rFonts w:eastAsia="Times New Roman" w:cs="Times New Roman"/>
        </w:rPr>
        <w:br w:type="page"/>
      </w:r>
    </w:p>
    <w:p w14:paraId="5A5AFF78" w14:textId="77777777" w:rsidR="00D7598A" w:rsidRDefault="00D7598A">
      <w:pPr>
        <w:spacing w:after="0"/>
      </w:pPr>
      <w:r w:rsidRPr="00032BA7">
        <w:rPr>
          <w:noProof/>
        </w:rPr>
        <w:lastRenderedPageBreak/>
        <w:drawing>
          <wp:inline distT="0" distB="0" distL="0" distR="0" wp14:anchorId="31059F27" wp14:editId="3FB77768">
            <wp:extent cx="5943600" cy="3655695"/>
            <wp:effectExtent l="0" t="0" r="0" b="1905"/>
            <wp:docPr id="156" name="Picture 15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map&#10;&#10;Description automatically generated"/>
                    <pic:cNvPicPr/>
                  </pic:nvPicPr>
                  <pic:blipFill>
                    <a:blip r:embed="rId168" cstate="email">
                      <a:extLst>
                        <a:ext uri="{28A0092B-C50C-407E-A947-70E740481C1C}">
                          <a14:useLocalDpi xmlns:a14="http://schemas.microsoft.com/office/drawing/2010/main"/>
                        </a:ext>
                      </a:extLst>
                    </a:blip>
                    <a:stretch>
                      <a:fillRect/>
                    </a:stretch>
                  </pic:blipFill>
                  <pic:spPr>
                    <a:xfrm>
                      <a:off x="0" y="0"/>
                      <a:ext cx="5943600" cy="3655695"/>
                    </a:xfrm>
                    <a:prstGeom prst="rect">
                      <a:avLst/>
                    </a:prstGeom>
                  </pic:spPr>
                </pic:pic>
              </a:graphicData>
            </a:graphic>
          </wp:inline>
        </w:drawing>
      </w:r>
    </w:p>
    <w:p w14:paraId="7007979A" w14:textId="77777777" w:rsidR="00D7598A" w:rsidRDefault="00D7598A">
      <w:pPr>
        <w:spacing w:after="0"/>
      </w:pPr>
      <w:r w:rsidRPr="00032BA7">
        <w:rPr>
          <w:noProof/>
        </w:rPr>
        <w:drawing>
          <wp:inline distT="0" distB="0" distL="0" distR="0" wp14:anchorId="7C6CB242" wp14:editId="70FF9A3D">
            <wp:extent cx="5943600" cy="3655695"/>
            <wp:effectExtent l="0" t="0" r="0" b="1905"/>
            <wp:docPr id="157" name="Picture 15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map&#10;&#10;Description automatically generated"/>
                    <pic:cNvPicPr/>
                  </pic:nvPicPr>
                  <pic:blipFill>
                    <a:blip r:embed="rId169" cstate="email">
                      <a:extLst>
                        <a:ext uri="{28A0092B-C50C-407E-A947-70E740481C1C}">
                          <a14:useLocalDpi xmlns:a14="http://schemas.microsoft.com/office/drawing/2010/main"/>
                        </a:ext>
                      </a:extLst>
                    </a:blip>
                    <a:stretch>
                      <a:fillRect/>
                    </a:stretch>
                  </pic:blipFill>
                  <pic:spPr>
                    <a:xfrm>
                      <a:off x="0" y="0"/>
                      <a:ext cx="5943600" cy="3655695"/>
                    </a:xfrm>
                    <a:prstGeom prst="rect">
                      <a:avLst/>
                    </a:prstGeom>
                  </pic:spPr>
                </pic:pic>
              </a:graphicData>
            </a:graphic>
          </wp:inline>
        </w:drawing>
      </w:r>
    </w:p>
    <w:p w14:paraId="6E4FD632" w14:textId="77777777" w:rsidR="00D7598A" w:rsidRDefault="00D7598A">
      <w:pPr>
        <w:spacing w:after="0"/>
      </w:pPr>
      <w:bookmarkStart w:id="199" w:name="_Toc50392598"/>
      <w:r w:rsidRPr="00466E5F">
        <w:t xml:space="preserve">Figure </w:t>
      </w:r>
      <w:r>
        <w:rPr>
          <w:noProof/>
        </w:rPr>
        <w:fldChar w:fldCharType="begin"/>
      </w:r>
      <w:r>
        <w:rPr>
          <w:noProof/>
        </w:rPr>
        <w:instrText xml:space="preserve"> SEQ Figure \* ARABIC \r 60</w:instrText>
      </w:r>
      <w:r>
        <w:rPr>
          <w:noProof/>
        </w:rPr>
        <w:fldChar w:fldCharType="separate"/>
      </w:r>
      <w:r>
        <w:rPr>
          <w:noProof/>
        </w:rPr>
        <w:t>60</w:t>
      </w:r>
      <w:r>
        <w:rPr>
          <w:noProof/>
        </w:rPr>
        <w:fldChar w:fldCharType="end"/>
      </w:r>
      <w:r w:rsidRPr="00466E5F">
        <w:t>.</w:t>
      </w:r>
      <w:r>
        <w:t xml:space="preserve"> Retrospective patterns for Scenario 19.03(2020). Upper: recruitment. Lower: MMB.</w:t>
      </w:r>
      <w:bookmarkEnd w:id="199"/>
      <w:r>
        <w:br w:type="page"/>
      </w:r>
    </w:p>
    <w:p w14:paraId="07D921B2" w14:textId="77777777" w:rsidR="00D7598A" w:rsidRDefault="00D7598A" w:rsidP="00032BA7">
      <w:pPr>
        <w:spacing w:after="0"/>
      </w:pPr>
      <w:r w:rsidRPr="00032BA7">
        <w:rPr>
          <w:noProof/>
        </w:rPr>
        <w:lastRenderedPageBreak/>
        <w:drawing>
          <wp:inline distT="0" distB="0" distL="0" distR="0" wp14:anchorId="18CD1790" wp14:editId="0F0DBD77">
            <wp:extent cx="5943600" cy="3655695"/>
            <wp:effectExtent l="0" t="0" r="0" b="190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cstate="email">
                      <a:extLst>
                        <a:ext uri="{28A0092B-C50C-407E-A947-70E740481C1C}">
                          <a14:useLocalDpi xmlns:a14="http://schemas.microsoft.com/office/drawing/2010/main"/>
                        </a:ext>
                      </a:extLst>
                    </a:blip>
                    <a:stretch>
                      <a:fillRect/>
                    </a:stretch>
                  </pic:blipFill>
                  <pic:spPr>
                    <a:xfrm>
                      <a:off x="0" y="0"/>
                      <a:ext cx="5943600" cy="3655695"/>
                    </a:xfrm>
                    <a:prstGeom prst="rect">
                      <a:avLst/>
                    </a:prstGeom>
                  </pic:spPr>
                </pic:pic>
              </a:graphicData>
            </a:graphic>
          </wp:inline>
        </w:drawing>
      </w:r>
    </w:p>
    <w:p w14:paraId="2FEE61F0" w14:textId="77777777" w:rsidR="00D7598A" w:rsidRDefault="00D7598A" w:rsidP="00032BA7">
      <w:pPr>
        <w:spacing w:after="0"/>
      </w:pPr>
      <w:r w:rsidRPr="00032BA7">
        <w:rPr>
          <w:noProof/>
        </w:rPr>
        <w:drawing>
          <wp:inline distT="0" distB="0" distL="0" distR="0" wp14:anchorId="1D2A4304" wp14:editId="7959C08C">
            <wp:extent cx="5943600" cy="3655695"/>
            <wp:effectExtent l="0" t="0" r="0" b="1905"/>
            <wp:docPr id="159" name="Picture 15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map&#10;&#10;Description automatically generated"/>
                    <pic:cNvPicPr/>
                  </pic:nvPicPr>
                  <pic:blipFill>
                    <a:blip r:embed="rId171" cstate="email">
                      <a:extLst>
                        <a:ext uri="{28A0092B-C50C-407E-A947-70E740481C1C}">
                          <a14:useLocalDpi xmlns:a14="http://schemas.microsoft.com/office/drawing/2010/main"/>
                        </a:ext>
                      </a:extLst>
                    </a:blip>
                    <a:stretch>
                      <a:fillRect/>
                    </a:stretch>
                  </pic:blipFill>
                  <pic:spPr>
                    <a:xfrm>
                      <a:off x="0" y="0"/>
                      <a:ext cx="5943600" cy="3655695"/>
                    </a:xfrm>
                    <a:prstGeom prst="rect">
                      <a:avLst/>
                    </a:prstGeom>
                  </pic:spPr>
                </pic:pic>
              </a:graphicData>
            </a:graphic>
          </wp:inline>
        </w:drawing>
      </w:r>
    </w:p>
    <w:p w14:paraId="672FF779" w14:textId="77777777" w:rsidR="00D7598A" w:rsidRDefault="00D7598A" w:rsidP="00032BA7">
      <w:pPr>
        <w:spacing w:after="0"/>
        <w:sectPr w:rsidR="00D7598A" w:rsidSect="00AC6EC9">
          <w:pgSz w:w="12240" w:h="15840"/>
          <w:pgMar w:top="1440" w:right="1440" w:bottom="1440" w:left="1440" w:header="720" w:footer="720" w:gutter="0"/>
          <w:cols w:space="720"/>
          <w:titlePg/>
          <w:docGrid w:linePitch="360"/>
        </w:sectPr>
      </w:pPr>
      <w:bookmarkStart w:id="200" w:name="_Toc50392599"/>
      <w:r w:rsidRPr="00466E5F">
        <w:t xml:space="preserve">Figure </w:t>
      </w:r>
      <w:r>
        <w:rPr>
          <w:noProof/>
        </w:rPr>
        <w:fldChar w:fldCharType="begin"/>
      </w:r>
      <w:r>
        <w:rPr>
          <w:noProof/>
        </w:rPr>
        <w:instrText xml:space="preserve"> SEQ Figure \* ARABIC</w:instrText>
      </w:r>
      <w:r>
        <w:rPr>
          <w:noProof/>
        </w:rPr>
        <w:fldChar w:fldCharType="separate"/>
      </w:r>
      <w:r>
        <w:rPr>
          <w:noProof/>
        </w:rPr>
        <w:t>61</w:t>
      </w:r>
      <w:r>
        <w:rPr>
          <w:noProof/>
        </w:rPr>
        <w:fldChar w:fldCharType="end"/>
      </w:r>
      <w:r w:rsidRPr="00466E5F">
        <w:t>.</w:t>
      </w:r>
      <w:r>
        <w:t xml:space="preserve"> Retrospective patterns for Scenario 20.10. Upper: recruitment. Lower: MMB.</w:t>
      </w:r>
      <w:bookmarkEnd w:id="200"/>
    </w:p>
    <w:p w14:paraId="3635BB25" w14:textId="77777777" w:rsidR="00D7598A" w:rsidRDefault="00D7598A">
      <w:pPr>
        <w:spacing w:after="0"/>
      </w:pPr>
      <w:r w:rsidRPr="00D62101">
        <w:rPr>
          <w:noProof/>
        </w:rPr>
        <w:lastRenderedPageBreak/>
        <w:drawing>
          <wp:inline distT="0" distB="0" distL="0" distR="0" wp14:anchorId="033CC1BC" wp14:editId="4CE0FAF9">
            <wp:extent cx="7552944" cy="5486400"/>
            <wp:effectExtent l="0" t="0" r="3810" b="0"/>
            <wp:docPr id="160" name="Picture 160"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person&#10;&#10;Description automatically generated"/>
                    <pic:cNvPicPr/>
                  </pic:nvPicPr>
                  <pic:blipFill>
                    <a:blip r:embed="rId172" cstate="email">
                      <a:extLst>
                        <a:ext uri="{28A0092B-C50C-407E-A947-70E740481C1C}">
                          <a14:useLocalDpi xmlns:a14="http://schemas.microsoft.com/office/drawing/2010/main"/>
                        </a:ext>
                      </a:extLst>
                    </a:blip>
                    <a:stretch>
                      <a:fillRect/>
                    </a:stretch>
                  </pic:blipFill>
                  <pic:spPr>
                    <a:xfrm>
                      <a:off x="0" y="0"/>
                      <a:ext cx="7552944" cy="5486400"/>
                    </a:xfrm>
                    <a:prstGeom prst="rect">
                      <a:avLst/>
                    </a:prstGeom>
                  </pic:spPr>
                </pic:pic>
              </a:graphicData>
            </a:graphic>
          </wp:inline>
        </w:drawing>
      </w:r>
    </w:p>
    <w:p w14:paraId="46593A48" w14:textId="77777777" w:rsidR="00D7598A" w:rsidRDefault="00D7598A">
      <w:pPr>
        <w:spacing w:after="0"/>
      </w:pPr>
      <w:bookmarkStart w:id="201" w:name="_Toc50392600"/>
      <w:r w:rsidRPr="00466E5F">
        <w:t xml:space="preserve">Figure </w:t>
      </w:r>
      <w:r>
        <w:rPr>
          <w:noProof/>
        </w:rPr>
        <w:fldChar w:fldCharType="begin"/>
      </w:r>
      <w:r>
        <w:rPr>
          <w:noProof/>
        </w:rPr>
        <w:instrText xml:space="preserve"> SEQ Figure \* ARABIC</w:instrText>
      </w:r>
      <w:r>
        <w:rPr>
          <w:noProof/>
        </w:rPr>
        <w:fldChar w:fldCharType="separate"/>
      </w:r>
      <w:r>
        <w:rPr>
          <w:noProof/>
        </w:rPr>
        <w:t>62</w:t>
      </w:r>
      <w:r>
        <w:rPr>
          <w:noProof/>
        </w:rPr>
        <w:fldChar w:fldCharType="end"/>
      </w:r>
      <w:r w:rsidRPr="00466E5F">
        <w:t xml:space="preserve">. </w:t>
      </w:r>
      <w:r>
        <w:t>Traces for OFL-related quantities from 4 MCMC chains for Scenario 19.03(2020). Chains were run for 1 million iterations, with a 2,000 step burn-in and every 2,000th iteration saved.</w:t>
      </w:r>
      <w:bookmarkEnd w:id="201"/>
      <w:r>
        <w:br w:type="page"/>
      </w:r>
    </w:p>
    <w:p w14:paraId="681DACB4" w14:textId="77777777" w:rsidR="00D7598A" w:rsidRDefault="00D7598A" w:rsidP="0051367C">
      <w:pPr>
        <w:spacing w:after="0"/>
      </w:pPr>
      <w:r w:rsidRPr="00B22F39">
        <w:rPr>
          <w:noProof/>
        </w:rPr>
        <w:lastRenderedPageBreak/>
        <w:drawing>
          <wp:inline distT="0" distB="0" distL="0" distR="0" wp14:anchorId="6E090CB5" wp14:editId="6C395BF6">
            <wp:extent cx="7543800" cy="5486400"/>
            <wp:effectExtent l="0" t="0" r="0" b="0"/>
            <wp:docPr id="161" name="Picture 16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map&#10;&#10;Description automatically generated"/>
                    <pic:cNvPicPr/>
                  </pic:nvPicPr>
                  <pic:blipFill>
                    <a:blip r:embed="rId173" cstate="email">
                      <a:extLst>
                        <a:ext uri="{28A0092B-C50C-407E-A947-70E740481C1C}">
                          <a14:useLocalDpi xmlns:a14="http://schemas.microsoft.com/office/drawing/2010/main"/>
                        </a:ext>
                      </a:extLst>
                    </a:blip>
                    <a:stretch>
                      <a:fillRect/>
                    </a:stretch>
                  </pic:blipFill>
                  <pic:spPr>
                    <a:xfrm>
                      <a:off x="0" y="0"/>
                      <a:ext cx="7543800" cy="5486400"/>
                    </a:xfrm>
                    <a:prstGeom prst="rect">
                      <a:avLst/>
                    </a:prstGeom>
                  </pic:spPr>
                </pic:pic>
              </a:graphicData>
            </a:graphic>
          </wp:inline>
        </w:drawing>
      </w:r>
    </w:p>
    <w:p w14:paraId="55775958" w14:textId="77777777" w:rsidR="00D7598A" w:rsidRDefault="00D7598A">
      <w:pPr>
        <w:spacing w:after="0"/>
      </w:pPr>
      <w:bookmarkStart w:id="202" w:name="_Toc50392601"/>
      <w:r w:rsidRPr="00466E5F">
        <w:t>Figure</w:t>
      </w:r>
      <w:r>
        <w:t xml:space="preserve"> </w:t>
      </w:r>
      <w:r>
        <w:rPr>
          <w:noProof/>
        </w:rPr>
        <w:fldChar w:fldCharType="begin"/>
      </w:r>
      <w:r>
        <w:rPr>
          <w:noProof/>
        </w:rPr>
        <w:instrText xml:space="preserve"> SEQ Figure \* ARABIC </w:instrText>
      </w:r>
      <w:r>
        <w:rPr>
          <w:noProof/>
        </w:rPr>
        <w:fldChar w:fldCharType="separate"/>
      </w:r>
      <w:r>
        <w:rPr>
          <w:noProof/>
        </w:rPr>
        <w:t>63</w:t>
      </w:r>
      <w:r>
        <w:rPr>
          <w:noProof/>
        </w:rPr>
        <w:fldChar w:fldCharType="end"/>
      </w:r>
      <w:r w:rsidRPr="00466E5F">
        <w:t xml:space="preserve">. </w:t>
      </w:r>
      <w:r>
        <w:t>Histograms for OFL-related quantities from 4 MCMC chains for Scenario 19.03(2020). Chains were run for 1 million iterations, with a 2,000 step burn-in and every 2,000th iteration saved.</w:t>
      </w:r>
      <w:bookmarkEnd w:id="202"/>
      <w:r>
        <w:br w:type="page"/>
      </w:r>
    </w:p>
    <w:p w14:paraId="5EAB6AA5" w14:textId="77777777" w:rsidR="00D7598A" w:rsidRDefault="00D7598A" w:rsidP="0051367C">
      <w:pPr>
        <w:spacing w:after="0"/>
      </w:pPr>
      <w:r w:rsidRPr="00D62101">
        <w:rPr>
          <w:noProof/>
        </w:rPr>
        <w:lastRenderedPageBreak/>
        <w:drawing>
          <wp:inline distT="0" distB="0" distL="0" distR="0" wp14:anchorId="6F89CEE5" wp14:editId="14D32200">
            <wp:extent cx="7543800" cy="5486400"/>
            <wp:effectExtent l="0" t="0" r="0" b="0"/>
            <wp:docPr id="162" name="Picture 16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map&#10;&#10;Description automatically generated"/>
                    <pic:cNvPicPr/>
                  </pic:nvPicPr>
                  <pic:blipFill>
                    <a:blip r:embed="rId174" cstate="email">
                      <a:extLst>
                        <a:ext uri="{28A0092B-C50C-407E-A947-70E740481C1C}">
                          <a14:useLocalDpi xmlns:a14="http://schemas.microsoft.com/office/drawing/2010/main"/>
                        </a:ext>
                      </a:extLst>
                    </a:blip>
                    <a:stretch>
                      <a:fillRect/>
                    </a:stretch>
                  </pic:blipFill>
                  <pic:spPr>
                    <a:xfrm>
                      <a:off x="0" y="0"/>
                      <a:ext cx="7543800" cy="5486400"/>
                    </a:xfrm>
                    <a:prstGeom prst="rect">
                      <a:avLst/>
                    </a:prstGeom>
                  </pic:spPr>
                </pic:pic>
              </a:graphicData>
            </a:graphic>
          </wp:inline>
        </w:drawing>
      </w:r>
    </w:p>
    <w:p w14:paraId="7127286F" w14:textId="77777777" w:rsidR="00D7598A" w:rsidRDefault="00D7598A">
      <w:pPr>
        <w:spacing w:after="0"/>
      </w:pPr>
      <w:bookmarkStart w:id="203" w:name="_Toc50392602"/>
      <w:r w:rsidRPr="00466E5F">
        <w:t>Figure</w:t>
      </w:r>
      <w:r>
        <w:t xml:space="preserve"> </w:t>
      </w:r>
      <w:r>
        <w:rPr>
          <w:noProof/>
        </w:rPr>
        <w:fldChar w:fldCharType="begin"/>
      </w:r>
      <w:r>
        <w:rPr>
          <w:noProof/>
        </w:rPr>
        <w:instrText xml:space="preserve"> SEQ Figure \* ARABIC </w:instrText>
      </w:r>
      <w:r>
        <w:rPr>
          <w:noProof/>
        </w:rPr>
        <w:fldChar w:fldCharType="separate"/>
      </w:r>
      <w:r>
        <w:rPr>
          <w:noProof/>
        </w:rPr>
        <w:t>64</w:t>
      </w:r>
      <w:r>
        <w:rPr>
          <w:noProof/>
        </w:rPr>
        <w:fldChar w:fldCharType="end"/>
      </w:r>
      <w:r w:rsidRPr="00466E5F">
        <w:t xml:space="preserve">. </w:t>
      </w:r>
      <w:r>
        <w:t>Traces for OFL-related quantities from 4 MCMC chains for Scenario 20.07. Chains were run for 1 million iterations, with a 2,000 step burn-in and every 2,000th iteration saved.</w:t>
      </w:r>
      <w:bookmarkEnd w:id="203"/>
      <w:r>
        <w:br w:type="page"/>
      </w:r>
    </w:p>
    <w:p w14:paraId="06472B21" w14:textId="77777777" w:rsidR="00D7598A" w:rsidRDefault="00D7598A">
      <w:pPr>
        <w:spacing w:after="0"/>
      </w:pPr>
      <w:r w:rsidRPr="00B22F39">
        <w:rPr>
          <w:noProof/>
        </w:rPr>
        <w:lastRenderedPageBreak/>
        <w:drawing>
          <wp:inline distT="0" distB="0" distL="0" distR="0" wp14:anchorId="02CC28C1" wp14:editId="6D4423EA">
            <wp:extent cx="7543800" cy="5486400"/>
            <wp:effectExtent l="0" t="0" r="0" b="0"/>
            <wp:docPr id="163" name="Picture 163" descr="A picture containing bird, boat, background,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bird, boat, background, city&#10;&#10;Description automatically generated"/>
                    <pic:cNvPicPr/>
                  </pic:nvPicPr>
                  <pic:blipFill>
                    <a:blip r:embed="rId175" cstate="email">
                      <a:extLst>
                        <a:ext uri="{28A0092B-C50C-407E-A947-70E740481C1C}">
                          <a14:useLocalDpi xmlns:a14="http://schemas.microsoft.com/office/drawing/2010/main"/>
                        </a:ext>
                      </a:extLst>
                    </a:blip>
                    <a:stretch>
                      <a:fillRect/>
                    </a:stretch>
                  </pic:blipFill>
                  <pic:spPr>
                    <a:xfrm>
                      <a:off x="0" y="0"/>
                      <a:ext cx="7543800" cy="5486400"/>
                    </a:xfrm>
                    <a:prstGeom prst="rect">
                      <a:avLst/>
                    </a:prstGeom>
                  </pic:spPr>
                </pic:pic>
              </a:graphicData>
            </a:graphic>
          </wp:inline>
        </w:drawing>
      </w:r>
    </w:p>
    <w:p w14:paraId="734E4DC1" w14:textId="77777777" w:rsidR="00D7598A" w:rsidRDefault="00D7598A" w:rsidP="00B22F39">
      <w:pPr>
        <w:spacing w:after="0"/>
      </w:pPr>
      <w:bookmarkStart w:id="204" w:name="_Toc50392603"/>
      <w:r w:rsidRPr="00466E5F">
        <w:t>Figure</w:t>
      </w:r>
      <w:r>
        <w:t xml:space="preserve"> </w:t>
      </w:r>
      <w:r>
        <w:rPr>
          <w:noProof/>
        </w:rPr>
        <w:fldChar w:fldCharType="begin"/>
      </w:r>
      <w:r>
        <w:rPr>
          <w:noProof/>
        </w:rPr>
        <w:instrText xml:space="preserve"> SEQ Figure \* ARABIC </w:instrText>
      </w:r>
      <w:r>
        <w:rPr>
          <w:noProof/>
        </w:rPr>
        <w:fldChar w:fldCharType="separate"/>
      </w:r>
      <w:r>
        <w:rPr>
          <w:noProof/>
        </w:rPr>
        <w:t>65</w:t>
      </w:r>
      <w:r>
        <w:rPr>
          <w:noProof/>
        </w:rPr>
        <w:fldChar w:fldCharType="end"/>
      </w:r>
      <w:r w:rsidRPr="00466E5F">
        <w:t xml:space="preserve">. </w:t>
      </w:r>
      <w:r>
        <w:t>Histograms for OFL-related quantities from 4 MCMC chains for Scenario 20.07. Chains were run for 1 million iterations, with a 2,000 step burn-in and every 2,000th iteration saved.</w:t>
      </w:r>
      <w:bookmarkEnd w:id="204"/>
      <w:r>
        <w:br w:type="page"/>
      </w:r>
    </w:p>
    <w:p w14:paraId="1E09CADE" w14:textId="77777777" w:rsidR="00D7598A" w:rsidRDefault="00D7598A">
      <w:pPr>
        <w:spacing w:after="0"/>
      </w:pPr>
    </w:p>
    <w:p w14:paraId="78B873E5" w14:textId="77777777" w:rsidR="00D7598A" w:rsidRDefault="00D7598A" w:rsidP="0051367C">
      <w:pPr>
        <w:spacing w:after="0"/>
      </w:pPr>
      <w:r w:rsidRPr="00BA0642">
        <w:rPr>
          <w:noProof/>
        </w:rPr>
        <w:drawing>
          <wp:inline distT="0" distB="0" distL="0" distR="0" wp14:anchorId="6A22C3DD" wp14:editId="52C0EFCB">
            <wp:extent cx="5943600" cy="3575685"/>
            <wp:effectExtent l="0" t="0" r="0" b="571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email">
                      <a:extLst>
                        <a:ext uri="{28A0092B-C50C-407E-A947-70E740481C1C}">
                          <a14:useLocalDpi xmlns:a14="http://schemas.microsoft.com/office/drawing/2010/main"/>
                        </a:ext>
                      </a:extLst>
                    </a:blip>
                    <a:srcRect/>
                    <a:stretch>
                      <a:fillRect/>
                    </a:stretch>
                  </pic:blipFill>
                  <pic:spPr bwMode="auto">
                    <a:xfrm>
                      <a:off x="0" y="0"/>
                      <a:ext cx="5943600" cy="3575685"/>
                    </a:xfrm>
                    <a:prstGeom prst="rect">
                      <a:avLst/>
                    </a:prstGeom>
                    <a:noFill/>
                    <a:ln>
                      <a:noFill/>
                    </a:ln>
                  </pic:spPr>
                </pic:pic>
              </a:graphicData>
            </a:graphic>
          </wp:inline>
        </w:drawing>
      </w:r>
    </w:p>
    <w:p w14:paraId="574322CF" w14:textId="77777777" w:rsidR="00D7598A" w:rsidRDefault="00D7598A" w:rsidP="0051367C">
      <w:pPr>
        <w:spacing w:after="0"/>
      </w:pPr>
      <w:bookmarkStart w:id="205" w:name="_Toc50392604"/>
      <w:r w:rsidRPr="00466E5F">
        <w:t xml:space="preserve">Figure </w:t>
      </w:r>
      <w:r>
        <w:rPr>
          <w:noProof/>
        </w:rPr>
        <w:fldChar w:fldCharType="begin"/>
      </w:r>
      <w:r>
        <w:rPr>
          <w:noProof/>
        </w:rPr>
        <w:instrText xml:space="preserve"> SEQ Figure \* ARABIC </w:instrText>
      </w:r>
      <w:r>
        <w:rPr>
          <w:noProof/>
        </w:rPr>
        <w:fldChar w:fldCharType="separate"/>
      </w:r>
      <w:r>
        <w:rPr>
          <w:noProof/>
        </w:rPr>
        <w:t>66</w:t>
      </w:r>
      <w:r>
        <w:rPr>
          <w:noProof/>
        </w:rPr>
        <w:fldChar w:fldCharType="end"/>
      </w:r>
      <w:r w:rsidRPr="00466E5F">
        <w:t xml:space="preserve">. </w:t>
      </w:r>
      <w:r>
        <w:t>The F</w:t>
      </w:r>
      <w:r w:rsidRPr="0051367C">
        <w:rPr>
          <w:vertAlign w:val="subscript"/>
        </w:rPr>
        <w:t>OFL</w:t>
      </w:r>
      <w:r>
        <w:t xml:space="preserve"> harvest control rule.</w:t>
      </w:r>
      <w:bookmarkEnd w:id="205"/>
    </w:p>
    <w:p w14:paraId="459B3A89" w14:textId="77777777" w:rsidR="00D7598A" w:rsidRDefault="00D7598A" w:rsidP="0051367C">
      <w:pPr>
        <w:spacing w:after="0"/>
      </w:pPr>
    </w:p>
    <w:p w14:paraId="6F2183B7" w14:textId="77777777" w:rsidR="00D7598A" w:rsidRDefault="00D7598A" w:rsidP="0051367C">
      <w:pPr>
        <w:spacing w:after="0"/>
      </w:pPr>
      <w:r w:rsidRPr="00B22F39">
        <w:rPr>
          <w:noProof/>
        </w:rPr>
        <w:lastRenderedPageBreak/>
        <w:drawing>
          <wp:inline distT="0" distB="0" distL="0" distR="0" wp14:anchorId="4EBC17E9" wp14:editId="20EE2555">
            <wp:extent cx="7543800" cy="54864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email">
                      <a:extLst>
                        <a:ext uri="{28A0092B-C50C-407E-A947-70E740481C1C}">
                          <a14:useLocalDpi xmlns:a14="http://schemas.microsoft.com/office/drawing/2010/main"/>
                        </a:ext>
                      </a:extLst>
                    </a:blip>
                    <a:stretch>
                      <a:fillRect/>
                    </a:stretch>
                  </pic:blipFill>
                  <pic:spPr>
                    <a:xfrm>
                      <a:off x="0" y="0"/>
                      <a:ext cx="7543800" cy="5486400"/>
                    </a:xfrm>
                    <a:prstGeom prst="rect">
                      <a:avLst/>
                    </a:prstGeom>
                  </pic:spPr>
                </pic:pic>
              </a:graphicData>
            </a:graphic>
          </wp:inline>
        </w:drawing>
      </w:r>
    </w:p>
    <w:p w14:paraId="73C6FD89" w14:textId="77777777" w:rsidR="00D7598A" w:rsidRDefault="00D7598A" w:rsidP="0051367C">
      <w:pPr>
        <w:spacing w:after="0"/>
      </w:pPr>
      <w:bookmarkStart w:id="206" w:name="_Toc50392605"/>
      <w:r w:rsidRPr="00466E5F">
        <w:t xml:space="preserve">Figure </w:t>
      </w:r>
      <w:r>
        <w:rPr>
          <w:noProof/>
        </w:rPr>
        <w:fldChar w:fldCharType="begin"/>
      </w:r>
      <w:r>
        <w:rPr>
          <w:noProof/>
        </w:rPr>
        <w:instrText xml:space="preserve"> SEQ Figure \* ARABIC </w:instrText>
      </w:r>
      <w:r>
        <w:rPr>
          <w:noProof/>
        </w:rPr>
        <w:fldChar w:fldCharType="separate"/>
      </w:r>
      <w:r>
        <w:rPr>
          <w:noProof/>
        </w:rPr>
        <w:t>67</w:t>
      </w:r>
      <w:r>
        <w:rPr>
          <w:noProof/>
        </w:rPr>
        <w:fldChar w:fldCharType="end"/>
      </w:r>
      <w:r w:rsidRPr="00466E5F">
        <w:t xml:space="preserve">. </w:t>
      </w:r>
      <w:r>
        <w:t>The OFL and ABC from the author’s preferred model, scenario 20.07. 4 MCMC chains were merged to obtain the empirical distribution determining the p-star ABC.</w:t>
      </w:r>
      <w:bookmarkEnd w:id="206"/>
    </w:p>
    <w:p w14:paraId="33F96CED" w14:textId="77777777" w:rsidR="00D7598A" w:rsidRPr="005B32C3" w:rsidRDefault="00D7598A" w:rsidP="0051367C">
      <w:pPr>
        <w:spacing w:after="0"/>
        <w:rPr>
          <w:highlight w:val="yellow"/>
        </w:rPr>
      </w:pPr>
      <w:r w:rsidRPr="00233AB0">
        <w:rPr>
          <w:noProof/>
        </w:rPr>
        <w:lastRenderedPageBreak/>
        <w:drawing>
          <wp:inline distT="0" distB="0" distL="0" distR="0" wp14:anchorId="6B1ADFA1" wp14:editId="010214B6">
            <wp:extent cx="8229600" cy="5440045"/>
            <wp:effectExtent l="0" t="0" r="0" b="0"/>
            <wp:docPr id="166" name="Picture 16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a:blip r:embed="rId178" cstate="email">
                      <a:extLst>
                        <a:ext uri="{28A0092B-C50C-407E-A947-70E740481C1C}">
                          <a14:useLocalDpi xmlns:a14="http://schemas.microsoft.com/office/drawing/2010/main"/>
                        </a:ext>
                      </a:extLst>
                    </a:blip>
                    <a:stretch>
                      <a:fillRect/>
                    </a:stretch>
                  </pic:blipFill>
                  <pic:spPr>
                    <a:xfrm>
                      <a:off x="0" y="0"/>
                      <a:ext cx="8229600" cy="5440045"/>
                    </a:xfrm>
                    <a:prstGeom prst="rect">
                      <a:avLst/>
                    </a:prstGeom>
                  </pic:spPr>
                </pic:pic>
              </a:graphicData>
            </a:graphic>
          </wp:inline>
        </w:drawing>
      </w:r>
    </w:p>
    <w:p w14:paraId="02D49931" w14:textId="77777777" w:rsidR="00D7598A" w:rsidRDefault="00D7598A" w:rsidP="0051367C">
      <w:pPr>
        <w:spacing w:after="0"/>
      </w:pPr>
      <w:bookmarkStart w:id="207" w:name="_Toc50392606"/>
      <w:r w:rsidRPr="002A435F">
        <w:t xml:space="preserve">Figure </w:t>
      </w:r>
      <w:r w:rsidRPr="002A435F">
        <w:rPr>
          <w:noProof/>
        </w:rPr>
        <w:fldChar w:fldCharType="begin"/>
      </w:r>
      <w:r w:rsidRPr="002A435F">
        <w:rPr>
          <w:noProof/>
        </w:rPr>
        <w:instrText xml:space="preserve"> SEQ Figure \* ARABIC </w:instrText>
      </w:r>
      <w:r w:rsidRPr="002A435F">
        <w:rPr>
          <w:noProof/>
        </w:rPr>
        <w:fldChar w:fldCharType="separate"/>
      </w:r>
      <w:r>
        <w:rPr>
          <w:noProof/>
        </w:rPr>
        <w:t>68</w:t>
      </w:r>
      <w:r w:rsidRPr="002A435F">
        <w:rPr>
          <w:noProof/>
        </w:rPr>
        <w:fldChar w:fldCharType="end"/>
      </w:r>
      <w:r w:rsidRPr="002A435F">
        <w:t xml:space="preserve">. Quad plot for the author’s preferred model, </w:t>
      </w:r>
      <w:r>
        <w:t>S</w:t>
      </w:r>
      <w:r w:rsidRPr="002A435F">
        <w:t xml:space="preserve">cenario </w:t>
      </w:r>
      <w:r>
        <w:t>20.07</w:t>
      </w:r>
      <w:r w:rsidRPr="002A435F">
        <w:t>.</w:t>
      </w:r>
      <w:bookmarkEnd w:id="207"/>
    </w:p>
    <w:p w14:paraId="7370D202" w14:textId="77777777" w:rsidR="00CB27AF" w:rsidRDefault="00CB27AF" w:rsidP="006D788A">
      <w:pPr>
        <w:autoSpaceDE w:val="0"/>
        <w:autoSpaceDN w:val="0"/>
        <w:adjustRightInd w:val="0"/>
        <w:spacing w:after="0"/>
        <w:rPr>
          <w:rFonts w:eastAsia="Times New Roman" w:cs="Times New Roman"/>
        </w:rPr>
      </w:pPr>
    </w:p>
    <w:sectPr w:rsidR="00CB27AF" w:rsidSect="00DD029C">
      <w:footerReference w:type="even" r:id="rId179"/>
      <w:footerReference w:type="default" r:id="rId180"/>
      <w:footerReference w:type="first" r:id="rId181"/>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D2A7C" w14:textId="77777777" w:rsidR="001A3085" w:rsidRDefault="001A3085" w:rsidP="00FC6128">
      <w:pPr>
        <w:spacing w:after="0"/>
      </w:pPr>
      <w:r>
        <w:separator/>
      </w:r>
    </w:p>
  </w:endnote>
  <w:endnote w:type="continuationSeparator" w:id="0">
    <w:p w14:paraId="53346BF5" w14:textId="77777777" w:rsidR="001A3085" w:rsidRDefault="001A3085" w:rsidP="00FC61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roman"/>
    <w:pitch w:val="variable"/>
    <w:sig w:usb0="E0000AFF" w:usb1="00007843"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D3F01" w14:textId="77777777" w:rsidR="00D27A87" w:rsidRDefault="00D27A87" w:rsidP="007442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146D1E6" w14:textId="77777777" w:rsidR="00D27A87" w:rsidRDefault="00D27A87" w:rsidP="007442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CC7F5" w14:textId="52622902" w:rsidR="00D27A87" w:rsidRDefault="00D27A87" w:rsidP="007442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480FECC7" w14:textId="77777777" w:rsidR="00D27A87" w:rsidRDefault="00D27A87" w:rsidP="0074425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E9F65" w14:textId="77777777" w:rsidR="00CB27AF" w:rsidRDefault="00CB27AF" w:rsidP="00D42F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3B35D689" w14:textId="77777777" w:rsidR="00CB27AF" w:rsidRDefault="00CB27AF" w:rsidP="00E876F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85317" w14:textId="77777777" w:rsidR="00CB27AF" w:rsidRDefault="00CB27AF" w:rsidP="00D42F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2D786782" w14:textId="77777777" w:rsidR="00CB27AF" w:rsidRDefault="00CB27AF" w:rsidP="00E876F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86231" w14:textId="77777777" w:rsidR="00CB27AF" w:rsidRDefault="00CB27AF" w:rsidP="00D42F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B3BAC06" w14:textId="77777777" w:rsidR="00CB27AF" w:rsidRDefault="00CB27AF" w:rsidP="00E876F1">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8F6C8" w14:textId="77777777" w:rsidR="00CB27AF" w:rsidRDefault="00CB27AF" w:rsidP="00D42F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2DD0203D" w14:textId="77777777" w:rsidR="00CB27AF" w:rsidRDefault="00CB27AF" w:rsidP="00E876F1">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230C3" w14:textId="77777777" w:rsidR="00D27A87" w:rsidRDefault="00D27A87" w:rsidP="004130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4089EEFD" w14:textId="77777777" w:rsidR="00D27A87" w:rsidRDefault="00D27A87" w:rsidP="004130CB">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5E320" w14:textId="076BBB8A" w:rsidR="00D27A87" w:rsidRDefault="00D27A87" w:rsidP="004130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61005A6B" w14:textId="108E87C1" w:rsidR="00D27A87" w:rsidRDefault="00D27A87" w:rsidP="004130CB">
    <w:pPr>
      <w:pStyle w:val="Footer"/>
      <w:ind w:right="360"/>
      <w:jc w:val="right"/>
    </w:pPr>
  </w:p>
  <w:p w14:paraId="6599A1E5" w14:textId="77777777" w:rsidR="00D27A87" w:rsidRDefault="00D27A8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856027"/>
      <w:docPartObj>
        <w:docPartGallery w:val="Page Numbers (Bottom of Page)"/>
        <w:docPartUnique/>
      </w:docPartObj>
    </w:sdtPr>
    <w:sdtEndPr>
      <w:rPr>
        <w:noProof/>
      </w:rPr>
    </w:sdtEndPr>
    <w:sdtContent>
      <w:p w14:paraId="0186F5E3" w14:textId="14B60F63" w:rsidR="00D27A87" w:rsidRDefault="00D27A87" w:rsidP="00BA38EF">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6EAD1837" w14:textId="77777777" w:rsidR="00D27A87" w:rsidRDefault="00D27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071CA" w14:textId="77777777" w:rsidR="001A3085" w:rsidRDefault="001A3085" w:rsidP="00FC6128">
      <w:pPr>
        <w:spacing w:after="0"/>
      </w:pPr>
      <w:r>
        <w:separator/>
      </w:r>
    </w:p>
  </w:footnote>
  <w:footnote w:type="continuationSeparator" w:id="0">
    <w:p w14:paraId="73F3269A" w14:textId="77777777" w:rsidR="001A3085" w:rsidRDefault="001A3085" w:rsidP="00FC6128">
      <w:pPr>
        <w:spacing w:after="0"/>
      </w:pPr>
      <w:r>
        <w:continuationSeparator/>
      </w:r>
    </w:p>
  </w:footnote>
  <w:footnote w:id="1">
    <w:p w14:paraId="6B593EFD" w14:textId="5969589E" w:rsidR="00D27A87" w:rsidRDefault="00D27A87">
      <w:pPr>
        <w:pStyle w:val="FootnoteText"/>
      </w:pPr>
      <w:r>
        <w:rPr>
          <w:rStyle w:val="FootnoteReference"/>
        </w:rPr>
        <w:footnoteRef/>
      </w:r>
      <w:r>
        <w:t xml:space="preserve"> </w:t>
      </w:r>
      <w:hyperlink r:id="rId1" w:history="1">
        <w:r w:rsidRPr="00B34D4D">
          <w:rPr>
            <w:rStyle w:val="Hyperlink"/>
            <w:sz w:val="20"/>
          </w:rPr>
          <w:t>https://github.com/wStockhausen/wtsTCSAM2013.git</w:t>
        </w:r>
      </w:hyperlink>
    </w:p>
  </w:footnote>
  <w:footnote w:id="2">
    <w:p w14:paraId="79F4FFF4" w14:textId="1A79C9F4" w:rsidR="00D27A87" w:rsidRDefault="00D27A87">
      <w:pPr>
        <w:pStyle w:val="FootnoteText"/>
      </w:pPr>
      <w:r>
        <w:rPr>
          <w:rStyle w:val="FootnoteReference"/>
        </w:rPr>
        <w:footnoteRef/>
      </w:r>
      <w:r>
        <w:t xml:space="preserve">  </w:t>
      </w:r>
      <w:hyperlink r:id="rId2" w:history="1">
        <w:r w:rsidRPr="0057487A">
          <w:rPr>
            <w:rStyle w:val="Hyperlink"/>
            <w:sz w:val="20"/>
          </w:rPr>
          <w:t>https://github.com/wStockhausen/wtsTCSAM02.git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7EAA"/>
    <w:multiLevelType w:val="hybridMultilevel"/>
    <w:tmpl w:val="18780FA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0B223D4E"/>
    <w:multiLevelType w:val="multilevel"/>
    <w:tmpl w:val="2796EAB2"/>
    <w:lvl w:ilvl="0">
      <w:start w:val="3"/>
      <w:numFmt w:val="upperLetter"/>
      <w:lvlText w:val="%1)"/>
      <w:lvlJc w:val="left"/>
      <w:pPr>
        <w:ind w:left="360" w:hanging="360"/>
      </w:pPr>
      <w:rPr>
        <w:rFonts w:hint="default"/>
      </w:rPr>
    </w:lvl>
    <w:lvl w:ilvl="1">
      <w:start w:val="1"/>
      <w:numFmt w:val="lowerRoman"/>
      <w:lvlText w:val="%2."/>
      <w:lvlJc w:val="righ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BE577A3"/>
    <w:multiLevelType w:val="hybridMultilevel"/>
    <w:tmpl w:val="11C28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630E4"/>
    <w:multiLevelType w:val="hybridMultilevel"/>
    <w:tmpl w:val="108C3F0A"/>
    <w:lvl w:ilvl="0" w:tplc="0409000F">
      <w:start w:val="1"/>
      <w:numFmt w:val="decimal"/>
      <w:lvlText w:val="%1."/>
      <w:lvlJc w:val="left"/>
      <w:pPr>
        <w:ind w:left="720" w:hanging="360"/>
      </w:pPr>
      <w:rPr>
        <w:rFonts w:hint="default"/>
      </w:rPr>
    </w:lvl>
    <w:lvl w:ilvl="1" w:tplc="E2C64D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2694F"/>
    <w:multiLevelType w:val="hybridMultilevel"/>
    <w:tmpl w:val="56D82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85400"/>
    <w:multiLevelType w:val="hybridMultilevel"/>
    <w:tmpl w:val="782CBEE8"/>
    <w:lvl w:ilvl="0" w:tplc="0409000F">
      <w:start w:val="1"/>
      <w:numFmt w:val="decimal"/>
      <w:lvlText w:val="%1."/>
      <w:lvlJc w:val="left"/>
      <w:pPr>
        <w:ind w:left="720" w:hanging="360"/>
      </w:pPr>
      <w:rPr>
        <w:rFonts w:hint="default"/>
      </w:rPr>
    </w:lvl>
    <w:lvl w:ilvl="1" w:tplc="4C94510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8C46E7"/>
    <w:multiLevelType w:val="hybridMultilevel"/>
    <w:tmpl w:val="FAE4B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97200"/>
    <w:multiLevelType w:val="multilevel"/>
    <w:tmpl w:val="04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B44095"/>
    <w:multiLevelType w:val="hybridMultilevel"/>
    <w:tmpl w:val="D12E54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317FAC"/>
    <w:multiLevelType w:val="multilevel"/>
    <w:tmpl w:val="6FBE50C2"/>
    <w:lvl w:ilvl="0">
      <w:start w:val="3"/>
      <w:numFmt w:val="upperLetter"/>
      <w:lvlText w:val="%1)"/>
      <w:lvlJc w:val="left"/>
      <w:pPr>
        <w:ind w:left="360" w:hanging="360"/>
      </w:pPr>
      <w:rPr>
        <w:rFonts w:hint="default"/>
      </w:rPr>
    </w:lvl>
    <w:lvl w:ilvl="1">
      <w:start w:val="3"/>
      <w:numFmt w:val="decimal"/>
      <w:lvlText w:val="%2."/>
      <w:lvlJc w:val="left"/>
      <w:pPr>
        <w:ind w:left="720" w:hanging="360"/>
      </w:pPr>
      <w:rPr>
        <w:rFonts w:hint="default"/>
        <w:b/>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080" w:hanging="360"/>
      </w:pPr>
      <w:rPr>
        <w:rFonts w:ascii="Times New Roman" w:hAnsi="Times New Roman" w:cs="Times New Roman"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AD0E99"/>
    <w:multiLevelType w:val="hybridMultilevel"/>
    <w:tmpl w:val="67E8AFB0"/>
    <w:lvl w:ilvl="0" w:tplc="0409000F">
      <w:start w:val="1"/>
      <w:numFmt w:val="decimal"/>
      <w:lvlText w:val="%1."/>
      <w:lvlJc w:val="left"/>
      <w:pPr>
        <w:ind w:left="720" w:hanging="360"/>
      </w:pPr>
      <w:rPr>
        <w:rFonts w:hint="default"/>
      </w:rPr>
    </w:lvl>
    <w:lvl w:ilvl="1" w:tplc="947E155E">
      <w:start w:val="1"/>
      <w:numFmt w:val="lowerRoman"/>
      <w:lvlText w:val="%2."/>
      <w:lvlJc w:val="left"/>
      <w:pPr>
        <w:ind w:left="1800" w:hanging="720"/>
      </w:pPr>
      <w:rPr>
        <w:rFonts w:hint="default"/>
      </w:rPr>
    </w:lvl>
    <w:lvl w:ilvl="2" w:tplc="8EAAA68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C4FFD"/>
    <w:multiLevelType w:val="multilevel"/>
    <w:tmpl w:val="04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1734CF"/>
    <w:multiLevelType w:val="hybridMultilevel"/>
    <w:tmpl w:val="71568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622B13"/>
    <w:multiLevelType w:val="hybridMultilevel"/>
    <w:tmpl w:val="354C1A44"/>
    <w:lvl w:ilvl="0" w:tplc="0409000F">
      <w:start w:val="1"/>
      <w:numFmt w:val="decimal"/>
      <w:lvlText w:val="%1."/>
      <w:lvlJc w:val="left"/>
      <w:pPr>
        <w:ind w:left="720" w:hanging="360"/>
      </w:pPr>
      <w:rPr>
        <w:rFonts w:hint="default"/>
      </w:rPr>
    </w:lvl>
    <w:lvl w:ilvl="1" w:tplc="23DE7AC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303B4"/>
    <w:multiLevelType w:val="hybridMultilevel"/>
    <w:tmpl w:val="1B04BB94"/>
    <w:lvl w:ilvl="0" w:tplc="0409000F">
      <w:start w:val="1"/>
      <w:numFmt w:val="decimal"/>
      <w:lvlText w:val="%1."/>
      <w:lvlJc w:val="left"/>
      <w:pPr>
        <w:ind w:left="720" w:hanging="360"/>
      </w:pPr>
      <w:rPr>
        <w:rFonts w:hint="default"/>
      </w:rPr>
    </w:lvl>
    <w:lvl w:ilvl="1" w:tplc="AB706E2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FE1612"/>
    <w:multiLevelType w:val="multilevel"/>
    <w:tmpl w:val="6FBE50C2"/>
    <w:lvl w:ilvl="0">
      <w:start w:val="3"/>
      <w:numFmt w:val="upperLetter"/>
      <w:lvlText w:val="%1)"/>
      <w:lvlJc w:val="left"/>
      <w:pPr>
        <w:ind w:left="360" w:hanging="360"/>
      </w:pPr>
      <w:rPr>
        <w:rFonts w:hint="default"/>
      </w:rPr>
    </w:lvl>
    <w:lvl w:ilvl="1">
      <w:start w:val="3"/>
      <w:numFmt w:val="decimal"/>
      <w:lvlText w:val="%2."/>
      <w:lvlJc w:val="left"/>
      <w:pPr>
        <w:ind w:left="720" w:hanging="360"/>
      </w:pPr>
      <w:rPr>
        <w:rFonts w:hint="default"/>
        <w:b/>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080" w:hanging="360"/>
      </w:pPr>
      <w:rPr>
        <w:rFonts w:ascii="Times New Roman" w:hAnsi="Times New Roman" w:cs="Times New Roman"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4BF62A4"/>
    <w:multiLevelType w:val="hybridMultilevel"/>
    <w:tmpl w:val="F09E5BD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6674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73C6065"/>
    <w:multiLevelType w:val="hybridMultilevel"/>
    <w:tmpl w:val="BD9C98CE"/>
    <w:lvl w:ilvl="0" w:tplc="0409000F">
      <w:start w:val="1"/>
      <w:numFmt w:val="decimal"/>
      <w:lvlText w:val="%1."/>
      <w:lvlJc w:val="left"/>
      <w:pPr>
        <w:ind w:left="720" w:hanging="360"/>
      </w:pPr>
      <w:rPr>
        <w:rFonts w:hint="default"/>
      </w:rPr>
    </w:lvl>
    <w:lvl w:ilvl="1" w:tplc="A7EEC4F6">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C72FA1"/>
    <w:multiLevelType w:val="multilevel"/>
    <w:tmpl w:val="9FFE7068"/>
    <w:lvl w:ilvl="0">
      <w:start w:val="10"/>
      <w:numFmt w:val="upperLetter"/>
      <w:lvlText w:val="%1)"/>
      <w:lvlJc w:val="left"/>
      <w:pPr>
        <w:ind w:left="360" w:hanging="360"/>
      </w:pPr>
      <w:rPr>
        <w:rFonts w:hint="default"/>
      </w:rPr>
    </w:lvl>
    <w:lvl w:ilvl="1">
      <w:start w:val="1"/>
      <w:numFmt w:val="decimal"/>
      <w:lvlText w:val="%2)"/>
      <w:lvlJc w:val="left"/>
      <w:pPr>
        <w:ind w:left="720" w:hanging="360"/>
      </w:pPr>
      <w:rPr>
        <w:rFonts w:ascii="Arial" w:hAnsi="Arial" w:cs="Arial" w:hint="default"/>
        <w:b/>
      </w:rPr>
    </w:lvl>
    <w:lvl w:ilvl="2">
      <w:start w:val="1"/>
      <w:numFmt w:val="lowerLetter"/>
      <w:lvlText w:val="%3)"/>
      <w:lvlJc w:val="left"/>
      <w:pPr>
        <w:ind w:left="1080" w:hanging="360"/>
      </w:pPr>
      <w:rPr>
        <w:rFonts w:ascii="Times New Roman" w:hAnsi="Times New Roman" w:cs="Times New Roman"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B4D57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48D39E1"/>
    <w:multiLevelType w:val="hybridMultilevel"/>
    <w:tmpl w:val="3A901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D767CA"/>
    <w:multiLevelType w:val="hybridMultilevel"/>
    <w:tmpl w:val="E9BE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03359"/>
    <w:multiLevelType w:val="hybridMultilevel"/>
    <w:tmpl w:val="CB40C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8C5E2E"/>
    <w:multiLevelType w:val="hybridMultilevel"/>
    <w:tmpl w:val="CEC60604"/>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5" w15:restartNumberingAfterBreak="0">
    <w:nsid w:val="6ECF48F1"/>
    <w:multiLevelType w:val="hybridMultilevel"/>
    <w:tmpl w:val="E2F43780"/>
    <w:lvl w:ilvl="0" w:tplc="0409000F">
      <w:start w:val="1"/>
      <w:numFmt w:val="decimal"/>
      <w:lvlText w:val="%1."/>
      <w:lvlJc w:val="left"/>
      <w:pPr>
        <w:ind w:left="720" w:hanging="360"/>
      </w:pPr>
    </w:lvl>
    <w:lvl w:ilvl="1" w:tplc="842C25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12C6E"/>
    <w:multiLevelType w:val="hybridMultilevel"/>
    <w:tmpl w:val="55122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8568BE"/>
    <w:multiLevelType w:val="hybridMultilevel"/>
    <w:tmpl w:val="2D00D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
  </w:num>
  <w:num w:numId="3">
    <w:abstractNumId w:val="22"/>
  </w:num>
  <w:num w:numId="4">
    <w:abstractNumId w:val="18"/>
  </w:num>
  <w:num w:numId="5">
    <w:abstractNumId w:val="26"/>
  </w:num>
  <w:num w:numId="6">
    <w:abstractNumId w:val="6"/>
  </w:num>
  <w:num w:numId="7">
    <w:abstractNumId w:val="12"/>
  </w:num>
  <w:num w:numId="8">
    <w:abstractNumId w:val="5"/>
  </w:num>
  <w:num w:numId="9">
    <w:abstractNumId w:val="2"/>
  </w:num>
  <w:num w:numId="10">
    <w:abstractNumId w:val="10"/>
  </w:num>
  <w:num w:numId="11">
    <w:abstractNumId w:val="25"/>
  </w:num>
  <w:num w:numId="12">
    <w:abstractNumId w:val="14"/>
  </w:num>
  <w:num w:numId="13">
    <w:abstractNumId w:val="13"/>
  </w:num>
  <w:num w:numId="14">
    <w:abstractNumId w:val="20"/>
  </w:num>
  <w:num w:numId="15">
    <w:abstractNumId w:val="23"/>
  </w:num>
  <w:num w:numId="16">
    <w:abstractNumId w:val="16"/>
  </w:num>
  <w:num w:numId="17">
    <w:abstractNumId w:val="17"/>
  </w:num>
  <w:num w:numId="18">
    <w:abstractNumId w:val="7"/>
  </w:num>
  <w:num w:numId="19">
    <w:abstractNumId w:val="11"/>
  </w:num>
  <w:num w:numId="20">
    <w:abstractNumId w:val="9"/>
  </w:num>
  <w:num w:numId="21">
    <w:abstractNumId w:val="1"/>
  </w:num>
  <w:num w:numId="22">
    <w:abstractNumId w:val="8"/>
  </w:num>
  <w:num w:numId="23">
    <w:abstractNumId w:val="4"/>
  </w:num>
  <w:num w:numId="24">
    <w:abstractNumId w:val="19"/>
  </w:num>
  <w:num w:numId="25">
    <w:abstractNumId w:val="15"/>
  </w:num>
  <w:num w:numId="26">
    <w:abstractNumId w:val="27"/>
  </w:num>
  <w:num w:numId="27">
    <w:abstractNumId w:val="2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631"/>
    <w:rsid w:val="00001934"/>
    <w:rsid w:val="00002F6D"/>
    <w:rsid w:val="000057CD"/>
    <w:rsid w:val="000109F0"/>
    <w:rsid w:val="00010D23"/>
    <w:rsid w:val="0001298A"/>
    <w:rsid w:val="000132DB"/>
    <w:rsid w:val="00014D44"/>
    <w:rsid w:val="00016BA1"/>
    <w:rsid w:val="000174B6"/>
    <w:rsid w:val="00024DE1"/>
    <w:rsid w:val="00026E8E"/>
    <w:rsid w:val="00030501"/>
    <w:rsid w:val="000306FF"/>
    <w:rsid w:val="00031001"/>
    <w:rsid w:val="00031172"/>
    <w:rsid w:val="000315DA"/>
    <w:rsid w:val="00033049"/>
    <w:rsid w:val="00041B82"/>
    <w:rsid w:val="0004249C"/>
    <w:rsid w:val="000526E8"/>
    <w:rsid w:val="00057FE3"/>
    <w:rsid w:val="0006018D"/>
    <w:rsid w:val="0006243F"/>
    <w:rsid w:val="000627ED"/>
    <w:rsid w:val="00062FAB"/>
    <w:rsid w:val="00063046"/>
    <w:rsid w:val="00063915"/>
    <w:rsid w:val="000713AF"/>
    <w:rsid w:val="00071C69"/>
    <w:rsid w:val="00071E76"/>
    <w:rsid w:val="00071FF3"/>
    <w:rsid w:val="00073C5E"/>
    <w:rsid w:val="00074747"/>
    <w:rsid w:val="000757AA"/>
    <w:rsid w:val="00081D98"/>
    <w:rsid w:val="000823DE"/>
    <w:rsid w:val="000847B1"/>
    <w:rsid w:val="0008598C"/>
    <w:rsid w:val="00087818"/>
    <w:rsid w:val="00092B64"/>
    <w:rsid w:val="00095DF8"/>
    <w:rsid w:val="00096878"/>
    <w:rsid w:val="000A0760"/>
    <w:rsid w:val="000A11E2"/>
    <w:rsid w:val="000A1508"/>
    <w:rsid w:val="000A3573"/>
    <w:rsid w:val="000A5566"/>
    <w:rsid w:val="000A5D93"/>
    <w:rsid w:val="000A5DF1"/>
    <w:rsid w:val="000A6826"/>
    <w:rsid w:val="000A6DD8"/>
    <w:rsid w:val="000A6F3F"/>
    <w:rsid w:val="000B2A2A"/>
    <w:rsid w:val="000B3121"/>
    <w:rsid w:val="000B38A7"/>
    <w:rsid w:val="000B4D3B"/>
    <w:rsid w:val="000B7333"/>
    <w:rsid w:val="000B7ED5"/>
    <w:rsid w:val="000C0DFB"/>
    <w:rsid w:val="000C5E22"/>
    <w:rsid w:val="000C5E44"/>
    <w:rsid w:val="000C6959"/>
    <w:rsid w:val="000C6B63"/>
    <w:rsid w:val="000D00ED"/>
    <w:rsid w:val="000D1346"/>
    <w:rsid w:val="000D20FA"/>
    <w:rsid w:val="000D23AD"/>
    <w:rsid w:val="000D2727"/>
    <w:rsid w:val="000D2B4D"/>
    <w:rsid w:val="000D3752"/>
    <w:rsid w:val="000D3BDA"/>
    <w:rsid w:val="000D4C52"/>
    <w:rsid w:val="000D61CB"/>
    <w:rsid w:val="000D6717"/>
    <w:rsid w:val="000D7612"/>
    <w:rsid w:val="000D7B43"/>
    <w:rsid w:val="000D7C72"/>
    <w:rsid w:val="000D7D56"/>
    <w:rsid w:val="000E002B"/>
    <w:rsid w:val="000E106C"/>
    <w:rsid w:val="000E2054"/>
    <w:rsid w:val="000E2B34"/>
    <w:rsid w:val="000E48A1"/>
    <w:rsid w:val="000E69D1"/>
    <w:rsid w:val="000E77E5"/>
    <w:rsid w:val="000E7E12"/>
    <w:rsid w:val="000F02CB"/>
    <w:rsid w:val="000F0DA9"/>
    <w:rsid w:val="000F0FEE"/>
    <w:rsid w:val="000F5978"/>
    <w:rsid w:val="000F5FC1"/>
    <w:rsid w:val="000F6242"/>
    <w:rsid w:val="00103EC6"/>
    <w:rsid w:val="00104808"/>
    <w:rsid w:val="00107749"/>
    <w:rsid w:val="00107AD3"/>
    <w:rsid w:val="001106B6"/>
    <w:rsid w:val="00110D83"/>
    <w:rsid w:val="001117D7"/>
    <w:rsid w:val="001120D1"/>
    <w:rsid w:val="0011224B"/>
    <w:rsid w:val="00112FE3"/>
    <w:rsid w:val="001134E8"/>
    <w:rsid w:val="0011664B"/>
    <w:rsid w:val="00116676"/>
    <w:rsid w:val="00116E9A"/>
    <w:rsid w:val="0012010D"/>
    <w:rsid w:val="00120AA1"/>
    <w:rsid w:val="00121895"/>
    <w:rsid w:val="00132BFC"/>
    <w:rsid w:val="00135C92"/>
    <w:rsid w:val="00136DB9"/>
    <w:rsid w:val="00137744"/>
    <w:rsid w:val="00137DAF"/>
    <w:rsid w:val="00137DB8"/>
    <w:rsid w:val="001408DF"/>
    <w:rsid w:val="00141208"/>
    <w:rsid w:val="00141EE2"/>
    <w:rsid w:val="0014329F"/>
    <w:rsid w:val="00143D43"/>
    <w:rsid w:val="00144E1D"/>
    <w:rsid w:val="0014520C"/>
    <w:rsid w:val="00145EE7"/>
    <w:rsid w:val="00146260"/>
    <w:rsid w:val="00147E88"/>
    <w:rsid w:val="00147FBB"/>
    <w:rsid w:val="0015084F"/>
    <w:rsid w:val="0015116B"/>
    <w:rsid w:val="0015275A"/>
    <w:rsid w:val="00153692"/>
    <w:rsid w:val="00153959"/>
    <w:rsid w:val="001541B7"/>
    <w:rsid w:val="00155320"/>
    <w:rsid w:val="00156306"/>
    <w:rsid w:val="001563C1"/>
    <w:rsid w:val="00156CF1"/>
    <w:rsid w:val="00157945"/>
    <w:rsid w:val="00157D40"/>
    <w:rsid w:val="00163CB1"/>
    <w:rsid w:val="00163F54"/>
    <w:rsid w:val="0016623B"/>
    <w:rsid w:val="00166490"/>
    <w:rsid w:val="00167A82"/>
    <w:rsid w:val="00170328"/>
    <w:rsid w:val="00171B3D"/>
    <w:rsid w:val="00172C3D"/>
    <w:rsid w:val="00173B8E"/>
    <w:rsid w:val="001801BC"/>
    <w:rsid w:val="00186C80"/>
    <w:rsid w:val="0018776E"/>
    <w:rsid w:val="00187A79"/>
    <w:rsid w:val="001925DA"/>
    <w:rsid w:val="00192926"/>
    <w:rsid w:val="00192F60"/>
    <w:rsid w:val="00193DFE"/>
    <w:rsid w:val="0019699B"/>
    <w:rsid w:val="00197771"/>
    <w:rsid w:val="001A3085"/>
    <w:rsid w:val="001A4B22"/>
    <w:rsid w:val="001A760D"/>
    <w:rsid w:val="001A7845"/>
    <w:rsid w:val="001A7BDD"/>
    <w:rsid w:val="001B043C"/>
    <w:rsid w:val="001B06E0"/>
    <w:rsid w:val="001B10F0"/>
    <w:rsid w:val="001B2205"/>
    <w:rsid w:val="001B7FCC"/>
    <w:rsid w:val="001C0D16"/>
    <w:rsid w:val="001C1DA2"/>
    <w:rsid w:val="001C402C"/>
    <w:rsid w:val="001C5871"/>
    <w:rsid w:val="001C66A7"/>
    <w:rsid w:val="001C7F77"/>
    <w:rsid w:val="001D052F"/>
    <w:rsid w:val="001D1A34"/>
    <w:rsid w:val="001D291C"/>
    <w:rsid w:val="001D30D0"/>
    <w:rsid w:val="001D3EF9"/>
    <w:rsid w:val="001D4B83"/>
    <w:rsid w:val="001D52DA"/>
    <w:rsid w:val="001E069E"/>
    <w:rsid w:val="001E1815"/>
    <w:rsid w:val="001E6A6F"/>
    <w:rsid w:val="001F0E2A"/>
    <w:rsid w:val="001F2864"/>
    <w:rsid w:val="001F3179"/>
    <w:rsid w:val="001F3391"/>
    <w:rsid w:val="00201C39"/>
    <w:rsid w:val="00203059"/>
    <w:rsid w:val="00203CAD"/>
    <w:rsid w:val="00206DF6"/>
    <w:rsid w:val="002079D0"/>
    <w:rsid w:val="00207B7F"/>
    <w:rsid w:val="00210AC7"/>
    <w:rsid w:val="00211B4B"/>
    <w:rsid w:val="00213528"/>
    <w:rsid w:val="00214C59"/>
    <w:rsid w:val="0021758A"/>
    <w:rsid w:val="002219ED"/>
    <w:rsid w:val="002237CC"/>
    <w:rsid w:val="002241C2"/>
    <w:rsid w:val="00224903"/>
    <w:rsid w:val="002262DC"/>
    <w:rsid w:val="0023011E"/>
    <w:rsid w:val="00232D54"/>
    <w:rsid w:val="002372FE"/>
    <w:rsid w:val="00237D5B"/>
    <w:rsid w:val="002401D1"/>
    <w:rsid w:val="002418DF"/>
    <w:rsid w:val="00242A08"/>
    <w:rsid w:val="00242E0F"/>
    <w:rsid w:val="0024332D"/>
    <w:rsid w:val="00246DFD"/>
    <w:rsid w:val="00247CA6"/>
    <w:rsid w:val="002502EF"/>
    <w:rsid w:val="002504AC"/>
    <w:rsid w:val="00252610"/>
    <w:rsid w:val="0025431B"/>
    <w:rsid w:val="00256EC7"/>
    <w:rsid w:val="002578BA"/>
    <w:rsid w:val="002605E2"/>
    <w:rsid w:val="00260F07"/>
    <w:rsid w:val="0026155B"/>
    <w:rsid w:val="00261705"/>
    <w:rsid w:val="0026480E"/>
    <w:rsid w:val="002669DB"/>
    <w:rsid w:val="00271F07"/>
    <w:rsid w:val="00272272"/>
    <w:rsid w:val="0027328A"/>
    <w:rsid w:val="0027356D"/>
    <w:rsid w:val="00273EEE"/>
    <w:rsid w:val="00277A33"/>
    <w:rsid w:val="002819D9"/>
    <w:rsid w:val="0028218B"/>
    <w:rsid w:val="0028235C"/>
    <w:rsid w:val="00286643"/>
    <w:rsid w:val="002871C8"/>
    <w:rsid w:val="00287B57"/>
    <w:rsid w:val="0029085C"/>
    <w:rsid w:val="0029148C"/>
    <w:rsid w:val="002922F3"/>
    <w:rsid w:val="0029264A"/>
    <w:rsid w:val="00292C09"/>
    <w:rsid w:val="002955A6"/>
    <w:rsid w:val="002A0E77"/>
    <w:rsid w:val="002A36BB"/>
    <w:rsid w:val="002A50F9"/>
    <w:rsid w:val="002A5251"/>
    <w:rsid w:val="002A6C8B"/>
    <w:rsid w:val="002B0AE1"/>
    <w:rsid w:val="002B2889"/>
    <w:rsid w:val="002B2D9F"/>
    <w:rsid w:val="002B388A"/>
    <w:rsid w:val="002B3E58"/>
    <w:rsid w:val="002B491B"/>
    <w:rsid w:val="002B4997"/>
    <w:rsid w:val="002B4DAC"/>
    <w:rsid w:val="002B6599"/>
    <w:rsid w:val="002B7485"/>
    <w:rsid w:val="002B7FFB"/>
    <w:rsid w:val="002C348F"/>
    <w:rsid w:val="002C3658"/>
    <w:rsid w:val="002C6EF4"/>
    <w:rsid w:val="002D2662"/>
    <w:rsid w:val="002D3C0C"/>
    <w:rsid w:val="002D4ABC"/>
    <w:rsid w:val="002D5091"/>
    <w:rsid w:val="002D5894"/>
    <w:rsid w:val="002D661D"/>
    <w:rsid w:val="002D7972"/>
    <w:rsid w:val="002D7A65"/>
    <w:rsid w:val="002E0C51"/>
    <w:rsid w:val="002E0CC1"/>
    <w:rsid w:val="002E3247"/>
    <w:rsid w:val="002E343D"/>
    <w:rsid w:val="002E5847"/>
    <w:rsid w:val="002E58CE"/>
    <w:rsid w:val="002F17BF"/>
    <w:rsid w:val="002F4E1A"/>
    <w:rsid w:val="002F7212"/>
    <w:rsid w:val="002F74AB"/>
    <w:rsid w:val="003006B3"/>
    <w:rsid w:val="00302B5D"/>
    <w:rsid w:val="00302D62"/>
    <w:rsid w:val="00302F86"/>
    <w:rsid w:val="003038F0"/>
    <w:rsid w:val="003044A6"/>
    <w:rsid w:val="00307B3C"/>
    <w:rsid w:val="003113B6"/>
    <w:rsid w:val="00311D0A"/>
    <w:rsid w:val="00311FA6"/>
    <w:rsid w:val="00312041"/>
    <w:rsid w:val="00315685"/>
    <w:rsid w:val="00315A12"/>
    <w:rsid w:val="00317DF1"/>
    <w:rsid w:val="00320F99"/>
    <w:rsid w:val="00325D52"/>
    <w:rsid w:val="00325EAB"/>
    <w:rsid w:val="003262C4"/>
    <w:rsid w:val="003269DB"/>
    <w:rsid w:val="00326C11"/>
    <w:rsid w:val="0033026D"/>
    <w:rsid w:val="00330C59"/>
    <w:rsid w:val="00330ECC"/>
    <w:rsid w:val="00332D46"/>
    <w:rsid w:val="00333FB5"/>
    <w:rsid w:val="0033537F"/>
    <w:rsid w:val="00336E2B"/>
    <w:rsid w:val="00340DA6"/>
    <w:rsid w:val="003415B6"/>
    <w:rsid w:val="00342F79"/>
    <w:rsid w:val="003436A9"/>
    <w:rsid w:val="00343DB3"/>
    <w:rsid w:val="00344C70"/>
    <w:rsid w:val="00345609"/>
    <w:rsid w:val="0034765B"/>
    <w:rsid w:val="00347D62"/>
    <w:rsid w:val="003511DF"/>
    <w:rsid w:val="003521EA"/>
    <w:rsid w:val="00353BFA"/>
    <w:rsid w:val="00354C4C"/>
    <w:rsid w:val="00355807"/>
    <w:rsid w:val="00356A8A"/>
    <w:rsid w:val="00357069"/>
    <w:rsid w:val="0036089E"/>
    <w:rsid w:val="00361229"/>
    <w:rsid w:val="00361636"/>
    <w:rsid w:val="003624EE"/>
    <w:rsid w:val="00366BB6"/>
    <w:rsid w:val="003671FC"/>
    <w:rsid w:val="00367792"/>
    <w:rsid w:val="003701E7"/>
    <w:rsid w:val="00370CA0"/>
    <w:rsid w:val="003728E1"/>
    <w:rsid w:val="00372CB2"/>
    <w:rsid w:val="00373D8D"/>
    <w:rsid w:val="00374D20"/>
    <w:rsid w:val="003767DA"/>
    <w:rsid w:val="003768B4"/>
    <w:rsid w:val="00376B07"/>
    <w:rsid w:val="00376CA7"/>
    <w:rsid w:val="00377C97"/>
    <w:rsid w:val="00380143"/>
    <w:rsid w:val="0038018D"/>
    <w:rsid w:val="0038051A"/>
    <w:rsid w:val="00380B68"/>
    <w:rsid w:val="00381C2C"/>
    <w:rsid w:val="003820AE"/>
    <w:rsid w:val="00383D3B"/>
    <w:rsid w:val="003841CA"/>
    <w:rsid w:val="003845CB"/>
    <w:rsid w:val="00387163"/>
    <w:rsid w:val="00387541"/>
    <w:rsid w:val="00387AD0"/>
    <w:rsid w:val="003907AD"/>
    <w:rsid w:val="00391783"/>
    <w:rsid w:val="00392678"/>
    <w:rsid w:val="00393AE6"/>
    <w:rsid w:val="003942CB"/>
    <w:rsid w:val="00394900"/>
    <w:rsid w:val="0039582B"/>
    <w:rsid w:val="00395954"/>
    <w:rsid w:val="003A0CEE"/>
    <w:rsid w:val="003A2021"/>
    <w:rsid w:val="003A52C9"/>
    <w:rsid w:val="003A61B3"/>
    <w:rsid w:val="003B104A"/>
    <w:rsid w:val="003B175F"/>
    <w:rsid w:val="003B3A4A"/>
    <w:rsid w:val="003C088C"/>
    <w:rsid w:val="003C0F46"/>
    <w:rsid w:val="003C176F"/>
    <w:rsid w:val="003C24FD"/>
    <w:rsid w:val="003C2B42"/>
    <w:rsid w:val="003C590E"/>
    <w:rsid w:val="003D219E"/>
    <w:rsid w:val="003D2994"/>
    <w:rsid w:val="003D3184"/>
    <w:rsid w:val="003D480E"/>
    <w:rsid w:val="003D60EC"/>
    <w:rsid w:val="003E34C8"/>
    <w:rsid w:val="003E56B0"/>
    <w:rsid w:val="003F04B6"/>
    <w:rsid w:val="003F2DB9"/>
    <w:rsid w:val="003F340B"/>
    <w:rsid w:val="003F47D4"/>
    <w:rsid w:val="003F4E86"/>
    <w:rsid w:val="003F4F3F"/>
    <w:rsid w:val="0040071A"/>
    <w:rsid w:val="00400777"/>
    <w:rsid w:val="00400E1F"/>
    <w:rsid w:val="0040290F"/>
    <w:rsid w:val="00402AE4"/>
    <w:rsid w:val="0040495A"/>
    <w:rsid w:val="00406574"/>
    <w:rsid w:val="0041079A"/>
    <w:rsid w:val="004130CB"/>
    <w:rsid w:val="00414AA3"/>
    <w:rsid w:val="00415152"/>
    <w:rsid w:val="00415D4A"/>
    <w:rsid w:val="004160BC"/>
    <w:rsid w:val="00420998"/>
    <w:rsid w:val="00420E50"/>
    <w:rsid w:val="004213DE"/>
    <w:rsid w:val="00421BB3"/>
    <w:rsid w:val="00423E9B"/>
    <w:rsid w:val="00426125"/>
    <w:rsid w:val="00427D75"/>
    <w:rsid w:val="0043214E"/>
    <w:rsid w:val="004322EB"/>
    <w:rsid w:val="004324AF"/>
    <w:rsid w:val="00432D1D"/>
    <w:rsid w:val="00434BBC"/>
    <w:rsid w:val="00434D5B"/>
    <w:rsid w:val="00434DB8"/>
    <w:rsid w:val="00435588"/>
    <w:rsid w:val="00435BF8"/>
    <w:rsid w:val="00441A37"/>
    <w:rsid w:val="00444041"/>
    <w:rsid w:val="00445B27"/>
    <w:rsid w:val="00450D2E"/>
    <w:rsid w:val="00452EBA"/>
    <w:rsid w:val="00455322"/>
    <w:rsid w:val="0045561F"/>
    <w:rsid w:val="00457CD1"/>
    <w:rsid w:val="0046082B"/>
    <w:rsid w:val="00464B02"/>
    <w:rsid w:val="0046586C"/>
    <w:rsid w:val="00466996"/>
    <w:rsid w:val="0046708E"/>
    <w:rsid w:val="004722F6"/>
    <w:rsid w:val="0047318A"/>
    <w:rsid w:val="00474D50"/>
    <w:rsid w:val="00475685"/>
    <w:rsid w:val="004817EB"/>
    <w:rsid w:val="00483733"/>
    <w:rsid w:val="0048709C"/>
    <w:rsid w:val="00490856"/>
    <w:rsid w:val="00491445"/>
    <w:rsid w:val="00491706"/>
    <w:rsid w:val="004945E8"/>
    <w:rsid w:val="00494FCC"/>
    <w:rsid w:val="00496C03"/>
    <w:rsid w:val="004A59C1"/>
    <w:rsid w:val="004A6AAF"/>
    <w:rsid w:val="004A7657"/>
    <w:rsid w:val="004A7D40"/>
    <w:rsid w:val="004B08B3"/>
    <w:rsid w:val="004B14F5"/>
    <w:rsid w:val="004B2FD4"/>
    <w:rsid w:val="004B36ED"/>
    <w:rsid w:val="004B4FCE"/>
    <w:rsid w:val="004B765D"/>
    <w:rsid w:val="004C01A4"/>
    <w:rsid w:val="004C1898"/>
    <w:rsid w:val="004C287D"/>
    <w:rsid w:val="004C57EB"/>
    <w:rsid w:val="004D002F"/>
    <w:rsid w:val="004D14FB"/>
    <w:rsid w:val="004D1E76"/>
    <w:rsid w:val="004D3599"/>
    <w:rsid w:val="004E0C83"/>
    <w:rsid w:val="004E2416"/>
    <w:rsid w:val="004E483B"/>
    <w:rsid w:val="004E6BE9"/>
    <w:rsid w:val="004F1C88"/>
    <w:rsid w:val="004F519F"/>
    <w:rsid w:val="004F57B8"/>
    <w:rsid w:val="004F6AFB"/>
    <w:rsid w:val="00500A8A"/>
    <w:rsid w:val="00502BC9"/>
    <w:rsid w:val="00502E61"/>
    <w:rsid w:val="00504BB5"/>
    <w:rsid w:val="00504FD9"/>
    <w:rsid w:val="00505B36"/>
    <w:rsid w:val="005103CD"/>
    <w:rsid w:val="00511C26"/>
    <w:rsid w:val="00512433"/>
    <w:rsid w:val="00513B52"/>
    <w:rsid w:val="00514135"/>
    <w:rsid w:val="00514AD1"/>
    <w:rsid w:val="0051529B"/>
    <w:rsid w:val="00516758"/>
    <w:rsid w:val="005170EF"/>
    <w:rsid w:val="00517D56"/>
    <w:rsid w:val="00520B96"/>
    <w:rsid w:val="00522B94"/>
    <w:rsid w:val="00523690"/>
    <w:rsid w:val="00524DCF"/>
    <w:rsid w:val="00524F02"/>
    <w:rsid w:val="00525584"/>
    <w:rsid w:val="00530FF5"/>
    <w:rsid w:val="00531093"/>
    <w:rsid w:val="005327AF"/>
    <w:rsid w:val="00532B67"/>
    <w:rsid w:val="0053351D"/>
    <w:rsid w:val="0053475B"/>
    <w:rsid w:val="00534931"/>
    <w:rsid w:val="005376A7"/>
    <w:rsid w:val="00541B1C"/>
    <w:rsid w:val="0054227E"/>
    <w:rsid w:val="005424CC"/>
    <w:rsid w:val="00546C04"/>
    <w:rsid w:val="0054733E"/>
    <w:rsid w:val="005477F7"/>
    <w:rsid w:val="00547BB2"/>
    <w:rsid w:val="00550A77"/>
    <w:rsid w:val="00550E0E"/>
    <w:rsid w:val="005519A7"/>
    <w:rsid w:val="00552B1B"/>
    <w:rsid w:val="005539F8"/>
    <w:rsid w:val="005545AF"/>
    <w:rsid w:val="00554AC6"/>
    <w:rsid w:val="00555089"/>
    <w:rsid w:val="005557DD"/>
    <w:rsid w:val="00556210"/>
    <w:rsid w:val="00556CB6"/>
    <w:rsid w:val="00556EDA"/>
    <w:rsid w:val="00557D97"/>
    <w:rsid w:val="0056238E"/>
    <w:rsid w:val="00563B50"/>
    <w:rsid w:val="00564902"/>
    <w:rsid w:val="00565AA2"/>
    <w:rsid w:val="00566415"/>
    <w:rsid w:val="00567200"/>
    <w:rsid w:val="00570631"/>
    <w:rsid w:val="00572830"/>
    <w:rsid w:val="00580AB5"/>
    <w:rsid w:val="0058107C"/>
    <w:rsid w:val="00581083"/>
    <w:rsid w:val="00582F4D"/>
    <w:rsid w:val="005835AE"/>
    <w:rsid w:val="00585989"/>
    <w:rsid w:val="00585D54"/>
    <w:rsid w:val="005860CC"/>
    <w:rsid w:val="005910A3"/>
    <w:rsid w:val="00591501"/>
    <w:rsid w:val="005939D8"/>
    <w:rsid w:val="00593CBE"/>
    <w:rsid w:val="0059564A"/>
    <w:rsid w:val="005A0A9A"/>
    <w:rsid w:val="005A2374"/>
    <w:rsid w:val="005A4C79"/>
    <w:rsid w:val="005A6BA6"/>
    <w:rsid w:val="005A7574"/>
    <w:rsid w:val="005A7F9F"/>
    <w:rsid w:val="005B2424"/>
    <w:rsid w:val="005B2DEA"/>
    <w:rsid w:val="005B3389"/>
    <w:rsid w:val="005B485B"/>
    <w:rsid w:val="005B7A51"/>
    <w:rsid w:val="005C02CE"/>
    <w:rsid w:val="005C157E"/>
    <w:rsid w:val="005C1819"/>
    <w:rsid w:val="005C1BE0"/>
    <w:rsid w:val="005C3F89"/>
    <w:rsid w:val="005C42A8"/>
    <w:rsid w:val="005C6218"/>
    <w:rsid w:val="005C67A0"/>
    <w:rsid w:val="005D474F"/>
    <w:rsid w:val="005D7C39"/>
    <w:rsid w:val="005E32A2"/>
    <w:rsid w:val="005E380B"/>
    <w:rsid w:val="005E3D59"/>
    <w:rsid w:val="005E55F6"/>
    <w:rsid w:val="005F2208"/>
    <w:rsid w:val="005F2290"/>
    <w:rsid w:val="005F2C0C"/>
    <w:rsid w:val="005F38A3"/>
    <w:rsid w:val="005F70AA"/>
    <w:rsid w:val="005F710A"/>
    <w:rsid w:val="00600E32"/>
    <w:rsid w:val="00604275"/>
    <w:rsid w:val="006047FA"/>
    <w:rsid w:val="006064D4"/>
    <w:rsid w:val="00607642"/>
    <w:rsid w:val="00607D2E"/>
    <w:rsid w:val="00611E4D"/>
    <w:rsid w:val="00613391"/>
    <w:rsid w:val="00615714"/>
    <w:rsid w:val="006202A8"/>
    <w:rsid w:val="006226A5"/>
    <w:rsid w:val="006228F1"/>
    <w:rsid w:val="006250C3"/>
    <w:rsid w:val="006252AB"/>
    <w:rsid w:val="00626C45"/>
    <w:rsid w:val="0062706A"/>
    <w:rsid w:val="00627EB1"/>
    <w:rsid w:val="00627F81"/>
    <w:rsid w:val="00633CD8"/>
    <w:rsid w:val="00634263"/>
    <w:rsid w:val="006425ED"/>
    <w:rsid w:val="00645A0A"/>
    <w:rsid w:val="00645CA8"/>
    <w:rsid w:val="00645F92"/>
    <w:rsid w:val="00646BD8"/>
    <w:rsid w:val="00650099"/>
    <w:rsid w:val="00650BAF"/>
    <w:rsid w:val="00651AE6"/>
    <w:rsid w:val="00652182"/>
    <w:rsid w:val="006533F9"/>
    <w:rsid w:val="00653CD1"/>
    <w:rsid w:val="00653FE7"/>
    <w:rsid w:val="0065769E"/>
    <w:rsid w:val="00661BF9"/>
    <w:rsid w:val="00667A21"/>
    <w:rsid w:val="006721FE"/>
    <w:rsid w:val="00672957"/>
    <w:rsid w:val="0067348B"/>
    <w:rsid w:val="006762C5"/>
    <w:rsid w:val="00677ABD"/>
    <w:rsid w:val="006807F8"/>
    <w:rsid w:val="00680A64"/>
    <w:rsid w:val="006825A3"/>
    <w:rsid w:val="00682C36"/>
    <w:rsid w:val="00683B8B"/>
    <w:rsid w:val="006842A6"/>
    <w:rsid w:val="006848DE"/>
    <w:rsid w:val="006868DD"/>
    <w:rsid w:val="00690D69"/>
    <w:rsid w:val="0069429E"/>
    <w:rsid w:val="00696444"/>
    <w:rsid w:val="0069767E"/>
    <w:rsid w:val="00697EE7"/>
    <w:rsid w:val="006A265C"/>
    <w:rsid w:val="006A269E"/>
    <w:rsid w:val="006A3140"/>
    <w:rsid w:val="006A3D17"/>
    <w:rsid w:val="006A4090"/>
    <w:rsid w:val="006A4E53"/>
    <w:rsid w:val="006B19AB"/>
    <w:rsid w:val="006B3848"/>
    <w:rsid w:val="006B6077"/>
    <w:rsid w:val="006B68B2"/>
    <w:rsid w:val="006C050E"/>
    <w:rsid w:val="006C0625"/>
    <w:rsid w:val="006C087B"/>
    <w:rsid w:val="006C1655"/>
    <w:rsid w:val="006C177E"/>
    <w:rsid w:val="006C1CBA"/>
    <w:rsid w:val="006C2C95"/>
    <w:rsid w:val="006C339B"/>
    <w:rsid w:val="006C64F7"/>
    <w:rsid w:val="006C6CC7"/>
    <w:rsid w:val="006C7F90"/>
    <w:rsid w:val="006D1E9B"/>
    <w:rsid w:val="006D3011"/>
    <w:rsid w:val="006D42E2"/>
    <w:rsid w:val="006D6E07"/>
    <w:rsid w:val="006D733D"/>
    <w:rsid w:val="006D779E"/>
    <w:rsid w:val="006D788A"/>
    <w:rsid w:val="006E03FB"/>
    <w:rsid w:val="006E0D1D"/>
    <w:rsid w:val="006E2308"/>
    <w:rsid w:val="006E6934"/>
    <w:rsid w:val="006E698A"/>
    <w:rsid w:val="006E7F58"/>
    <w:rsid w:val="006F1418"/>
    <w:rsid w:val="006F1469"/>
    <w:rsid w:val="006F17A8"/>
    <w:rsid w:val="006F1A30"/>
    <w:rsid w:val="006F4661"/>
    <w:rsid w:val="006F53FA"/>
    <w:rsid w:val="006F7865"/>
    <w:rsid w:val="006F7BDE"/>
    <w:rsid w:val="007009E1"/>
    <w:rsid w:val="00702424"/>
    <w:rsid w:val="00702E25"/>
    <w:rsid w:val="00703D1A"/>
    <w:rsid w:val="007044C0"/>
    <w:rsid w:val="00705056"/>
    <w:rsid w:val="007109EC"/>
    <w:rsid w:val="00710D80"/>
    <w:rsid w:val="0071276E"/>
    <w:rsid w:val="007169E5"/>
    <w:rsid w:val="007171DB"/>
    <w:rsid w:val="00717789"/>
    <w:rsid w:val="00717A91"/>
    <w:rsid w:val="00720AEE"/>
    <w:rsid w:val="00722BE3"/>
    <w:rsid w:val="00722FC8"/>
    <w:rsid w:val="007231AC"/>
    <w:rsid w:val="007232BF"/>
    <w:rsid w:val="00730646"/>
    <w:rsid w:val="007316E9"/>
    <w:rsid w:val="0073240E"/>
    <w:rsid w:val="007329C6"/>
    <w:rsid w:val="00735E5C"/>
    <w:rsid w:val="00736B41"/>
    <w:rsid w:val="00736C59"/>
    <w:rsid w:val="00737CF8"/>
    <w:rsid w:val="00741806"/>
    <w:rsid w:val="007434DA"/>
    <w:rsid w:val="0074425D"/>
    <w:rsid w:val="007453C6"/>
    <w:rsid w:val="0074575E"/>
    <w:rsid w:val="00751D4B"/>
    <w:rsid w:val="00752D6A"/>
    <w:rsid w:val="0075723B"/>
    <w:rsid w:val="00760343"/>
    <w:rsid w:val="007620F3"/>
    <w:rsid w:val="00763A62"/>
    <w:rsid w:val="00766D39"/>
    <w:rsid w:val="007707F7"/>
    <w:rsid w:val="00771A8F"/>
    <w:rsid w:val="00771F33"/>
    <w:rsid w:val="00772576"/>
    <w:rsid w:val="007725A8"/>
    <w:rsid w:val="007770B6"/>
    <w:rsid w:val="007810BF"/>
    <w:rsid w:val="00783EEA"/>
    <w:rsid w:val="00783F63"/>
    <w:rsid w:val="0078418F"/>
    <w:rsid w:val="00784477"/>
    <w:rsid w:val="0078715D"/>
    <w:rsid w:val="007901EA"/>
    <w:rsid w:val="007910AD"/>
    <w:rsid w:val="00791B53"/>
    <w:rsid w:val="00794BE3"/>
    <w:rsid w:val="007955A0"/>
    <w:rsid w:val="00795A61"/>
    <w:rsid w:val="007960BD"/>
    <w:rsid w:val="007966AD"/>
    <w:rsid w:val="007A27EF"/>
    <w:rsid w:val="007A48B2"/>
    <w:rsid w:val="007A4AEF"/>
    <w:rsid w:val="007A4E32"/>
    <w:rsid w:val="007A57BE"/>
    <w:rsid w:val="007B5628"/>
    <w:rsid w:val="007B5A61"/>
    <w:rsid w:val="007B72A7"/>
    <w:rsid w:val="007C1B78"/>
    <w:rsid w:val="007D3D70"/>
    <w:rsid w:val="007D62F9"/>
    <w:rsid w:val="007D759B"/>
    <w:rsid w:val="007E1FE8"/>
    <w:rsid w:val="007F10D6"/>
    <w:rsid w:val="007F4900"/>
    <w:rsid w:val="007F4C1B"/>
    <w:rsid w:val="007F5CB6"/>
    <w:rsid w:val="008018B9"/>
    <w:rsid w:val="00802C64"/>
    <w:rsid w:val="0080354F"/>
    <w:rsid w:val="00804227"/>
    <w:rsid w:val="008045B2"/>
    <w:rsid w:val="00804CF4"/>
    <w:rsid w:val="0081273A"/>
    <w:rsid w:val="008128E1"/>
    <w:rsid w:val="00815FA1"/>
    <w:rsid w:val="00816EA6"/>
    <w:rsid w:val="00817C94"/>
    <w:rsid w:val="00820577"/>
    <w:rsid w:val="0082217D"/>
    <w:rsid w:val="00822856"/>
    <w:rsid w:val="00822D90"/>
    <w:rsid w:val="008270F1"/>
    <w:rsid w:val="00827184"/>
    <w:rsid w:val="00831ADF"/>
    <w:rsid w:val="00834697"/>
    <w:rsid w:val="00834F5E"/>
    <w:rsid w:val="00843749"/>
    <w:rsid w:val="0084392A"/>
    <w:rsid w:val="0084504B"/>
    <w:rsid w:val="008450C5"/>
    <w:rsid w:val="008469C0"/>
    <w:rsid w:val="00847911"/>
    <w:rsid w:val="00847A24"/>
    <w:rsid w:val="00850784"/>
    <w:rsid w:val="00850B06"/>
    <w:rsid w:val="00853843"/>
    <w:rsid w:val="00853E78"/>
    <w:rsid w:val="00856C55"/>
    <w:rsid w:val="008627DA"/>
    <w:rsid w:val="00862A0B"/>
    <w:rsid w:val="008704F4"/>
    <w:rsid w:val="00871AB4"/>
    <w:rsid w:val="00872F3F"/>
    <w:rsid w:val="00873170"/>
    <w:rsid w:val="00874FCC"/>
    <w:rsid w:val="00877303"/>
    <w:rsid w:val="00877F27"/>
    <w:rsid w:val="008801A4"/>
    <w:rsid w:val="00882014"/>
    <w:rsid w:val="0088496D"/>
    <w:rsid w:val="00890614"/>
    <w:rsid w:val="008916E6"/>
    <w:rsid w:val="00891732"/>
    <w:rsid w:val="008925DA"/>
    <w:rsid w:val="00892CBB"/>
    <w:rsid w:val="00894AFA"/>
    <w:rsid w:val="00895175"/>
    <w:rsid w:val="00895389"/>
    <w:rsid w:val="0089542E"/>
    <w:rsid w:val="00896505"/>
    <w:rsid w:val="00896DF4"/>
    <w:rsid w:val="00897A87"/>
    <w:rsid w:val="008A00E0"/>
    <w:rsid w:val="008A04B2"/>
    <w:rsid w:val="008A1598"/>
    <w:rsid w:val="008A19DE"/>
    <w:rsid w:val="008A1E8D"/>
    <w:rsid w:val="008A38A4"/>
    <w:rsid w:val="008A3DD3"/>
    <w:rsid w:val="008A5735"/>
    <w:rsid w:val="008A670B"/>
    <w:rsid w:val="008B28CD"/>
    <w:rsid w:val="008B34B4"/>
    <w:rsid w:val="008B3E75"/>
    <w:rsid w:val="008B52CE"/>
    <w:rsid w:val="008B5692"/>
    <w:rsid w:val="008C0A8A"/>
    <w:rsid w:val="008C0EEC"/>
    <w:rsid w:val="008C17A9"/>
    <w:rsid w:val="008C26B2"/>
    <w:rsid w:val="008C2ADF"/>
    <w:rsid w:val="008C2F40"/>
    <w:rsid w:val="008C31DC"/>
    <w:rsid w:val="008C33D3"/>
    <w:rsid w:val="008C3932"/>
    <w:rsid w:val="008C5267"/>
    <w:rsid w:val="008C5A20"/>
    <w:rsid w:val="008D069E"/>
    <w:rsid w:val="008D1A5A"/>
    <w:rsid w:val="008D211C"/>
    <w:rsid w:val="008D2C47"/>
    <w:rsid w:val="008D363E"/>
    <w:rsid w:val="008D3A89"/>
    <w:rsid w:val="008D3D3E"/>
    <w:rsid w:val="008D4045"/>
    <w:rsid w:val="008D593A"/>
    <w:rsid w:val="008D6126"/>
    <w:rsid w:val="008D7C68"/>
    <w:rsid w:val="008D7F92"/>
    <w:rsid w:val="008E0A0C"/>
    <w:rsid w:val="008E1C57"/>
    <w:rsid w:val="008E3278"/>
    <w:rsid w:val="008E389E"/>
    <w:rsid w:val="008E4B01"/>
    <w:rsid w:val="008E513D"/>
    <w:rsid w:val="008E522B"/>
    <w:rsid w:val="008E5713"/>
    <w:rsid w:val="008E57FC"/>
    <w:rsid w:val="008E6BB7"/>
    <w:rsid w:val="008F4195"/>
    <w:rsid w:val="008F6BDF"/>
    <w:rsid w:val="00900248"/>
    <w:rsid w:val="00902372"/>
    <w:rsid w:val="00902889"/>
    <w:rsid w:val="00903499"/>
    <w:rsid w:val="009035ED"/>
    <w:rsid w:val="00904515"/>
    <w:rsid w:val="00904C03"/>
    <w:rsid w:val="00905273"/>
    <w:rsid w:val="0090533A"/>
    <w:rsid w:val="00906C14"/>
    <w:rsid w:val="00912019"/>
    <w:rsid w:val="009124B5"/>
    <w:rsid w:val="00912769"/>
    <w:rsid w:val="009129D7"/>
    <w:rsid w:val="00912C34"/>
    <w:rsid w:val="00914F0E"/>
    <w:rsid w:val="0091581E"/>
    <w:rsid w:val="00917948"/>
    <w:rsid w:val="0092071F"/>
    <w:rsid w:val="00921E6F"/>
    <w:rsid w:val="00922843"/>
    <w:rsid w:val="009252CE"/>
    <w:rsid w:val="0092582D"/>
    <w:rsid w:val="00927B00"/>
    <w:rsid w:val="00927C91"/>
    <w:rsid w:val="0093258D"/>
    <w:rsid w:val="009325A2"/>
    <w:rsid w:val="00933E10"/>
    <w:rsid w:val="009344F9"/>
    <w:rsid w:val="00935A8A"/>
    <w:rsid w:val="00943032"/>
    <w:rsid w:val="00943D31"/>
    <w:rsid w:val="00943D5E"/>
    <w:rsid w:val="0094527A"/>
    <w:rsid w:val="0094747C"/>
    <w:rsid w:val="00947EB8"/>
    <w:rsid w:val="009501BF"/>
    <w:rsid w:val="00952437"/>
    <w:rsid w:val="00953624"/>
    <w:rsid w:val="00953651"/>
    <w:rsid w:val="00956FC8"/>
    <w:rsid w:val="009607ED"/>
    <w:rsid w:val="009611C8"/>
    <w:rsid w:val="00964DAF"/>
    <w:rsid w:val="009669F9"/>
    <w:rsid w:val="00967322"/>
    <w:rsid w:val="00970D76"/>
    <w:rsid w:val="009727A9"/>
    <w:rsid w:val="00974035"/>
    <w:rsid w:val="00974C70"/>
    <w:rsid w:val="00975A98"/>
    <w:rsid w:val="0098013D"/>
    <w:rsid w:val="00981B95"/>
    <w:rsid w:val="00981CD0"/>
    <w:rsid w:val="0098232B"/>
    <w:rsid w:val="009833CA"/>
    <w:rsid w:val="00983E2A"/>
    <w:rsid w:val="0098407E"/>
    <w:rsid w:val="00984131"/>
    <w:rsid w:val="0098451C"/>
    <w:rsid w:val="00985167"/>
    <w:rsid w:val="009864DE"/>
    <w:rsid w:val="00990C56"/>
    <w:rsid w:val="00990D76"/>
    <w:rsid w:val="009913FB"/>
    <w:rsid w:val="009927D8"/>
    <w:rsid w:val="00994683"/>
    <w:rsid w:val="00994BF7"/>
    <w:rsid w:val="00996908"/>
    <w:rsid w:val="009A0FF1"/>
    <w:rsid w:val="009A24EB"/>
    <w:rsid w:val="009A40B3"/>
    <w:rsid w:val="009A41E3"/>
    <w:rsid w:val="009A47B9"/>
    <w:rsid w:val="009A48C8"/>
    <w:rsid w:val="009A6305"/>
    <w:rsid w:val="009A74E4"/>
    <w:rsid w:val="009B0C82"/>
    <w:rsid w:val="009B150A"/>
    <w:rsid w:val="009B22F8"/>
    <w:rsid w:val="009B2C20"/>
    <w:rsid w:val="009B6298"/>
    <w:rsid w:val="009B65E3"/>
    <w:rsid w:val="009B6B94"/>
    <w:rsid w:val="009B7077"/>
    <w:rsid w:val="009B7A05"/>
    <w:rsid w:val="009C2484"/>
    <w:rsid w:val="009C4956"/>
    <w:rsid w:val="009C4964"/>
    <w:rsid w:val="009C59C3"/>
    <w:rsid w:val="009C6778"/>
    <w:rsid w:val="009C6CF6"/>
    <w:rsid w:val="009C787F"/>
    <w:rsid w:val="009D1071"/>
    <w:rsid w:val="009D3583"/>
    <w:rsid w:val="009D5469"/>
    <w:rsid w:val="009D7D94"/>
    <w:rsid w:val="009E253A"/>
    <w:rsid w:val="009E2D80"/>
    <w:rsid w:val="009E42B7"/>
    <w:rsid w:val="009E5AF1"/>
    <w:rsid w:val="009E6598"/>
    <w:rsid w:val="009E7259"/>
    <w:rsid w:val="009F30C7"/>
    <w:rsid w:val="00A049E0"/>
    <w:rsid w:val="00A138A4"/>
    <w:rsid w:val="00A13C25"/>
    <w:rsid w:val="00A14E97"/>
    <w:rsid w:val="00A15FBE"/>
    <w:rsid w:val="00A1630E"/>
    <w:rsid w:val="00A16ACF"/>
    <w:rsid w:val="00A170C2"/>
    <w:rsid w:val="00A204C3"/>
    <w:rsid w:val="00A20AC4"/>
    <w:rsid w:val="00A22A3D"/>
    <w:rsid w:val="00A23F97"/>
    <w:rsid w:val="00A25EBB"/>
    <w:rsid w:val="00A30BF5"/>
    <w:rsid w:val="00A3185D"/>
    <w:rsid w:val="00A37550"/>
    <w:rsid w:val="00A37844"/>
    <w:rsid w:val="00A42545"/>
    <w:rsid w:val="00A42DE5"/>
    <w:rsid w:val="00A43BAE"/>
    <w:rsid w:val="00A45BBB"/>
    <w:rsid w:val="00A47AA2"/>
    <w:rsid w:val="00A510FA"/>
    <w:rsid w:val="00A524E4"/>
    <w:rsid w:val="00A524ED"/>
    <w:rsid w:val="00A53736"/>
    <w:rsid w:val="00A53A59"/>
    <w:rsid w:val="00A53B61"/>
    <w:rsid w:val="00A550A9"/>
    <w:rsid w:val="00A600B9"/>
    <w:rsid w:val="00A6158D"/>
    <w:rsid w:val="00A66D10"/>
    <w:rsid w:val="00A71BB4"/>
    <w:rsid w:val="00A72B77"/>
    <w:rsid w:val="00A736AD"/>
    <w:rsid w:val="00A745B5"/>
    <w:rsid w:val="00A74B31"/>
    <w:rsid w:val="00A759AB"/>
    <w:rsid w:val="00A75E50"/>
    <w:rsid w:val="00A769AD"/>
    <w:rsid w:val="00A800F2"/>
    <w:rsid w:val="00A808FD"/>
    <w:rsid w:val="00A83AB0"/>
    <w:rsid w:val="00A862A0"/>
    <w:rsid w:val="00A869AD"/>
    <w:rsid w:val="00A87F68"/>
    <w:rsid w:val="00A927D5"/>
    <w:rsid w:val="00A94FEF"/>
    <w:rsid w:val="00A95179"/>
    <w:rsid w:val="00A9521C"/>
    <w:rsid w:val="00AA1321"/>
    <w:rsid w:val="00AA253A"/>
    <w:rsid w:val="00AA30DA"/>
    <w:rsid w:val="00AA3BC3"/>
    <w:rsid w:val="00AA3F0B"/>
    <w:rsid w:val="00AB1AC0"/>
    <w:rsid w:val="00AB20A2"/>
    <w:rsid w:val="00AB3364"/>
    <w:rsid w:val="00AB33FA"/>
    <w:rsid w:val="00AB3D4B"/>
    <w:rsid w:val="00AB4DB1"/>
    <w:rsid w:val="00AB4F89"/>
    <w:rsid w:val="00AB548B"/>
    <w:rsid w:val="00AB5BE6"/>
    <w:rsid w:val="00AB6612"/>
    <w:rsid w:val="00AB67B3"/>
    <w:rsid w:val="00AB798C"/>
    <w:rsid w:val="00AC25F2"/>
    <w:rsid w:val="00AC3DE7"/>
    <w:rsid w:val="00AC4104"/>
    <w:rsid w:val="00AC5066"/>
    <w:rsid w:val="00AC6CD6"/>
    <w:rsid w:val="00AC7706"/>
    <w:rsid w:val="00AD0FAE"/>
    <w:rsid w:val="00AD2A67"/>
    <w:rsid w:val="00AD2DDB"/>
    <w:rsid w:val="00AD40C8"/>
    <w:rsid w:val="00AD41A6"/>
    <w:rsid w:val="00AD4869"/>
    <w:rsid w:val="00AD492C"/>
    <w:rsid w:val="00AD6EB4"/>
    <w:rsid w:val="00AD758F"/>
    <w:rsid w:val="00AD7A20"/>
    <w:rsid w:val="00AE1899"/>
    <w:rsid w:val="00AE302A"/>
    <w:rsid w:val="00AE4B91"/>
    <w:rsid w:val="00AE591E"/>
    <w:rsid w:val="00AE7FA9"/>
    <w:rsid w:val="00AF060D"/>
    <w:rsid w:val="00AF1FFB"/>
    <w:rsid w:val="00AF20B5"/>
    <w:rsid w:val="00AF2692"/>
    <w:rsid w:val="00AF34C0"/>
    <w:rsid w:val="00AF4677"/>
    <w:rsid w:val="00AF7729"/>
    <w:rsid w:val="00B04CCD"/>
    <w:rsid w:val="00B054D6"/>
    <w:rsid w:val="00B05DC2"/>
    <w:rsid w:val="00B06C73"/>
    <w:rsid w:val="00B07CEC"/>
    <w:rsid w:val="00B10FF6"/>
    <w:rsid w:val="00B1253C"/>
    <w:rsid w:val="00B12693"/>
    <w:rsid w:val="00B1352C"/>
    <w:rsid w:val="00B13C87"/>
    <w:rsid w:val="00B143A2"/>
    <w:rsid w:val="00B14A35"/>
    <w:rsid w:val="00B15E34"/>
    <w:rsid w:val="00B16A44"/>
    <w:rsid w:val="00B17A4E"/>
    <w:rsid w:val="00B2108A"/>
    <w:rsid w:val="00B22ACE"/>
    <w:rsid w:val="00B26380"/>
    <w:rsid w:val="00B3048E"/>
    <w:rsid w:val="00B3285C"/>
    <w:rsid w:val="00B33496"/>
    <w:rsid w:val="00B335F2"/>
    <w:rsid w:val="00B34D63"/>
    <w:rsid w:val="00B34F38"/>
    <w:rsid w:val="00B36A8F"/>
    <w:rsid w:val="00B37C3F"/>
    <w:rsid w:val="00B44FE0"/>
    <w:rsid w:val="00B50403"/>
    <w:rsid w:val="00B50E19"/>
    <w:rsid w:val="00B51AF1"/>
    <w:rsid w:val="00B52595"/>
    <w:rsid w:val="00B54887"/>
    <w:rsid w:val="00B56C26"/>
    <w:rsid w:val="00B60085"/>
    <w:rsid w:val="00B60BEF"/>
    <w:rsid w:val="00B61250"/>
    <w:rsid w:val="00B61C14"/>
    <w:rsid w:val="00B62964"/>
    <w:rsid w:val="00B62C5E"/>
    <w:rsid w:val="00B635AA"/>
    <w:rsid w:val="00B649D3"/>
    <w:rsid w:val="00B64B34"/>
    <w:rsid w:val="00B658C7"/>
    <w:rsid w:val="00B66820"/>
    <w:rsid w:val="00B67041"/>
    <w:rsid w:val="00B73167"/>
    <w:rsid w:val="00B734A8"/>
    <w:rsid w:val="00B74DF1"/>
    <w:rsid w:val="00B74F51"/>
    <w:rsid w:val="00B7767C"/>
    <w:rsid w:val="00B81120"/>
    <w:rsid w:val="00B83630"/>
    <w:rsid w:val="00B847A4"/>
    <w:rsid w:val="00B84C33"/>
    <w:rsid w:val="00B851AB"/>
    <w:rsid w:val="00B85CE6"/>
    <w:rsid w:val="00B85FA0"/>
    <w:rsid w:val="00B86BC9"/>
    <w:rsid w:val="00B876B8"/>
    <w:rsid w:val="00B9029E"/>
    <w:rsid w:val="00B906DB"/>
    <w:rsid w:val="00B91FC7"/>
    <w:rsid w:val="00B92821"/>
    <w:rsid w:val="00B92AC6"/>
    <w:rsid w:val="00B953BF"/>
    <w:rsid w:val="00BA042A"/>
    <w:rsid w:val="00BA086A"/>
    <w:rsid w:val="00BA0A0A"/>
    <w:rsid w:val="00BA0E49"/>
    <w:rsid w:val="00BA255D"/>
    <w:rsid w:val="00BA2FE2"/>
    <w:rsid w:val="00BA38EF"/>
    <w:rsid w:val="00BA39B9"/>
    <w:rsid w:val="00BA5E18"/>
    <w:rsid w:val="00BA66E9"/>
    <w:rsid w:val="00BA6854"/>
    <w:rsid w:val="00BB05BC"/>
    <w:rsid w:val="00BB19DF"/>
    <w:rsid w:val="00BB3C29"/>
    <w:rsid w:val="00BC0226"/>
    <w:rsid w:val="00BC080D"/>
    <w:rsid w:val="00BC1203"/>
    <w:rsid w:val="00BC169E"/>
    <w:rsid w:val="00BC28A5"/>
    <w:rsid w:val="00BC5D81"/>
    <w:rsid w:val="00BC75F6"/>
    <w:rsid w:val="00BC7A33"/>
    <w:rsid w:val="00BC7D5E"/>
    <w:rsid w:val="00BC7DB3"/>
    <w:rsid w:val="00BD1A74"/>
    <w:rsid w:val="00BD3891"/>
    <w:rsid w:val="00BD7C79"/>
    <w:rsid w:val="00BE275C"/>
    <w:rsid w:val="00BE3A4C"/>
    <w:rsid w:val="00BE445C"/>
    <w:rsid w:val="00BE5970"/>
    <w:rsid w:val="00BE60E1"/>
    <w:rsid w:val="00BE66E1"/>
    <w:rsid w:val="00BE7A6B"/>
    <w:rsid w:val="00BF1BD9"/>
    <w:rsid w:val="00BF2241"/>
    <w:rsid w:val="00BF6B9F"/>
    <w:rsid w:val="00C01A35"/>
    <w:rsid w:val="00C03128"/>
    <w:rsid w:val="00C0326F"/>
    <w:rsid w:val="00C062D4"/>
    <w:rsid w:val="00C06743"/>
    <w:rsid w:val="00C07576"/>
    <w:rsid w:val="00C100D0"/>
    <w:rsid w:val="00C1047F"/>
    <w:rsid w:val="00C10FF5"/>
    <w:rsid w:val="00C12DC4"/>
    <w:rsid w:val="00C13D5C"/>
    <w:rsid w:val="00C15F38"/>
    <w:rsid w:val="00C20535"/>
    <w:rsid w:val="00C21CEF"/>
    <w:rsid w:val="00C21E91"/>
    <w:rsid w:val="00C229D0"/>
    <w:rsid w:val="00C23C62"/>
    <w:rsid w:val="00C24AAF"/>
    <w:rsid w:val="00C24B1F"/>
    <w:rsid w:val="00C255F7"/>
    <w:rsid w:val="00C27006"/>
    <w:rsid w:val="00C31AEA"/>
    <w:rsid w:val="00C321F7"/>
    <w:rsid w:val="00C32FB0"/>
    <w:rsid w:val="00C34AF7"/>
    <w:rsid w:val="00C35C02"/>
    <w:rsid w:val="00C365B1"/>
    <w:rsid w:val="00C40EE7"/>
    <w:rsid w:val="00C410D2"/>
    <w:rsid w:val="00C418BC"/>
    <w:rsid w:val="00C42879"/>
    <w:rsid w:val="00C42C2C"/>
    <w:rsid w:val="00C42C86"/>
    <w:rsid w:val="00C45217"/>
    <w:rsid w:val="00C45B17"/>
    <w:rsid w:val="00C45E24"/>
    <w:rsid w:val="00C46798"/>
    <w:rsid w:val="00C4752B"/>
    <w:rsid w:val="00C4799D"/>
    <w:rsid w:val="00C50687"/>
    <w:rsid w:val="00C51209"/>
    <w:rsid w:val="00C51355"/>
    <w:rsid w:val="00C51634"/>
    <w:rsid w:val="00C54AC2"/>
    <w:rsid w:val="00C54C6B"/>
    <w:rsid w:val="00C569F7"/>
    <w:rsid w:val="00C60C9D"/>
    <w:rsid w:val="00C63191"/>
    <w:rsid w:val="00C63F4B"/>
    <w:rsid w:val="00C65A50"/>
    <w:rsid w:val="00C66370"/>
    <w:rsid w:val="00C67EF8"/>
    <w:rsid w:val="00C702EA"/>
    <w:rsid w:val="00C709F0"/>
    <w:rsid w:val="00C71234"/>
    <w:rsid w:val="00C7354B"/>
    <w:rsid w:val="00C74712"/>
    <w:rsid w:val="00C748B9"/>
    <w:rsid w:val="00C749CB"/>
    <w:rsid w:val="00C76C00"/>
    <w:rsid w:val="00C775E9"/>
    <w:rsid w:val="00C8026C"/>
    <w:rsid w:val="00C81766"/>
    <w:rsid w:val="00C835B5"/>
    <w:rsid w:val="00C859EE"/>
    <w:rsid w:val="00C90A71"/>
    <w:rsid w:val="00C92A03"/>
    <w:rsid w:val="00C92EB1"/>
    <w:rsid w:val="00C931C2"/>
    <w:rsid w:val="00C93C89"/>
    <w:rsid w:val="00C95090"/>
    <w:rsid w:val="00C95F99"/>
    <w:rsid w:val="00C979AF"/>
    <w:rsid w:val="00CA03FC"/>
    <w:rsid w:val="00CA1468"/>
    <w:rsid w:val="00CA2A43"/>
    <w:rsid w:val="00CA3A34"/>
    <w:rsid w:val="00CA4367"/>
    <w:rsid w:val="00CA4388"/>
    <w:rsid w:val="00CA498E"/>
    <w:rsid w:val="00CA5247"/>
    <w:rsid w:val="00CA5814"/>
    <w:rsid w:val="00CA5976"/>
    <w:rsid w:val="00CA7251"/>
    <w:rsid w:val="00CA7AC5"/>
    <w:rsid w:val="00CB0096"/>
    <w:rsid w:val="00CB0CE0"/>
    <w:rsid w:val="00CB10CD"/>
    <w:rsid w:val="00CB27AF"/>
    <w:rsid w:val="00CB28AB"/>
    <w:rsid w:val="00CB2BB8"/>
    <w:rsid w:val="00CB41F0"/>
    <w:rsid w:val="00CB5ADA"/>
    <w:rsid w:val="00CB68DC"/>
    <w:rsid w:val="00CC0A2B"/>
    <w:rsid w:val="00CC4902"/>
    <w:rsid w:val="00CC4F08"/>
    <w:rsid w:val="00CC5E35"/>
    <w:rsid w:val="00CC7690"/>
    <w:rsid w:val="00CD189B"/>
    <w:rsid w:val="00CD18C0"/>
    <w:rsid w:val="00CD1BDF"/>
    <w:rsid w:val="00CD2425"/>
    <w:rsid w:val="00CD2D3E"/>
    <w:rsid w:val="00CD3281"/>
    <w:rsid w:val="00CE12B7"/>
    <w:rsid w:val="00CE3200"/>
    <w:rsid w:val="00CE434E"/>
    <w:rsid w:val="00CE5581"/>
    <w:rsid w:val="00CE6AA8"/>
    <w:rsid w:val="00CE76D3"/>
    <w:rsid w:val="00CF3F9B"/>
    <w:rsid w:val="00D01FF0"/>
    <w:rsid w:val="00D03470"/>
    <w:rsid w:val="00D04A74"/>
    <w:rsid w:val="00D05F0D"/>
    <w:rsid w:val="00D0601C"/>
    <w:rsid w:val="00D0759F"/>
    <w:rsid w:val="00D07FAB"/>
    <w:rsid w:val="00D10F85"/>
    <w:rsid w:val="00D11103"/>
    <w:rsid w:val="00D14731"/>
    <w:rsid w:val="00D14E4B"/>
    <w:rsid w:val="00D15BB7"/>
    <w:rsid w:val="00D1650B"/>
    <w:rsid w:val="00D17B4E"/>
    <w:rsid w:val="00D20C18"/>
    <w:rsid w:val="00D211A6"/>
    <w:rsid w:val="00D23964"/>
    <w:rsid w:val="00D24DA5"/>
    <w:rsid w:val="00D25523"/>
    <w:rsid w:val="00D275FF"/>
    <w:rsid w:val="00D277EB"/>
    <w:rsid w:val="00D27A87"/>
    <w:rsid w:val="00D318E6"/>
    <w:rsid w:val="00D35389"/>
    <w:rsid w:val="00D35391"/>
    <w:rsid w:val="00D35417"/>
    <w:rsid w:val="00D36045"/>
    <w:rsid w:val="00D3686C"/>
    <w:rsid w:val="00D369D3"/>
    <w:rsid w:val="00D37EC4"/>
    <w:rsid w:val="00D4323E"/>
    <w:rsid w:val="00D44F50"/>
    <w:rsid w:val="00D5054A"/>
    <w:rsid w:val="00D50B38"/>
    <w:rsid w:val="00D51734"/>
    <w:rsid w:val="00D523F0"/>
    <w:rsid w:val="00D538E0"/>
    <w:rsid w:val="00D57070"/>
    <w:rsid w:val="00D624CE"/>
    <w:rsid w:val="00D62A07"/>
    <w:rsid w:val="00D66639"/>
    <w:rsid w:val="00D671B6"/>
    <w:rsid w:val="00D7213A"/>
    <w:rsid w:val="00D72452"/>
    <w:rsid w:val="00D7362C"/>
    <w:rsid w:val="00D7452A"/>
    <w:rsid w:val="00D747BE"/>
    <w:rsid w:val="00D7598A"/>
    <w:rsid w:val="00D76C62"/>
    <w:rsid w:val="00D8748B"/>
    <w:rsid w:val="00D900C6"/>
    <w:rsid w:val="00D9114F"/>
    <w:rsid w:val="00D92277"/>
    <w:rsid w:val="00D9277C"/>
    <w:rsid w:val="00D93895"/>
    <w:rsid w:val="00D94249"/>
    <w:rsid w:val="00D9574F"/>
    <w:rsid w:val="00D973C7"/>
    <w:rsid w:val="00DA27B9"/>
    <w:rsid w:val="00DA2BBA"/>
    <w:rsid w:val="00DA3327"/>
    <w:rsid w:val="00DA3663"/>
    <w:rsid w:val="00DA4564"/>
    <w:rsid w:val="00DA4D15"/>
    <w:rsid w:val="00DA5A3A"/>
    <w:rsid w:val="00DA77AB"/>
    <w:rsid w:val="00DB0979"/>
    <w:rsid w:val="00DB1C2A"/>
    <w:rsid w:val="00DB1C2E"/>
    <w:rsid w:val="00DB1F38"/>
    <w:rsid w:val="00DB246D"/>
    <w:rsid w:val="00DB2CC3"/>
    <w:rsid w:val="00DB5766"/>
    <w:rsid w:val="00DB5CA8"/>
    <w:rsid w:val="00DB5FF6"/>
    <w:rsid w:val="00DB615D"/>
    <w:rsid w:val="00DB723C"/>
    <w:rsid w:val="00DC05AB"/>
    <w:rsid w:val="00DC06CC"/>
    <w:rsid w:val="00DC1330"/>
    <w:rsid w:val="00DC17EB"/>
    <w:rsid w:val="00DC3A83"/>
    <w:rsid w:val="00DC3FB0"/>
    <w:rsid w:val="00DC4499"/>
    <w:rsid w:val="00DC4A84"/>
    <w:rsid w:val="00DC5919"/>
    <w:rsid w:val="00DC5D2D"/>
    <w:rsid w:val="00DC6FE1"/>
    <w:rsid w:val="00DD029C"/>
    <w:rsid w:val="00DD0330"/>
    <w:rsid w:val="00DD376D"/>
    <w:rsid w:val="00DD72B0"/>
    <w:rsid w:val="00DE0065"/>
    <w:rsid w:val="00DE0440"/>
    <w:rsid w:val="00DE0668"/>
    <w:rsid w:val="00DE0D6E"/>
    <w:rsid w:val="00DE1C64"/>
    <w:rsid w:val="00DE2936"/>
    <w:rsid w:val="00DE4A70"/>
    <w:rsid w:val="00DE4C17"/>
    <w:rsid w:val="00DE6DFD"/>
    <w:rsid w:val="00DE6E08"/>
    <w:rsid w:val="00DE6FDE"/>
    <w:rsid w:val="00DF01BA"/>
    <w:rsid w:val="00DF0C82"/>
    <w:rsid w:val="00DF1E0F"/>
    <w:rsid w:val="00DF6C6B"/>
    <w:rsid w:val="00DF70D7"/>
    <w:rsid w:val="00DF7267"/>
    <w:rsid w:val="00E01D2A"/>
    <w:rsid w:val="00E032DB"/>
    <w:rsid w:val="00E0511D"/>
    <w:rsid w:val="00E05431"/>
    <w:rsid w:val="00E073C4"/>
    <w:rsid w:val="00E07919"/>
    <w:rsid w:val="00E111AD"/>
    <w:rsid w:val="00E12C0F"/>
    <w:rsid w:val="00E143FE"/>
    <w:rsid w:val="00E1624D"/>
    <w:rsid w:val="00E16C25"/>
    <w:rsid w:val="00E20127"/>
    <w:rsid w:val="00E2051F"/>
    <w:rsid w:val="00E21699"/>
    <w:rsid w:val="00E22506"/>
    <w:rsid w:val="00E236BC"/>
    <w:rsid w:val="00E23D7E"/>
    <w:rsid w:val="00E255E5"/>
    <w:rsid w:val="00E25886"/>
    <w:rsid w:val="00E269D4"/>
    <w:rsid w:val="00E3287F"/>
    <w:rsid w:val="00E33915"/>
    <w:rsid w:val="00E3506C"/>
    <w:rsid w:val="00E35203"/>
    <w:rsid w:val="00E3538F"/>
    <w:rsid w:val="00E35596"/>
    <w:rsid w:val="00E3564A"/>
    <w:rsid w:val="00E359B3"/>
    <w:rsid w:val="00E37BFE"/>
    <w:rsid w:val="00E40E08"/>
    <w:rsid w:val="00E41169"/>
    <w:rsid w:val="00E41547"/>
    <w:rsid w:val="00E42C9F"/>
    <w:rsid w:val="00E43F0B"/>
    <w:rsid w:val="00E444B4"/>
    <w:rsid w:val="00E44835"/>
    <w:rsid w:val="00E46607"/>
    <w:rsid w:val="00E471FA"/>
    <w:rsid w:val="00E4770D"/>
    <w:rsid w:val="00E5030C"/>
    <w:rsid w:val="00E524C8"/>
    <w:rsid w:val="00E542F1"/>
    <w:rsid w:val="00E574F6"/>
    <w:rsid w:val="00E5762B"/>
    <w:rsid w:val="00E61598"/>
    <w:rsid w:val="00E62B84"/>
    <w:rsid w:val="00E62D30"/>
    <w:rsid w:val="00E6367C"/>
    <w:rsid w:val="00E6693C"/>
    <w:rsid w:val="00E711F6"/>
    <w:rsid w:val="00E731D7"/>
    <w:rsid w:val="00E73ADC"/>
    <w:rsid w:val="00E7566B"/>
    <w:rsid w:val="00E75C71"/>
    <w:rsid w:val="00E76444"/>
    <w:rsid w:val="00E76474"/>
    <w:rsid w:val="00E77127"/>
    <w:rsid w:val="00E77AEE"/>
    <w:rsid w:val="00E80569"/>
    <w:rsid w:val="00E80BFB"/>
    <w:rsid w:val="00E826FB"/>
    <w:rsid w:val="00E83EF6"/>
    <w:rsid w:val="00E84CD1"/>
    <w:rsid w:val="00E870FF"/>
    <w:rsid w:val="00E9079E"/>
    <w:rsid w:val="00E90929"/>
    <w:rsid w:val="00E912BB"/>
    <w:rsid w:val="00E91833"/>
    <w:rsid w:val="00E9333C"/>
    <w:rsid w:val="00E95180"/>
    <w:rsid w:val="00E95F56"/>
    <w:rsid w:val="00EA0868"/>
    <w:rsid w:val="00EA0967"/>
    <w:rsid w:val="00EA0A08"/>
    <w:rsid w:val="00EA0BD0"/>
    <w:rsid w:val="00EA0F35"/>
    <w:rsid w:val="00EA1D44"/>
    <w:rsid w:val="00EA325B"/>
    <w:rsid w:val="00EA3AA3"/>
    <w:rsid w:val="00EA4353"/>
    <w:rsid w:val="00EA6EDF"/>
    <w:rsid w:val="00EB09C2"/>
    <w:rsid w:val="00EB0EDB"/>
    <w:rsid w:val="00EB290E"/>
    <w:rsid w:val="00EB2F0A"/>
    <w:rsid w:val="00EB31B6"/>
    <w:rsid w:val="00EB394C"/>
    <w:rsid w:val="00EB480D"/>
    <w:rsid w:val="00EC06F3"/>
    <w:rsid w:val="00EC2CB2"/>
    <w:rsid w:val="00EC3271"/>
    <w:rsid w:val="00EC3616"/>
    <w:rsid w:val="00EC401E"/>
    <w:rsid w:val="00EC45EC"/>
    <w:rsid w:val="00EC5A65"/>
    <w:rsid w:val="00EC612A"/>
    <w:rsid w:val="00EC649E"/>
    <w:rsid w:val="00ED0148"/>
    <w:rsid w:val="00ED6067"/>
    <w:rsid w:val="00ED69BD"/>
    <w:rsid w:val="00EE0D83"/>
    <w:rsid w:val="00EE1F7B"/>
    <w:rsid w:val="00EE2C90"/>
    <w:rsid w:val="00EE2DCE"/>
    <w:rsid w:val="00EE32CD"/>
    <w:rsid w:val="00EE3496"/>
    <w:rsid w:val="00EE5076"/>
    <w:rsid w:val="00EE5668"/>
    <w:rsid w:val="00EE6B77"/>
    <w:rsid w:val="00EF0112"/>
    <w:rsid w:val="00EF16A9"/>
    <w:rsid w:val="00EF2651"/>
    <w:rsid w:val="00EF344E"/>
    <w:rsid w:val="00EF4656"/>
    <w:rsid w:val="00EF4C70"/>
    <w:rsid w:val="00EF6C07"/>
    <w:rsid w:val="00EF6CDE"/>
    <w:rsid w:val="00F006E9"/>
    <w:rsid w:val="00F00D22"/>
    <w:rsid w:val="00F02AF4"/>
    <w:rsid w:val="00F02EDA"/>
    <w:rsid w:val="00F0355C"/>
    <w:rsid w:val="00F05E29"/>
    <w:rsid w:val="00F0736E"/>
    <w:rsid w:val="00F07BED"/>
    <w:rsid w:val="00F07DD8"/>
    <w:rsid w:val="00F11369"/>
    <w:rsid w:val="00F14250"/>
    <w:rsid w:val="00F156C3"/>
    <w:rsid w:val="00F16CEA"/>
    <w:rsid w:val="00F21020"/>
    <w:rsid w:val="00F22867"/>
    <w:rsid w:val="00F23DA0"/>
    <w:rsid w:val="00F254C1"/>
    <w:rsid w:val="00F30CB1"/>
    <w:rsid w:val="00F32B28"/>
    <w:rsid w:val="00F32E3A"/>
    <w:rsid w:val="00F34C22"/>
    <w:rsid w:val="00F362D2"/>
    <w:rsid w:val="00F36F53"/>
    <w:rsid w:val="00F37A46"/>
    <w:rsid w:val="00F408D2"/>
    <w:rsid w:val="00F41D1C"/>
    <w:rsid w:val="00F44425"/>
    <w:rsid w:val="00F44D6E"/>
    <w:rsid w:val="00F44F43"/>
    <w:rsid w:val="00F468A9"/>
    <w:rsid w:val="00F51046"/>
    <w:rsid w:val="00F51819"/>
    <w:rsid w:val="00F552B6"/>
    <w:rsid w:val="00F55448"/>
    <w:rsid w:val="00F55766"/>
    <w:rsid w:val="00F55A82"/>
    <w:rsid w:val="00F55E18"/>
    <w:rsid w:val="00F56BBF"/>
    <w:rsid w:val="00F60330"/>
    <w:rsid w:val="00F60BB5"/>
    <w:rsid w:val="00F6292B"/>
    <w:rsid w:val="00F63948"/>
    <w:rsid w:val="00F6427E"/>
    <w:rsid w:val="00F64CED"/>
    <w:rsid w:val="00F65583"/>
    <w:rsid w:val="00F660A2"/>
    <w:rsid w:val="00F662B7"/>
    <w:rsid w:val="00F665C5"/>
    <w:rsid w:val="00F70C12"/>
    <w:rsid w:val="00F71017"/>
    <w:rsid w:val="00F713E8"/>
    <w:rsid w:val="00F7299A"/>
    <w:rsid w:val="00F742E7"/>
    <w:rsid w:val="00F74B91"/>
    <w:rsid w:val="00F74BA2"/>
    <w:rsid w:val="00F74E74"/>
    <w:rsid w:val="00F75AA0"/>
    <w:rsid w:val="00F76D23"/>
    <w:rsid w:val="00F76ECA"/>
    <w:rsid w:val="00F80F1D"/>
    <w:rsid w:val="00F8280C"/>
    <w:rsid w:val="00F83127"/>
    <w:rsid w:val="00F86632"/>
    <w:rsid w:val="00F90386"/>
    <w:rsid w:val="00F916FE"/>
    <w:rsid w:val="00F92481"/>
    <w:rsid w:val="00F929BF"/>
    <w:rsid w:val="00F93206"/>
    <w:rsid w:val="00F93A24"/>
    <w:rsid w:val="00F945EC"/>
    <w:rsid w:val="00F97405"/>
    <w:rsid w:val="00F97964"/>
    <w:rsid w:val="00FA122A"/>
    <w:rsid w:val="00FA26DD"/>
    <w:rsid w:val="00FA3369"/>
    <w:rsid w:val="00FA47EC"/>
    <w:rsid w:val="00FA60DC"/>
    <w:rsid w:val="00FA6E39"/>
    <w:rsid w:val="00FA7833"/>
    <w:rsid w:val="00FA78E5"/>
    <w:rsid w:val="00FB0FE1"/>
    <w:rsid w:val="00FB44B6"/>
    <w:rsid w:val="00FB44F9"/>
    <w:rsid w:val="00FB5DD8"/>
    <w:rsid w:val="00FB6256"/>
    <w:rsid w:val="00FC171E"/>
    <w:rsid w:val="00FC3033"/>
    <w:rsid w:val="00FC3136"/>
    <w:rsid w:val="00FC4F51"/>
    <w:rsid w:val="00FC6128"/>
    <w:rsid w:val="00FC6781"/>
    <w:rsid w:val="00FD17DD"/>
    <w:rsid w:val="00FD4A92"/>
    <w:rsid w:val="00FD5090"/>
    <w:rsid w:val="00FD5738"/>
    <w:rsid w:val="00FD59FF"/>
    <w:rsid w:val="00FD6165"/>
    <w:rsid w:val="00FE1C4E"/>
    <w:rsid w:val="00FE2ECE"/>
    <w:rsid w:val="00FE385A"/>
    <w:rsid w:val="00FE3BB8"/>
    <w:rsid w:val="00FE4DE9"/>
    <w:rsid w:val="00FE604E"/>
    <w:rsid w:val="00FF19D8"/>
    <w:rsid w:val="00FF1BB3"/>
    <w:rsid w:val="00FF23FB"/>
    <w:rsid w:val="00FF29BF"/>
    <w:rsid w:val="00FF2CBA"/>
    <w:rsid w:val="00FF3215"/>
    <w:rsid w:val="00FF3AF2"/>
    <w:rsid w:val="00FF4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DE00239"/>
  <w15:docId w15:val="{2C834DF1-9CA2-4AFA-BF95-D0E39AE9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B17"/>
    <w:pPr>
      <w:spacing w:after="220" w:line="240" w:lineRule="auto"/>
    </w:pPr>
    <w:rPr>
      <w:rFonts w:ascii="Times New Roman" w:hAnsi="Times New Roman"/>
    </w:rPr>
  </w:style>
  <w:style w:type="paragraph" w:styleId="Heading1">
    <w:name w:val="heading 1"/>
    <w:basedOn w:val="Normal"/>
    <w:next w:val="Normal"/>
    <w:link w:val="Heading1Char"/>
    <w:uiPriority w:val="9"/>
    <w:qFormat/>
    <w:rsid w:val="002578BA"/>
    <w:pPr>
      <w:keepNext/>
      <w:spacing w:before="240" w:after="0"/>
      <w:outlineLvl w:val="0"/>
    </w:pPr>
    <w:rPr>
      <w:rFonts w:asciiTheme="minorHAnsi" w:eastAsiaTheme="majorEastAsia" w:hAnsiTheme="minorHAnsi" w:cstheme="majorBidi"/>
      <w:b/>
      <w:bCs/>
      <w:sz w:val="24"/>
      <w:szCs w:val="28"/>
    </w:rPr>
  </w:style>
  <w:style w:type="paragraph" w:styleId="Heading2">
    <w:name w:val="heading 2"/>
    <w:basedOn w:val="Normal"/>
    <w:next w:val="Normal"/>
    <w:link w:val="Heading2Char"/>
    <w:uiPriority w:val="9"/>
    <w:unhideWhenUsed/>
    <w:qFormat/>
    <w:rsid w:val="002578BA"/>
    <w:pPr>
      <w:keepNext/>
      <w:keepLines/>
      <w:spacing w:before="120" w:after="0"/>
      <w:outlineLvl w:val="1"/>
    </w:pPr>
    <w:rPr>
      <w:rFonts w:asciiTheme="minorHAnsi" w:eastAsiaTheme="majorEastAsia" w:hAnsiTheme="minorHAnsi" w:cstheme="majorBidi"/>
      <w:b/>
      <w:bCs/>
      <w:i/>
      <w:szCs w:val="26"/>
    </w:rPr>
  </w:style>
  <w:style w:type="paragraph" w:styleId="Heading3">
    <w:name w:val="heading 3"/>
    <w:basedOn w:val="Normal"/>
    <w:next w:val="Normal"/>
    <w:link w:val="Heading3Char"/>
    <w:uiPriority w:val="9"/>
    <w:unhideWhenUsed/>
    <w:qFormat/>
    <w:rsid w:val="00831ADF"/>
    <w:pPr>
      <w:keepNext/>
      <w:spacing w:before="120" w:after="0"/>
      <w:outlineLvl w:val="2"/>
    </w:pPr>
    <w:rPr>
      <w:rFonts w:eastAsiaTheme="majorEastAsia" w:cstheme="majorBidi"/>
      <w:bCs/>
      <w:i/>
    </w:rPr>
  </w:style>
  <w:style w:type="paragraph" w:styleId="Heading4">
    <w:name w:val="heading 4"/>
    <w:basedOn w:val="Normal"/>
    <w:next w:val="Normal"/>
    <w:link w:val="Heading4Char"/>
    <w:uiPriority w:val="9"/>
    <w:unhideWhenUsed/>
    <w:qFormat/>
    <w:rsid w:val="002578BA"/>
    <w:pPr>
      <w:keepNext/>
      <w:keepLines/>
      <w:spacing w:before="120" w:after="0"/>
      <w:ind w:left="288" w:right="288"/>
      <w:outlineLvl w:val="3"/>
    </w:pPr>
    <w:rPr>
      <w:rFonts w:eastAsiaTheme="majorEastAsia" w:cstheme="majorBidi"/>
      <w:bCs/>
      <w:i/>
      <w:iCs/>
    </w:rPr>
  </w:style>
  <w:style w:type="paragraph" w:styleId="Heading5">
    <w:name w:val="heading 5"/>
    <w:aliases w:val="Comment-Response Comment"/>
    <w:basedOn w:val="Normal"/>
    <w:next w:val="Comment-ResponseResponse"/>
    <w:link w:val="Heading5Char"/>
    <w:uiPriority w:val="9"/>
    <w:unhideWhenUsed/>
    <w:qFormat/>
    <w:rsid w:val="003269DB"/>
    <w:pPr>
      <w:keepNext/>
      <w:keepLines/>
      <w:spacing w:after="0"/>
      <w:outlineLvl w:val="4"/>
    </w:pPr>
    <w:rPr>
      <w:rFonts w:eastAsiaTheme="majorEastAsia" w:cstheme="majorBidi"/>
      <w:i/>
    </w:rPr>
  </w:style>
  <w:style w:type="paragraph" w:styleId="Heading6">
    <w:name w:val="heading 6"/>
    <w:basedOn w:val="Normal"/>
    <w:next w:val="Normal"/>
    <w:link w:val="Heading6Char"/>
    <w:uiPriority w:val="9"/>
    <w:unhideWhenUsed/>
    <w:qFormat/>
    <w:rsid w:val="00332D46"/>
    <w:pPr>
      <w:keepNext/>
      <w:keepLines/>
      <w:spacing w:before="120" w:after="0"/>
      <w:ind w:left="576" w:right="576"/>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032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4135"/>
    <w:pPr>
      <w:spacing w:after="100" w:afterAutospacing="1"/>
      <w:ind w:left="720" w:hanging="720"/>
      <w:contextualSpacing/>
    </w:pPr>
    <w:rPr>
      <w:rFonts w:asciiTheme="minorHAnsi" w:eastAsiaTheme="majorEastAsia" w:hAnsiTheme="minorHAnsi" w:cstheme="majorBidi"/>
      <w:b/>
      <w:spacing w:val="5"/>
      <w:kern w:val="28"/>
      <w:sz w:val="28"/>
      <w:szCs w:val="52"/>
    </w:rPr>
  </w:style>
  <w:style w:type="character" w:customStyle="1" w:styleId="TitleChar">
    <w:name w:val="Title Char"/>
    <w:basedOn w:val="DefaultParagraphFont"/>
    <w:link w:val="Title"/>
    <w:uiPriority w:val="10"/>
    <w:rsid w:val="00514135"/>
    <w:rPr>
      <w:rFonts w:eastAsiaTheme="majorEastAsia" w:cstheme="majorBidi"/>
      <w:b/>
      <w:spacing w:val="5"/>
      <w:kern w:val="28"/>
      <w:sz w:val="28"/>
      <w:szCs w:val="52"/>
    </w:rPr>
  </w:style>
  <w:style w:type="paragraph" w:styleId="ListParagraph">
    <w:name w:val="List Paragraph"/>
    <w:basedOn w:val="Normal"/>
    <w:uiPriority w:val="34"/>
    <w:qFormat/>
    <w:rsid w:val="00AD41A6"/>
    <w:pPr>
      <w:ind w:left="720"/>
      <w:contextualSpacing/>
    </w:pPr>
  </w:style>
  <w:style w:type="paragraph" w:styleId="BalloonText">
    <w:name w:val="Balloon Text"/>
    <w:basedOn w:val="Normal"/>
    <w:link w:val="BalloonTextChar"/>
    <w:uiPriority w:val="99"/>
    <w:semiHidden/>
    <w:unhideWhenUsed/>
    <w:rsid w:val="000E205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054"/>
    <w:rPr>
      <w:rFonts w:ascii="Tahoma" w:hAnsi="Tahoma" w:cs="Tahoma"/>
      <w:sz w:val="16"/>
      <w:szCs w:val="16"/>
    </w:rPr>
  </w:style>
  <w:style w:type="character" w:customStyle="1" w:styleId="Heading1Char">
    <w:name w:val="Heading 1 Char"/>
    <w:basedOn w:val="DefaultParagraphFont"/>
    <w:link w:val="Heading1"/>
    <w:uiPriority w:val="9"/>
    <w:rsid w:val="002578BA"/>
    <w:rPr>
      <w:rFonts w:eastAsiaTheme="majorEastAsia" w:cstheme="majorBidi"/>
      <w:b/>
      <w:bCs/>
      <w:sz w:val="24"/>
      <w:szCs w:val="28"/>
    </w:rPr>
  </w:style>
  <w:style w:type="character" w:customStyle="1" w:styleId="Heading2Char">
    <w:name w:val="Heading 2 Char"/>
    <w:basedOn w:val="DefaultParagraphFont"/>
    <w:link w:val="Heading2"/>
    <w:uiPriority w:val="9"/>
    <w:rsid w:val="002578BA"/>
    <w:rPr>
      <w:rFonts w:eastAsiaTheme="majorEastAsia" w:cstheme="majorBidi"/>
      <w:b/>
      <w:bCs/>
      <w:i/>
      <w:szCs w:val="26"/>
    </w:rPr>
  </w:style>
  <w:style w:type="character" w:customStyle="1" w:styleId="Heading3Char">
    <w:name w:val="Heading 3 Char"/>
    <w:basedOn w:val="DefaultParagraphFont"/>
    <w:link w:val="Heading3"/>
    <w:uiPriority w:val="9"/>
    <w:rsid w:val="00831ADF"/>
    <w:rPr>
      <w:rFonts w:ascii="Times New Roman" w:eastAsiaTheme="majorEastAsia" w:hAnsi="Times New Roman" w:cstheme="majorBidi"/>
      <w:bCs/>
      <w:i/>
    </w:rPr>
  </w:style>
  <w:style w:type="character" w:customStyle="1" w:styleId="Heading4Char">
    <w:name w:val="Heading 4 Char"/>
    <w:basedOn w:val="DefaultParagraphFont"/>
    <w:link w:val="Heading4"/>
    <w:uiPriority w:val="9"/>
    <w:rsid w:val="002578BA"/>
    <w:rPr>
      <w:rFonts w:ascii="Times New Roman" w:eastAsiaTheme="majorEastAsia" w:hAnsi="Times New Roman" w:cstheme="majorBidi"/>
      <w:bCs/>
      <w:i/>
      <w:iCs/>
    </w:rPr>
  </w:style>
  <w:style w:type="character" w:customStyle="1" w:styleId="Heading5Char">
    <w:name w:val="Heading 5 Char"/>
    <w:aliases w:val="Comment-Response Comment Char"/>
    <w:basedOn w:val="DefaultParagraphFont"/>
    <w:link w:val="Heading5"/>
    <w:uiPriority w:val="9"/>
    <w:rsid w:val="003269DB"/>
    <w:rPr>
      <w:rFonts w:ascii="Times New Roman" w:eastAsiaTheme="majorEastAsia" w:hAnsi="Times New Roman" w:cstheme="majorBidi"/>
      <w:i/>
    </w:rPr>
  </w:style>
  <w:style w:type="paragraph" w:customStyle="1" w:styleId="Comment-ResponseResponse">
    <w:name w:val="Comment-Response Response"/>
    <w:basedOn w:val="Normal"/>
    <w:next w:val="Normal"/>
    <w:link w:val="Comment-ResponseResponseChar"/>
    <w:qFormat/>
    <w:rsid w:val="00904515"/>
    <w:pPr>
      <w:spacing w:after="200"/>
    </w:pPr>
  </w:style>
  <w:style w:type="character" w:customStyle="1" w:styleId="Comment-ResponseResponseChar">
    <w:name w:val="Comment-Response Response Char"/>
    <w:basedOn w:val="DefaultParagraphFont"/>
    <w:link w:val="Comment-ResponseResponse"/>
    <w:rsid w:val="00904515"/>
    <w:rPr>
      <w:rFonts w:ascii="Times New Roman" w:hAnsi="Times New Roman"/>
    </w:rPr>
  </w:style>
  <w:style w:type="character" w:customStyle="1" w:styleId="Heading6Char">
    <w:name w:val="Heading 6 Char"/>
    <w:basedOn w:val="DefaultParagraphFont"/>
    <w:link w:val="Heading6"/>
    <w:uiPriority w:val="9"/>
    <w:rsid w:val="00332D46"/>
    <w:rPr>
      <w:rFonts w:asciiTheme="majorHAnsi" w:eastAsiaTheme="majorEastAsia" w:hAnsiTheme="majorHAnsi" w:cstheme="majorBidi"/>
      <w:i/>
      <w:iCs/>
    </w:rPr>
  </w:style>
  <w:style w:type="table" w:styleId="TableGrid">
    <w:name w:val="Table Grid"/>
    <w:basedOn w:val="TableNormal"/>
    <w:uiPriority w:val="59"/>
    <w:rsid w:val="004C0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23F0"/>
    <w:rPr>
      <w:color w:val="808080"/>
    </w:rPr>
  </w:style>
  <w:style w:type="character" w:styleId="CommentReference">
    <w:name w:val="annotation reference"/>
    <w:basedOn w:val="DefaultParagraphFont"/>
    <w:uiPriority w:val="99"/>
    <w:semiHidden/>
    <w:unhideWhenUsed/>
    <w:rsid w:val="003E56B0"/>
    <w:rPr>
      <w:sz w:val="16"/>
      <w:szCs w:val="16"/>
    </w:rPr>
  </w:style>
  <w:style w:type="paragraph" w:styleId="CommentText">
    <w:name w:val="annotation text"/>
    <w:basedOn w:val="Normal"/>
    <w:link w:val="CommentTextChar"/>
    <w:uiPriority w:val="99"/>
    <w:semiHidden/>
    <w:unhideWhenUsed/>
    <w:rsid w:val="003E56B0"/>
    <w:rPr>
      <w:sz w:val="20"/>
      <w:szCs w:val="20"/>
    </w:rPr>
  </w:style>
  <w:style w:type="character" w:customStyle="1" w:styleId="CommentTextChar">
    <w:name w:val="Comment Text Char"/>
    <w:basedOn w:val="DefaultParagraphFont"/>
    <w:link w:val="CommentText"/>
    <w:uiPriority w:val="99"/>
    <w:semiHidden/>
    <w:rsid w:val="003E56B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E56B0"/>
    <w:rPr>
      <w:b/>
      <w:bCs/>
    </w:rPr>
  </w:style>
  <w:style w:type="character" w:customStyle="1" w:styleId="CommentSubjectChar">
    <w:name w:val="Comment Subject Char"/>
    <w:basedOn w:val="CommentTextChar"/>
    <w:link w:val="CommentSubject"/>
    <w:uiPriority w:val="99"/>
    <w:semiHidden/>
    <w:rsid w:val="003E56B0"/>
    <w:rPr>
      <w:rFonts w:ascii="Times New Roman" w:hAnsi="Times New Roman"/>
      <w:b/>
      <w:bCs/>
      <w:sz w:val="20"/>
      <w:szCs w:val="20"/>
    </w:rPr>
  </w:style>
  <w:style w:type="paragraph" w:customStyle="1" w:styleId="SummaryTableFootnote">
    <w:name w:val="Summary Table Footnote"/>
    <w:basedOn w:val="Normal"/>
    <w:link w:val="SummaryTableFootnoteChar"/>
    <w:qFormat/>
    <w:rsid w:val="00CA5814"/>
    <w:pPr>
      <w:spacing w:after="240"/>
      <w:ind w:left="288" w:hanging="288"/>
      <w:contextualSpacing/>
    </w:pPr>
    <w:rPr>
      <w:sz w:val="18"/>
    </w:rPr>
  </w:style>
  <w:style w:type="character" w:customStyle="1" w:styleId="SummaryTableFootnoteChar">
    <w:name w:val="Summary Table Footnote Char"/>
    <w:basedOn w:val="DefaultParagraphFont"/>
    <w:link w:val="SummaryTableFootnote"/>
    <w:rsid w:val="00CA5814"/>
    <w:rPr>
      <w:rFonts w:ascii="Times New Roman" w:hAnsi="Times New Roman"/>
      <w:sz w:val="18"/>
    </w:rPr>
  </w:style>
  <w:style w:type="paragraph" w:customStyle="1" w:styleId="SummaryTableCaption">
    <w:name w:val="Summary Table Caption"/>
    <w:basedOn w:val="Normal"/>
    <w:link w:val="SummaryTableCaptionChar"/>
    <w:qFormat/>
    <w:rsid w:val="00DA2BBA"/>
    <w:pPr>
      <w:keepNext/>
      <w:spacing w:before="240" w:after="0"/>
    </w:pPr>
  </w:style>
  <w:style w:type="character" w:customStyle="1" w:styleId="SummaryTableCaptionChar">
    <w:name w:val="Summary Table Caption Char"/>
    <w:basedOn w:val="DefaultParagraphFont"/>
    <w:link w:val="SummaryTableCaption"/>
    <w:rsid w:val="00DA2BBA"/>
    <w:rPr>
      <w:rFonts w:ascii="Times New Roman" w:hAnsi="Times New Roman"/>
    </w:rPr>
  </w:style>
  <w:style w:type="paragraph" w:styleId="NoSpacing">
    <w:name w:val="No Spacing"/>
    <w:basedOn w:val="Normal"/>
    <w:uiPriority w:val="1"/>
    <w:qFormat/>
    <w:rsid w:val="00C0326F"/>
    <w:pPr>
      <w:spacing w:after="0"/>
    </w:pPr>
  </w:style>
  <w:style w:type="character" w:customStyle="1" w:styleId="Heading7Char">
    <w:name w:val="Heading 7 Char"/>
    <w:basedOn w:val="DefaultParagraphFont"/>
    <w:link w:val="Heading7"/>
    <w:uiPriority w:val="9"/>
    <w:semiHidden/>
    <w:rsid w:val="00C0326F"/>
    <w:rPr>
      <w:rFonts w:asciiTheme="majorHAnsi" w:eastAsiaTheme="majorEastAsia" w:hAnsiTheme="majorHAnsi" w:cstheme="majorBidi"/>
      <w:i/>
      <w:iCs/>
      <w:color w:val="404040" w:themeColor="text1" w:themeTint="BF"/>
    </w:rPr>
  </w:style>
  <w:style w:type="paragraph" w:customStyle="1" w:styleId="ModelCode">
    <w:name w:val="ModelCode"/>
    <w:basedOn w:val="Normal"/>
    <w:link w:val="ModelCodeChar"/>
    <w:qFormat/>
    <w:rsid w:val="00981B95"/>
    <w:pPr>
      <w:spacing w:before="240" w:after="240"/>
      <w:ind w:left="720" w:hanging="720"/>
      <w:contextualSpacing/>
    </w:pPr>
    <w:rPr>
      <w:rFonts w:ascii="Courier New" w:hAnsi="Courier New"/>
      <w:sz w:val="18"/>
    </w:rPr>
  </w:style>
  <w:style w:type="character" w:customStyle="1" w:styleId="ModelCodeChar">
    <w:name w:val="ModelCode Char"/>
    <w:basedOn w:val="DefaultParagraphFont"/>
    <w:link w:val="ModelCode"/>
    <w:rsid w:val="00981B95"/>
    <w:rPr>
      <w:rFonts w:ascii="Courier New" w:hAnsi="Courier New"/>
      <w:sz w:val="18"/>
    </w:rPr>
  </w:style>
  <w:style w:type="paragraph" w:styleId="Header">
    <w:name w:val="header"/>
    <w:basedOn w:val="Normal"/>
    <w:link w:val="HeaderChar"/>
    <w:uiPriority w:val="99"/>
    <w:unhideWhenUsed/>
    <w:rsid w:val="00FC6128"/>
    <w:pPr>
      <w:tabs>
        <w:tab w:val="center" w:pos="4680"/>
        <w:tab w:val="right" w:pos="9360"/>
      </w:tabs>
      <w:spacing w:after="0"/>
    </w:pPr>
  </w:style>
  <w:style w:type="character" w:customStyle="1" w:styleId="HeaderChar">
    <w:name w:val="Header Char"/>
    <w:basedOn w:val="DefaultParagraphFont"/>
    <w:link w:val="Header"/>
    <w:uiPriority w:val="99"/>
    <w:rsid w:val="00FC6128"/>
    <w:rPr>
      <w:rFonts w:ascii="Times New Roman" w:hAnsi="Times New Roman"/>
    </w:rPr>
  </w:style>
  <w:style w:type="paragraph" w:styleId="Footer">
    <w:name w:val="footer"/>
    <w:basedOn w:val="Normal"/>
    <w:link w:val="FooterChar"/>
    <w:uiPriority w:val="99"/>
    <w:unhideWhenUsed/>
    <w:rsid w:val="00FC6128"/>
    <w:pPr>
      <w:tabs>
        <w:tab w:val="center" w:pos="4680"/>
        <w:tab w:val="right" w:pos="9360"/>
      </w:tabs>
      <w:spacing w:after="0"/>
    </w:pPr>
  </w:style>
  <w:style w:type="character" w:customStyle="1" w:styleId="FooterChar">
    <w:name w:val="Footer Char"/>
    <w:basedOn w:val="DefaultParagraphFont"/>
    <w:link w:val="Footer"/>
    <w:uiPriority w:val="99"/>
    <w:rsid w:val="00FC6128"/>
    <w:rPr>
      <w:rFonts w:ascii="Times New Roman" w:hAnsi="Times New Roman"/>
    </w:rPr>
  </w:style>
  <w:style w:type="character" w:styleId="Hyperlink">
    <w:name w:val="Hyperlink"/>
    <w:basedOn w:val="DefaultParagraphFont"/>
    <w:uiPriority w:val="99"/>
    <w:unhideWhenUsed/>
    <w:rsid w:val="003D480E"/>
    <w:rPr>
      <w:color w:val="0000FF" w:themeColor="hyperlink"/>
      <w:u w:val="single"/>
    </w:rPr>
  </w:style>
  <w:style w:type="character" w:styleId="PageNumber">
    <w:name w:val="page number"/>
    <w:basedOn w:val="DefaultParagraphFont"/>
    <w:uiPriority w:val="99"/>
    <w:semiHidden/>
    <w:unhideWhenUsed/>
    <w:rsid w:val="004130CB"/>
  </w:style>
  <w:style w:type="paragraph" w:styleId="FootnoteText">
    <w:name w:val="footnote text"/>
    <w:basedOn w:val="Normal"/>
    <w:link w:val="FootnoteTextChar"/>
    <w:uiPriority w:val="99"/>
    <w:unhideWhenUsed/>
    <w:rsid w:val="00E269D4"/>
    <w:pPr>
      <w:spacing w:after="0"/>
    </w:pPr>
    <w:rPr>
      <w:sz w:val="24"/>
      <w:szCs w:val="24"/>
    </w:rPr>
  </w:style>
  <w:style w:type="character" w:customStyle="1" w:styleId="FootnoteTextChar">
    <w:name w:val="Footnote Text Char"/>
    <w:basedOn w:val="DefaultParagraphFont"/>
    <w:link w:val="FootnoteText"/>
    <w:uiPriority w:val="99"/>
    <w:rsid w:val="00E269D4"/>
    <w:rPr>
      <w:rFonts w:ascii="Times New Roman" w:hAnsi="Times New Roman"/>
      <w:sz w:val="24"/>
      <w:szCs w:val="24"/>
    </w:rPr>
  </w:style>
  <w:style w:type="character" w:styleId="FootnoteReference">
    <w:name w:val="footnote reference"/>
    <w:basedOn w:val="DefaultParagraphFont"/>
    <w:uiPriority w:val="99"/>
    <w:unhideWhenUsed/>
    <w:rsid w:val="00E269D4"/>
    <w:rPr>
      <w:vertAlign w:val="superscript"/>
    </w:rPr>
  </w:style>
  <w:style w:type="paragraph" w:styleId="Caption">
    <w:name w:val="caption"/>
    <w:basedOn w:val="Normal"/>
    <w:next w:val="Normal"/>
    <w:uiPriority w:val="35"/>
    <w:unhideWhenUsed/>
    <w:qFormat/>
    <w:rsid w:val="00377C97"/>
    <w:pPr>
      <w:spacing w:after="200"/>
    </w:pPr>
    <w:rPr>
      <w:bCs/>
      <w:szCs w:val="18"/>
    </w:rPr>
  </w:style>
  <w:style w:type="paragraph" w:styleId="TableofFigures">
    <w:name w:val="table of figures"/>
    <w:basedOn w:val="Normal"/>
    <w:next w:val="Normal"/>
    <w:uiPriority w:val="99"/>
    <w:unhideWhenUsed/>
    <w:rsid w:val="00EE32CD"/>
    <w:pPr>
      <w:spacing w:after="0"/>
    </w:pPr>
  </w:style>
  <w:style w:type="paragraph" w:customStyle="1" w:styleId="CaptionForFigure">
    <w:name w:val="CaptionForFigure"/>
    <w:basedOn w:val="Normal"/>
    <w:next w:val="Normal"/>
    <w:link w:val="CaptionForFigureChar"/>
    <w:qFormat/>
    <w:rsid w:val="00EE32CD"/>
    <w:pPr>
      <w:spacing w:after="120" w:line="276" w:lineRule="auto"/>
    </w:pPr>
    <w:rPr>
      <w:rFonts w:eastAsia="Times New Roman" w:cs="Times New Roman"/>
    </w:rPr>
  </w:style>
  <w:style w:type="paragraph" w:customStyle="1" w:styleId="FigureWithCaption">
    <w:name w:val="FigureWithCaption"/>
    <w:basedOn w:val="NoSpacing"/>
    <w:next w:val="CaptionForFigure"/>
    <w:link w:val="FigureWithCaptionChar"/>
    <w:qFormat/>
    <w:rsid w:val="00EE32CD"/>
    <w:pPr>
      <w:keepNext/>
      <w:widowControl w:val="0"/>
      <w:jc w:val="center"/>
    </w:pPr>
    <w:rPr>
      <w:noProof/>
    </w:rPr>
  </w:style>
  <w:style w:type="character" w:customStyle="1" w:styleId="CaptionForFigureChar">
    <w:name w:val="CaptionForFigure Char"/>
    <w:basedOn w:val="DefaultParagraphFont"/>
    <w:link w:val="CaptionForFigure"/>
    <w:rsid w:val="00EE32CD"/>
    <w:rPr>
      <w:rFonts w:ascii="Times New Roman" w:eastAsia="Times New Roman" w:hAnsi="Times New Roman" w:cs="Times New Roman"/>
    </w:rPr>
  </w:style>
  <w:style w:type="character" w:customStyle="1" w:styleId="FigureWithCaptionChar">
    <w:name w:val="FigureWithCaption Char"/>
    <w:basedOn w:val="DefaultParagraphFont"/>
    <w:link w:val="FigureWithCaption"/>
    <w:rsid w:val="00EE32CD"/>
    <w:rPr>
      <w:rFonts w:ascii="Times New Roman" w:hAnsi="Times New Roman"/>
      <w:noProof/>
    </w:rPr>
  </w:style>
  <w:style w:type="paragraph" w:customStyle="1" w:styleId="CaptionForTable">
    <w:name w:val="CaptionForTable"/>
    <w:basedOn w:val="Caption"/>
    <w:next w:val="Normal"/>
    <w:link w:val="CaptionForTableChar"/>
    <w:qFormat/>
    <w:rsid w:val="00EE32CD"/>
    <w:pPr>
      <w:widowControl w:val="0"/>
      <w:spacing w:after="120"/>
    </w:pPr>
    <w:rPr>
      <w:bCs w:val="0"/>
      <w:iCs/>
    </w:rPr>
  </w:style>
  <w:style w:type="character" w:customStyle="1" w:styleId="CaptionForTableChar">
    <w:name w:val="CaptionForTable Char"/>
    <w:basedOn w:val="DefaultParagraphFont"/>
    <w:link w:val="CaptionForTable"/>
    <w:rsid w:val="00EE32CD"/>
    <w:rPr>
      <w:rFonts w:ascii="Times New Roman" w:hAnsi="Times New Roman"/>
      <w:iCs/>
      <w:szCs w:val="18"/>
    </w:rPr>
  </w:style>
  <w:style w:type="paragraph" w:customStyle="1" w:styleId="TableCaption">
    <w:name w:val="Table Caption"/>
    <w:basedOn w:val="Normal"/>
    <w:link w:val="TableCaptionChar"/>
    <w:qFormat/>
    <w:rsid w:val="00E5030C"/>
    <w:pPr>
      <w:keepNext/>
      <w:spacing w:after="0"/>
    </w:pPr>
  </w:style>
  <w:style w:type="character" w:customStyle="1" w:styleId="TableCaptionChar">
    <w:name w:val="Table Caption Char"/>
    <w:basedOn w:val="DefaultParagraphFont"/>
    <w:link w:val="TableCaption"/>
    <w:rsid w:val="00E5030C"/>
    <w:rPr>
      <w:rFonts w:ascii="Times New Roman" w:hAnsi="Times New Roman"/>
    </w:rPr>
  </w:style>
  <w:style w:type="table" w:styleId="GridTable1Light">
    <w:name w:val="Grid Table 1 Light"/>
    <w:basedOn w:val="TableNormal"/>
    <w:uiPriority w:val="46"/>
    <w:rsid w:val="001D4B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6A4E53"/>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070">
      <w:bodyDiv w:val="1"/>
      <w:marLeft w:val="0"/>
      <w:marRight w:val="0"/>
      <w:marTop w:val="0"/>
      <w:marBottom w:val="0"/>
      <w:divBdr>
        <w:top w:val="none" w:sz="0" w:space="0" w:color="auto"/>
        <w:left w:val="none" w:sz="0" w:space="0" w:color="auto"/>
        <w:bottom w:val="none" w:sz="0" w:space="0" w:color="auto"/>
        <w:right w:val="none" w:sz="0" w:space="0" w:color="auto"/>
      </w:divBdr>
    </w:div>
    <w:div w:id="95294568">
      <w:bodyDiv w:val="1"/>
      <w:marLeft w:val="0"/>
      <w:marRight w:val="0"/>
      <w:marTop w:val="0"/>
      <w:marBottom w:val="0"/>
      <w:divBdr>
        <w:top w:val="none" w:sz="0" w:space="0" w:color="auto"/>
        <w:left w:val="none" w:sz="0" w:space="0" w:color="auto"/>
        <w:bottom w:val="none" w:sz="0" w:space="0" w:color="auto"/>
        <w:right w:val="none" w:sz="0" w:space="0" w:color="auto"/>
      </w:divBdr>
    </w:div>
    <w:div w:id="160244186">
      <w:bodyDiv w:val="1"/>
      <w:marLeft w:val="0"/>
      <w:marRight w:val="0"/>
      <w:marTop w:val="0"/>
      <w:marBottom w:val="0"/>
      <w:divBdr>
        <w:top w:val="none" w:sz="0" w:space="0" w:color="auto"/>
        <w:left w:val="none" w:sz="0" w:space="0" w:color="auto"/>
        <w:bottom w:val="none" w:sz="0" w:space="0" w:color="auto"/>
        <w:right w:val="none" w:sz="0" w:space="0" w:color="auto"/>
      </w:divBdr>
    </w:div>
    <w:div w:id="455492471">
      <w:bodyDiv w:val="1"/>
      <w:marLeft w:val="0"/>
      <w:marRight w:val="0"/>
      <w:marTop w:val="0"/>
      <w:marBottom w:val="0"/>
      <w:divBdr>
        <w:top w:val="none" w:sz="0" w:space="0" w:color="auto"/>
        <w:left w:val="none" w:sz="0" w:space="0" w:color="auto"/>
        <w:bottom w:val="none" w:sz="0" w:space="0" w:color="auto"/>
        <w:right w:val="none" w:sz="0" w:space="0" w:color="auto"/>
      </w:divBdr>
    </w:div>
    <w:div w:id="456875878">
      <w:bodyDiv w:val="1"/>
      <w:marLeft w:val="0"/>
      <w:marRight w:val="0"/>
      <w:marTop w:val="0"/>
      <w:marBottom w:val="0"/>
      <w:divBdr>
        <w:top w:val="none" w:sz="0" w:space="0" w:color="auto"/>
        <w:left w:val="none" w:sz="0" w:space="0" w:color="auto"/>
        <w:bottom w:val="none" w:sz="0" w:space="0" w:color="auto"/>
        <w:right w:val="none" w:sz="0" w:space="0" w:color="auto"/>
      </w:divBdr>
    </w:div>
    <w:div w:id="463043598">
      <w:bodyDiv w:val="1"/>
      <w:marLeft w:val="0"/>
      <w:marRight w:val="0"/>
      <w:marTop w:val="0"/>
      <w:marBottom w:val="0"/>
      <w:divBdr>
        <w:top w:val="none" w:sz="0" w:space="0" w:color="auto"/>
        <w:left w:val="none" w:sz="0" w:space="0" w:color="auto"/>
        <w:bottom w:val="none" w:sz="0" w:space="0" w:color="auto"/>
        <w:right w:val="none" w:sz="0" w:space="0" w:color="auto"/>
      </w:divBdr>
    </w:div>
    <w:div w:id="530383470">
      <w:bodyDiv w:val="1"/>
      <w:marLeft w:val="0"/>
      <w:marRight w:val="0"/>
      <w:marTop w:val="0"/>
      <w:marBottom w:val="0"/>
      <w:divBdr>
        <w:top w:val="none" w:sz="0" w:space="0" w:color="auto"/>
        <w:left w:val="none" w:sz="0" w:space="0" w:color="auto"/>
        <w:bottom w:val="none" w:sz="0" w:space="0" w:color="auto"/>
        <w:right w:val="none" w:sz="0" w:space="0" w:color="auto"/>
      </w:divBdr>
    </w:div>
    <w:div w:id="805271459">
      <w:bodyDiv w:val="1"/>
      <w:marLeft w:val="0"/>
      <w:marRight w:val="0"/>
      <w:marTop w:val="0"/>
      <w:marBottom w:val="0"/>
      <w:divBdr>
        <w:top w:val="none" w:sz="0" w:space="0" w:color="auto"/>
        <w:left w:val="none" w:sz="0" w:space="0" w:color="auto"/>
        <w:bottom w:val="none" w:sz="0" w:space="0" w:color="auto"/>
        <w:right w:val="none" w:sz="0" w:space="0" w:color="auto"/>
      </w:divBdr>
    </w:div>
    <w:div w:id="850603018">
      <w:bodyDiv w:val="1"/>
      <w:marLeft w:val="0"/>
      <w:marRight w:val="0"/>
      <w:marTop w:val="0"/>
      <w:marBottom w:val="0"/>
      <w:divBdr>
        <w:top w:val="none" w:sz="0" w:space="0" w:color="auto"/>
        <w:left w:val="none" w:sz="0" w:space="0" w:color="auto"/>
        <w:bottom w:val="none" w:sz="0" w:space="0" w:color="auto"/>
        <w:right w:val="none" w:sz="0" w:space="0" w:color="auto"/>
      </w:divBdr>
    </w:div>
    <w:div w:id="912466228">
      <w:bodyDiv w:val="1"/>
      <w:marLeft w:val="0"/>
      <w:marRight w:val="0"/>
      <w:marTop w:val="0"/>
      <w:marBottom w:val="0"/>
      <w:divBdr>
        <w:top w:val="none" w:sz="0" w:space="0" w:color="auto"/>
        <w:left w:val="none" w:sz="0" w:space="0" w:color="auto"/>
        <w:bottom w:val="none" w:sz="0" w:space="0" w:color="auto"/>
        <w:right w:val="none" w:sz="0" w:space="0" w:color="auto"/>
      </w:divBdr>
    </w:div>
    <w:div w:id="951126632">
      <w:bodyDiv w:val="1"/>
      <w:marLeft w:val="0"/>
      <w:marRight w:val="0"/>
      <w:marTop w:val="0"/>
      <w:marBottom w:val="0"/>
      <w:divBdr>
        <w:top w:val="none" w:sz="0" w:space="0" w:color="auto"/>
        <w:left w:val="none" w:sz="0" w:space="0" w:color="auto"/>
        <w:bottom w:val="none" w:sz="0" w:space="0" w:color="auto"/>
        <w:right w:val="none" w:sz="0" w:space="0" w:color="auto"/>
      </w:divBdr>
    </w:div>
    <w:div w:id="1068959041">
      <w:bodyDiv w:val="1"/>
      <w:marLeft w:val="0"/>
      <w:marRight w:val="0"/>
      <w:marTop w:val="0"/>
      <w:marBottom w:val="0"/>
      <w:divBdr>
        <w:top w:val="none" w:sz="0" w:space="0" w:color="auto"/>
        <w:left w:val="none" w:sz="0" w:space="0" w:color="auto"/>
        <w:bottom w:val="none" w:sz="0" w:space="0" w:color="auto"/>
        <w:right w:val="none" w:sz="0" w:space="0" w:color="auto"/>
      </w:divBdr>
    </w:div>
    <w:div w:id="1132795708">
      <w:bodyDiv w:val="1"/>
      <w:marLeft w:val="0"/>
      <w:marRight w:val="0"/>
      <w:marTop w:val="0"/>
      <w:marBottom w:val="0"/>
      <w:divBdr>
        <w:top w:val="none" w:sz="0" w:space="0" w:color="auto"/>
        <w:left w:val="none" w:sz="0" w:space="0" w:color="auto"/>
        <w:bottom w:val="none" w:sz="0" w:space="0" w:color="auto"/>
        <w:right w:val="none" w:sz="0" w:space="0" w:color="auto"/>
      </w:divBdr>
    </w:div>
    <w:div w:id="1285963023">
      <w:bodyDiv w:val="1"/>
      <w:marLeft w:val="0"/>
      <w:marRight w:val="0"/>
      <w:marTop w:val="0"/>
      <w:marBottom w:val="0"/>
      <w:divBdr>
        <w:top w:val="none" w:sz="0" w:space="0" w:color="auto"/>
        <w:left w:val="none" w:sz="0" w:space="0" w:color="auto"/>
        <w:bottom w:val="none" w:sz="0" w:space="0" w:color="auto"/>
        <w:right w:val="none" w:sz="0" w:space="0" w:color="auto"/>
      </w:divBdr>
    </w:div>
    <w:div w:id="1416589833">
      <w:bodyDiv w:val="1"/>
      <w:marLeft w:val="0"/>
      <w:marRight w:val="0"/>
      <w:marTop w:val="0"/>
      <w:marBottom w:val="0"/>
      <w:divBdr>
        <w:top w:val="none" w:sz="0" w:space="0" w:color="auto"/>
        <w:left w:val="none" w:sz="0" w:space="0" w:color="auto"/>
        <w:bottom w:val="none" w:sz="0" w:space="0" w:color="auto"/>
        <w:right w:val="none" w:sz="0" w:space="0" w:color="auto"/>
      </w:divBdr>
    </w:div>
    <w:div w:id="1660382514">
      <w:bodyDiv w:val="1"/>
      <w:marLeft w:val="0"/>
      <w:marRight w:val="0"/>
      <w:marTop w:val="0"/>
      <w:marBottom w:val="0"/>
      <w:divBdr>
        <w:top w:val="none" w:sz="0" w:space="0" w:color="auto"/>
        <w:left w:val="none" w:sz="0" w:space="0" w:color="auto"/>
        <w:bottom w:val="none" w:sz="0" w:space="0" w:color="auto"/>
        <w:right w:val="none" w:sz="0" w:space="0" w:color="auto"/>
      </w:divBdr>
    </w:div>
    <w:div w:id="1676809497">
      <w:bodyDiv w:val="1"/>
      <w:marLeft w:val="0"/>
      <w:marRight w:val="0"/>
      <w:marTop w:val="0"/>
      <w:marBottom w:val="0"/>
      <w:divBdr>
        <w:top w:val="none" w:sz="0" w:space="0" w:color="auto"/>
        <w:left w:val="none" w:sz="0" w:space="0" w:color="auto"/>
        <w:bottom w:val="none" w:sz="0" w:space="0" w:color="auto"/>
        <w:right w:val="none" w:sz="0" w:space="0" w:color="auto"/>
      </w:divBdr>
    </w:div>
    <w:div w:id="1711416091">
      <w:bodyDiv w:val="1"/>
      <w:marLeft w:val="0"/>
      <w:marRight w:val="0"/>
      <w:marTop w:val="0"/>
      <w:marBottom w:val="0"/>
      <w:divBdr>
        <w:top w:val="none" w:sz="0" w:space="0" w:color="auto"/>
        <w:left w:val="none" w:sz="0" w:space="0" w:color="auto"/>
        <w:bottom w:val="none" w:sz="0" w:space="0" w:color="auto"/>
        <w:right w:val="none" w:sz="0" w:space="0" w:color="auto"/>
      </w:divBdr>
    </w:div>
    <w:div w:id="1734351427">
      <w:bodyDiv w:val="1"/>
      <w:marLeft w:val="0"/>
      <w:marRight w:val="0"/>
      <w:marTop w:val="0"/>
      <w:marBottom w:val="0"/>
      <w:divBdr>
        <w:top w:val="none" w:sz="0" w:space="0" w:color="auto"/>
        <w:left w:val="none" w:sz="0" w:space="0" w:color="auto"/>
        <w:bottom w:val="none" w:sz="0" w:space="0" w:color="auto"/>
        <w:right w:val="none" w:sz="0" w:space="0" w:color="auto"/>
      </w:divBdr>
    </w:div>
    <w:div w:id="1959683370">
      <w:bodyDiv w:val="1"/>
      <w:marLeft w:val="0"/>
      <w:marRight w:val="0"/>
      <w:marTop w:val="0"/>
      <w:marBottom w:val="0"/>
      <w:divBdr>
        <w:top w:val="none" w:sz="0" w:space="0" w:color="auto"/>
        <w:left w:val="none" w:sz="0" w:space="0" w:color="auto"/>
        <w:bottom w:val="none" w:sz="0" w:space="0" w:color="auto"/>
        <w:right w:val="none" w:sz="0" w:space="0" w:color="auto"/>
      </w:divBdr>
    </w:div>
    <w:div w:id="1978797834">
      <w:bodyDiv w:val="1"/>
      <w:marLeft w:val="0"/>
      <w:marRight w:val="0"/>
      <w:marTop w:val="0"/>
      <w:marBottom w:val="0"/>
      <w:divBdr>
        <w:top w:val="none" w:sz="0" w:space="0" w:color="auto"/>
        <w:left w:val="none" w:sz="0" w:space="0" w:color="auto"/>
        <w:bottom w:val="none" w:sz="0" w:space="0" w:color="auto"/>
        <w:right w:val="none" w:sz="0" w:space="0" w:color="auto"/>
      </w:divBdr>
    </w:div>
    <w:div w:id="2122987950">
      <w:bodyDiv w:val="1"/>
      <w:marLeft w:val="0"/>
      <w:marRight w:val="0"/>
      <w:marTop w:val="0"/>
      <w:marBottom w:val="0"/>
      <w:divBdr>
        <w:top w:val="none" w:sz="0" w:space="0" w:color="auto"/>
        <w:left w:val="none" w:sz="0" w:space="0" w:color="auto"/>
        <w:bottom w:val="none" w:sz="0" w:space="0" w:color="auto"/>
        <w:right w:val="none" w:sz="0" w:space="0" w:color="auto"/>
      </w:divBdr>
    </w:div>
    <w:div w:id="21280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tiff"/><Relationship Id="rId21" Type="http://schemas.openxmlformats.org/officeDocument/2006/relationships/image" Target="media/image12.tiff"/><Relationship Id="rId42" Type="http://schemas.openxmlformats.org/officeDocument/2006/relationships/footer" Target="footer6.xml"/><Relationship Id="rId63" Type="http://schemas.openxmlformats.org/officeDocument/2006/relationships/image" Target="media/image50.emf"/><Relationship Id="rId84" Type="http://schemas.openxmlformats.org/officeDocument/2006/relationships/image" Target="media/image71.emf"/><Relationship Id="rId138" Type="http://schemas.openxmlformats.org/officeDocument/2006/relationships/image" Target="media/image125.tiff"/><Relationship Id="rId159" Type="http://schemas.openxmlformats.org/officeDocument/2006/relationships/image" Target="media/image146.tiff"/><Relationship Id="rId170" Type="http://schemas.openxmlformats.org/officeDocument/2006/relationships/image" Target="media/image157.tiff"/><Relationship Id="rId107" Type="http://schemas.openxmlformats.org/officeDocument/2006/relationships/image" Target="media/image94.tiff"/><Relationship Id="rId11" Type="http://schemas.openxmlformats.org/officeDocument/2006/relationships/image" Target="media/image4.emf"/><Relationship Id="rId32" Type="http://schemas.openxmlformats.org/officeDocument/2006/relationships/image" Target="media/image21.tiff"/><Relationship Id="rId53" Type="http://schemas.openxmlformats.org/officeDocument/2006/relationships/image" Target="media/image40.emf"/><Relationship Id="rId74" Type="http://schemas.openxmlformats.org/officeDocument/2006/relationships/image" Target="media/image61.emf"/><Relationship Id="rId128" Type="http://schemas.openxmlformats.org/officeDocument/2006/relationships/image" Target="media/image115.tiff"/><Relationship Id="rId149" Type="http://schemas.openxmlformats.org/officeDocument/2006/relationships/image" Target="media/image136.tiff"/><Relationship Id="rId5" Type="http://schemas.openxmlformats.org/officeDocument/2006/relationships/webSettings" Target="webSettings.xml"/><Relationship Id="rId95" Type="http://schemas.openxmlformats.org/officeDocument/2006/relationships/image" Target="media/image82.tiff"/><Relationship Id="rId160" Type="http://schemas.openxmlformats.org/officeDocument/2006/relationships/image" Target="media/image147.tiff"/><Relationship Id="rId181" Type="http://schemas.openxmlformats.org/officeDocument/2006/relationships/footer" Target="footer9.xml"/><Relationship Id="rId22" Type="http://schemas.openxmlformats.org/officeDocument/2006/relationships/image" Target="media/image13.tiff"/><Relationship Id="rId43" Type="http://schemas.openxmlformats.org/officeDocument/2006/relationships/image" Target="media/image30.emf"/><Relationship Id="rId64" Type="http://schemas.openxmlformats.org/officeDocument/2006/relationships/image" Target="media/image51.emf"/><Relationship Id="rId118" Type="http://schemas.openxmlformats.org/officeDocument/2006/relationships/image" Target="media/image105.png"/><Relationship Id="rId139" Type="http://schemas.openxmlformats.org/officeDocument/2006/relationships/image" Target="media/image126.tiff"/><Relationship Id="rId85" Type="http://schemas.openxmlformats.org/officeDocument/2006/relationships/image" Target="media/image72.emf"/><Relationship Id="rId150" Type="http://schemas.openxmlformats.org/officeDocument/2006/relationships/image" Target="media/image137.tiff"/><Relationship Id="rId171" Type="http://schemas.openxmlformats.org/officeDocument/2006/relationships/image" Target="media/image158.tiff"/><Relationship Id="rId12" Type="http://schemas.openxmlformats.org/officeDocument/2006/relationships/footer" Target="footer1.xml"/><Relationship Id="rId33" Type="http://schemas.openxmlformats.org/officeDocument/2006/relationships/image" Target="media/image22.tiff"/><Relationship Id="rId108" Type="http://schemas.openxmlformats.org/officeDocument/2006/relationships/image" Target="media/image95.tiff"/><Relationship Id="rId129" Type="http://schemas.openxmlformats.org/officeDocument/2006/relationships/image" Target="media/image116.tiff"/><Relationship Id="rId54" Type="http://schemas.openxmlformats.org/officeDocument/2006/relationships/image" Target="media/image41.emf"/><Relationship Id="rId75" Type="http://schemas.openxmlformats.org/officeDocument/2006/relationships/image" Target="media/image62.emf"/><Relationship Id="rId96" Type="http://schemas.openxmlformats.org/officeDocument/2006/relationships/image" Target="media/image83.tiff"/><Relationship Id="rId140" Type="http://schemas.openxmlformats.org/officeDocument/2006/relationships/image" Target="media/image127.tiff"/><Relationship Id="rId161" Type="http://schemas.openxmlformats.org/officeDocument/2006/relationships/image" Target="media/image148.tiff"/><Relationship Id="rId182"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image" Target="media/image14.emf"/><Relationship Id="rId119" Type="http://schemas.openxmlformats.org/officeDocument/2006/relationships/image" Target="media/image106.png"/><Relationship Id="rId44" Type="http://schemas.openxmlformats.org/officeDocument/2006/relationships/image" Target="media/image31.emf"/><Relationship Id="rId60" Type="http://schemas.openxmlformats.org/officeDocument/2006/relationships/image" Target="media/image47.emf"/><Relationship Id="rId65" Type="http://schemas.openxmlformats.org/officeDocument/2006/relationships/image" Target="media/image52.emf"/><Relationship Id="rId81" Type="http://schemas.openxmlformats.org/officeDocument/2006/relationships/image" Target="media/image68.emf"/><Relationship Id="rId86" Type="http://schemas.openxmlformats.org/officeDocument/2006/relationships/image" Target="media/image73.emf"/><Relationship Id="rId130" Type="http://schemas.openxmlformats.org/officeDocument/2006/relationships/image" Target="media/image117.tiff"/><Relationship Id="rId135" Type="http://schemas.openxmlformats.org/officeDocument/2006/relationships/image" Target="media/image122.tiff"/><Relationship Id="rId151" Type="http://schemas.openxmlformats.org/officeDocument/2006/relationships/image" Target="media/image138.tiff"/><Relationship Id="rId156" Type="http://schemas.openxmlformats.org/officeDocument/2006/relationships/image" Target="media/image143.tiff"/><Relationship Id="rId177" Type="http://schemas.openxmlformats.org/officeDocument/2006/relationships/image" Target="media/image164.tiff"/><Relationship Id="rId172" Type="http://schemas.openxmlformats.org/officeDocument/2006/relationships/image" Target="media/image159.tiff"/><Relationship Id="rId13" Type="http://schemas.openxmlformats.org/officeDocument/2006/relationships/footer" Target="footer2.xml"/><Relationship Id="rId18" Type="http://schemas.openxmlformats.org/officeDocument/2006/relationships/image" Target="media/image9.emf"/><Relationship Id="rId39" Type="http://schemas.openxmlformats.org/officeDocument/2006/relationships/image" Target="media/image28.tiff"/><Relationship Id="rId109" Type="http://schemas.openxmlformats.org/officeDocument/2006/relationships/image" Target="media/image96.tiff"/><Relationship Id="rId34" Type="http://schemas.openxmlformats.org/officeDocument/2006/relationships/image" Target="media/image23.tiff"/><Relationship Id="rId50" Type="http://schemas.openxmlformats.org/officeDocument/2006/relationships/image" Target="media/image37.emf"/><Relationship Id="rId55" Type="http://schemas.openxmlformats.org/officeDocument/2006/relationships/image" Target="media/image42.emf"/><Relationship Id="rId76" Type="http://schemas.openxmlformats.org/officeDocument/2006/relationships/image" Target="media/image63.emf"/><Relationship Id="rId97" Type="http://schemas.openxmlformats.org/officeDocument/2006/relationships/image" Target="media/image84.tiff"/><Relationship Id="rId104" Type="http://schemas.openxmlformats.org/officeDocument/2006/relationships/image" Target="media/image91.tiff"/><Relationship Id="rId120" Type="http://schemas.openxmlformats.org/officeDocument/2006/relationships/image" Target="media/image107.tiff"/><Relationship Id="rId125" Type="http://schemas.openxmlformats.org/officeDocument/2006/relationships/image" Target="media/image112.tiff"/><Relationship Id="rId141" Type="http://schemas.openxmlformats.org/officeDocument/2006/relationships/image" Target="media/image128.tiff"/><Relationship Id="rId146" Type="http://schemas.openxmlformats.org/officeDocument/2006/relationships/image" Target="media/image133.tiff"/><Relationship Id="rId167" Type="http://schemas.openxmlformats.org/officeDocument/2006/relationships/image" Target="media/image154.tiff"/><Relationship Id="rId7" Type="http://schemas.openxmlformats.org/officeDocument/2006/relationships/endnotes" Target="endnotes.xml"/><Relationship Id="rId71" Type="http://schemas.openxmlformats.org/officeDocument/2006/relationships/image" Target="media/image58.emf"/><Relationship Id="rId92" Type="http://schemas.openxmlformats.org/officeDocument/2006/relationships/image" Target="media/image79.emf"/><Relationship Id="rId162" Type="http://schemas.openxmlformats.org/officeDocument/2006/relationships/image" Target="media/image149.tiff"/><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5.png"/><Relationship Id="rId40" Type="http://schemas.openxmlformats.org/officeDocument/2006/relationships/image" Target="media/image29.emf"/><Relationship Id="rId45" Type="http://schemas.openxmlformats.org/officeDocument/2006/relationships/image" Target="media/image32.emf"/><Relationship Id="rId66" Type="http://schemas.openxmlformats.org/officeDocument/2006/relationships/image" Target="media/image53.emf"/><Relationship Id="rId87" Type="http://schemas.openxmlformats.org/officeDocument/2006/relationships/image" Target="media/image74.emf"/><Relationship Id="rId110" Type="http://schemas.openxmlformats.org/officeDocument/2006/relationships/image" Target="media/image97.tiff"/><Relationship Id="rId115" Type="http://schemas.openxmlformats.org/officeDocument/2006/relationships/image" Target="media/image102.tiff"/><Relationship Id="rId131" Type="http://schemas.openxmlformats.org/officeDocument/2006/relationships/image" Target="media/image118.tiff"/><Relationship Id="rId136" Type="http://schemas.openxmlformats.org/officeDocument/2006/relationships/image" Target="media/image123.tiff"/><Relationship Id="rId157" Type="http://schemas.openxmlformats.org/officeDocument/2006/relationships/image" Target="media/image144.emf"/><Relationship Id="rId178" Type="http://schemas.openxmlformats.org/officeDocument/2006/relationships/image" Target="media/image165.tiff"/><Relationship Id="rId61" Type="http://schemas.openxmlformats.org/officeDocument/2006/relationships/image" Target="media/image48.emf"/><Relationship Id="rId82" Type="http://schemas.openxmlformats.org/officeDocument/2006/relationships/image" Target="media/image69.emf"/><Relationship Id="rId152" Type="http://schemas.openxmlformats.org/officeDocument/2006/relationships/image" Target="media/image139.tiff"/><Relationship Id="rId173" Type="http://schemas.openxmlformats.org/officeDocument/2006/relationships/image" Target="media/image160.tiff"/><Relationship Id="rId19" Type="http://schemas.openxmlformats.org/officeDocument/2006/relationships/image" Target="media/image10.emf"/><Relationship Id="rId14" Type="http://schemas.openxmlformats.org/officeDocument/2006/relationships/image" Target="media/image5.emf"/><Relationship Id="rId30" Type="http://schemas.openxmlformats.org/officeDocument/2006/relationships/image" Target="media/image19.emf"/><Relationship Id="rId35" Type="http://schemas.openxmlformats.org/officeDocument/2006/relationships/image" Target="media/image24.tiff"/><Relationship Id="rId56" Type="http://schemas.openxmlformats.org/officeDocument/2006/relationships/image" Target="media/image43.emf"/><Relationship Id="rId77" Type="http://schemas.openxmlformats.org/officeDocument/2006/relationships/image" Target="media/image64.emf"/><Relationship Id="rId100" Type="http://schemas.openxmlformats.org/officeDocument/2006/relationships/image" Target="media/image87.tiff"/><Relationship Id="rId105" Type="http://schemas.openxmlformats.org/officeDocument/2006/relationships/image" Target="media/image92.tiff"/><Relationship Id="rId126" Type="http://schemas.openxmlformats.org/officeDocument/2006/relationships/image" Target="media/image113.tiff"/><Relationship Id="rId147" Type="http://schemas.openxmlformats.org/officeDocument/2006/relationships/image" Target="media/image134.tiff"/><Relationship Id="rId168" Type="http://schemas.openxmlformats.org/officeDocument/2006/relationships/image" Target="media/image155.tiff"/><Relationship Id="rId8" Type="http://schemas.openxmlformats.org/officeDocument/2006/relationships/image" Target="media/image1.emf"/><Relationship Id="rId51" Type="http://schemas.openxmlformats.org/officeDocument/2006/relationships/image" Target="media/image38.emf"/><Relationship Id="rId72" Type="http://schemas.openxmlformats.org/officeDocument/2006/relationships/image" Target="media/image59.emf"/><Relationship Id="rId93" Type="http://schemas.openxmlformats.org/officeDocument/2006/relationships/image" Target="media/image80.tiff"/><Relationship Id="rId98" Type="http://schemas.openxmlformats.org/officeDocument/2006/relationships/image" Target="media/image85.tiff"/><Relationship Id="rId121" Type="http://schemas.openxmlformats.org/officeDocument/2006/relationships/image" Target="media/image108.tiff"/><Relationship Id="rId142" Type="http://schemas.openxmlformats.org/officeDocument/2006/relationships/image" Target="media/image129.tiff"/><Relationship Id="rId163" Type="http://schemas.openxmlformats.org/officeDocument/2006/relationships/image" Target="media/image150.tiff"/><Relationship Id="rId3" Type="http://schemas.openxmlformats.org/officeDocument/2006/relationships/styles" Target="styles.xml"/><Relationship Id="rId25" Type="http://schemas.openxmlformats.org/officeDocument/2006/relationships/footer" Target="footer3.xml"/><Relationship Id="rId46" Type="http://schemas.openxmlformats.org/officeDocument/2006/relationships/image" Target="media/image33.emf"/><Relationship Id="rId67" Type="http://schemas.openxmlformats.org/officeDocument/2006/relationships/image" Target="media/image54.png"/><Relationship Id="rId116" Type="http://schemas.openxmlformats.org/officeDocument/2006/relationships/image" Target="media/image103.emf"/><Relationship Id="rId137" Type="http://schemas.openxmlformats.org/officeDocument/2006/relationships/image" Target="media/image124.tiff"/><Relationship Id="rId158" Type="http://schemas.openxmlformats.org/officeDocument/2006/relationships/image" Target="media/image145.emf"/><Relationship Id="rId20" Type="http://schemas.openxmlformats.org/officeDocument/2006/relationships/image" Target="media/image11.emf"/><Relationship Id="rId41" Type="http://schemas.openxmlformats.org/officeDocument/2006/relationships/footer" Target="footer5.xml"/><Relationship Id="rId62" Type="http://schemas.openxmlformats.org/officeDocument/2006/relationships/image" Target="media/image49.emf"/><Relationship Id="rId83" Type="http://schemas.openxmlformats.org/officeDocument/2006/relationships/image" Target="media/image70.emf"/><Relationship Id="rId88" Type="http://schemas.openxmlformats.org/officeDocument/2006/relationships/image" Target="media/image75.emf"/><Relationship Id="rId111" Type="http://schemas.openxmlformats.org/officeDocument/2006/relationships/image" Target="media/image98.tiff"/><Relationship Id="rId132" Type="http://schemas.openxmlformats.org/officeDocument/2006/relationships/image" Target="media/image119.tiff"/><Relationship Id="rId153" Type="http://schemas.openxmlformats.org/officeDocument/2006/relationships/image" Target="media/image140.tiff"/><Relationship Id="rId174" Type="http://schemas.openxmlformats.org/officeDocument/2006/relationships/image" Target="media/image161.tiff"/><Relationship Id="rId179" Type="http://schemas.openxmlformats.org/officeDocument/2006/relationships/footer" Target="footer7.xml"/><Relationship Id="rId15" Type="http://schemas.openxmlformats.org/officeDocument/2006/relationships/image" Target="media/image6.emf"/><Relationship Id="rId36" Type="http://schemas.openxmlformats.org/officeDocument/2006/relationships/image" Target="media/image25.emf"/><Relationship Id="rId57" Type="http://schemas.openxmlformats.org/officeDocument/2006/relationships/image" Target="media/image44.emf"/><Relationship Id="rId106" Type="http://schemas.openxmlformats.org/officeDocument/2006/relationships/image" Target="media/image93.tiff"/><Relationship Id="rId127" Type="http://schemas.openxmlformats.org/officeDocument/2006/relationships/image" Target="media/image114.tiff"/><Relationship Id="rId10" Type="http://schemas.openxmlformats.org/officeDocument/2006/relationships/image" Target="media/image3.emf"/><Relationship Id="rId31" Type="http://schemas.openxmlformats.org/officeDocument/2006/relationships/image" Target="media/image20.emf"/><Relationship Id="rId52" Type="http://schemas.openxmlformats.org/officeDocument/2006/relationships/image" Target="media/image39.emf"/><Relationship Id="rId73" Type="http://schemas.openxmlformats.org/officeDocument/2006/relationships/image" Target="media/image60.tiff"/><Relationship Id="rId78" Type="http://schemas.openxmlformats.org/officeDocument/2006/relationships/image" Target="media/image65.emf"/><Relationship Id="rId94" Type="http://schemas.openxmlformats.org/officeDocument/2006/relationships/image" Target="media/image81.tiff"/><Relationship Id="rId99" Type="http://schemas.openxmlformats.org/officeDocument/2006/relationships/image" Target="media/image86.tiff"/><Relationship Id="rId101" Type="http://schemas.openxmlformats.org/officeDocument/2006/relationships/image" Target="media/image88.tiff"/><Relationship Id="rId122" Type="http://schemas.openxmlformats.org/officeDocument/2006/relationships/image" Target="media/image109.tiff"/><Relationship Id="rId143" Type="http://schemas.openxmlformats.org/officeDocument/2006/relationships/image" Target="media/image130.tiff"/><Relationship Id="rId148" Type="http://schemas.openxmlformats.org/officeDocument/2006/relationships/image" Target="media/image135.tiff"/><Relationship Id="rId164" Type="http://schemas.openxmlformats.org/officeDocument/2006/relationships/image" Target="media/image151.tiff"/><Relationship Id="rId169" Type="http://schemas.openxmlformats.org/officeDocument/2006/relationships/image" Target="media/image156.tiff"/><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footer" Target="footer8.xml"/><Relationship Id="rId26" Type="http://schemas.openxmlformats.org/officeDocument/2006/relationships/footer" Target="footer4.xml"/><Relationship Id="rId47" Type="http://schemas.openxmlformats.org/officeDocument/2006/relationships/image" Target="media/image34.emf"/><Relationship Id="rId68" Type="http://schemas.openxmlformats.org/officeDocument/2006/relationships/image" Target="media/image55.tiff"/><Relationship Id="rId89" Type="http://schemas.openxmlformats.org/officeDocument/2006/relationships/image" Target="media/image76.emf"/><Relationship Id="rId112" Type="http://schemas.openxmlformats.org/officeDocument/2006/relationships/image" Target="media/image99.tiff"/><Relationship Id="rId133" Type="http://schemas.openxmlformats.org/officeDocument/2006/relationships/image" Target="media/image120.tiff"/><Relationship Id="rId154" Type="http://schemas.openxmlformats.org/officeDocument/2006/relationships/image" Target="media/image141.tiff"/><Relationship Id="rId175" Type="http://schemas.openxmlformats.org/officeDocument/2006/relationships/image" Target="media/image162.tiff"/><Relationship Id="rId16" Type="http://schemas.openxmlformats.org/officeDocument/2006/relationships/image" Target="media/image7.emf"/><Relationship Id="rId37" Type="http://schemas.openxmlformats.org/officeDocument/2006/relationships/image" Target="media/image26.emf"/><Relationship Id="rId58" Type="http://schemas.openxmlformats.org/officeDocument/2006/relationships/image" Target="media/image45.emf"/><Relationship Id="rId79" Type="http://schemas.openxmlformats.org/officeDocument/2006/relationships/image" Target="media/image66.emf"/><Relationship Id="rId102" Type="http://schemas.openxmlformats.org/officeDocument/2006/relationships/image" Target="media/image89.tiff"/><Relationship Id="rId123" Type="http://schemas.openxmlformats.org/officeDocument/2006/relationships/image" Target="media/image110.tiff"/><Relationship Id="rId144" Type="http://schemas.openxmlformats.org/officeDocument/2006/relationships/image" Target="media/image131.tiff"/><Relationship Id="rId90" Type="http://schemas.openxmlformats.org/officeDocument/2006/relationships/image" Target="media/image77.emf"/><Relationship Id="rId165" Type="http://schemas.openxmlformats.org/officeDocument/2006/relationships/image" Target="media/image152.tiff"/><Relationship Id="rId27" Type="http://schemas.openxmlformats.org/officeDocument/2006/relationships/image" Target="media/image16.png"/><Relationship Id="rId48" Type="http://schemas.openxmlformats.org/officeDocument/2006/relationships/image" Target="media/image35.emf"/><Relationship Id="rId69" Type="http://schemas.openxmlformats.org/officeDocument/2006/relationships/image" Target="media/image56.tiff"/><Relationship Id="rId113" Type="http://schemas.openxmlformats.org/officeDocument/2006/relationships/image" Target="media/image100.tiff"/><Relationship Id="rId134" Type="http://schemas.openxmlformats.org/officeDocument/2006/relationships/image" Target="media/image121.tiff"/><Relationship Id="rId80" Type="http://schemas.openxmlformats.org/officeDocument/2006/relationships/image" Target="media/image67.emf"/><Relationship Id="rId155" Type="http://schemas.openxmlformats.org/officeDocument/2006/relationships/image" Target="media/image142.tiff"/><Relationship Id="rId176" Type="http://schemas.openxmlformats.org/officeDocument/2006/relationships/image" Target="media/image163.emf"/><Relationship Id="rId17" Type="http://schemas.openxmlformats.org/officeDocument/2006/relationships/image" Target="media/image8.emf"/><Relationship Id="rId38" Type="http://schemas.openxmlformats.org/officeDocument/2006/relationships/image" Target="media/image27.tiff"/><Relationship Id="rId59" Type="http://schemas.openxmlformats.org/officeDocument/2006/relationships/image" Target="media/image46.emf"/><Relationship Id="rId103" Type="http://schemas.openxmlformats.org/officeDocument/2006/relationships/image" Target="media/image90.tiff"/><Relationship Id="rId124" Type="http://schemas.openxmlformats.org/officeDocument/2006/relationships/image" Target="media/image111.tiff"/><Relationship Id="rId70" Type="http://schemas.openxmlformats.org/officeDocument/2006/relationships/image" Target="media/image57.emf"/><Relationship Id="rId91" Type="http://schemas.openxmlformats.org/officeDocument/2006/relationships/image" Target="media/image78.emf"/><Relationship Id="rId145" Type="http://schemas.openxmlformats.org/officeDocument/2006/relationships/image" Target="media/image132.tiff"/><Relationship Id="rId166" Type="http://schemas.openxmlformats.org/officeDocument/2006/relationships/image" Target="media/image153.tiff"/><Relationship Id="rId1" Type="http://schemas.openxmlformats.org/officeDocument/2006/relationships/customXml" Target="../customXml/item1.xml"/><Relationship Id="rId28" Type="http://schemas.openxmlformats.org/officeDocument/2006/relationships/image" Target="media/image17.tiff"/><Relationship Id="rId49" Type="http://schemas.openxmlformats.org/officeDocument/2006/relationships/image" Target="media/image36.emf"/><Relationship Id="rId114" Type="http://schemas.openxmlformats.org/officeDocument/2006/relationships/image" Target="media/image101.tiff"/></Relationships>
</file>

<file path=word/_rels/footnotes.xml.rels><?xml version="1.0" encoding="UTF-8" standalone="yes"?>
<Relationships xmlns="http://schemas.openxmlformats.org/package/2006/relationships"><Relationship Id="rId2" Type="http://schemas.openxmlformats.org/officeDocument/2006/relationships/hyperlink" Target="https://github.com/wStockhausen/wtsTCSAM02.git" TargetMode="External"/><Relationship Id="rId1" Type="http://schemas.openxmlformats.org/officeDocument/2006/relationships/hyperlink" Target="https://github.com/wStockhausen/wtsTCSAM2013.g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12915-48F0-4EFD-8E06-4949C909A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183</Pages>
  <Words>31764</Words>
  <Characters>181061</Characters>
  <Application>Microsoft Office Word</Application>
  <DocSecurity>0</DocSecurity>
  <Lines>1508</Lines>
  <Paragraphs>424</Paragraphs>
  <ScaleCrop>false</ScaleCrop>
  <HeadingPairs>
    <vt:vector size="2" baseType="variant">
      <vt:variant>
        <vt:lpstr>Title</vt:lpstr>
      </vt:variant>
      <vt:variant>
        <vt:i4>1</vt:i4>
      </vt:variant>
    </vt:vector>
  </HeadingPairs>
  <TitlesOfParts>
    <vt:vector size="1" baseType="lpstr">
      <vt:lpstr/>
    </vt:vector>
  </TitlesOfParts>
  <Company>NOAA Fisheries</Company>
  <LinksUpToDate>false</LinksUpToDate>
  <CharactersWithSpaces>212401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Stockhausen</dc:creator>
  <cp:lastModifiedBy>Jim Armstrong</cp:lastModifiedBy>
  <cp:revision>3</cp:revision>
  <cp:lastPrinted>2019-09-10T21:44:00Z</cp:lastPrinted>
  <dcterms:created xsi:type="dcterms:W3CDTF">2020-09-08T18:52:00Z</dcterms:created>
  <dcterms:modified xsi:type="dcterms:W3CDTF">2020-09-08T19:24:00Z</dcterms:modified>
</cp:coreProperties>
</file>