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19A79" w14:textId="77777777" w:rsidR="00255E0D" w:rsidRDefault="00711581">
      <w:pPr>
        <w:spacing w:after="0" w:line="265" w:lineRule="auto"/>
        <w:ind w:right="-12"/>
        <w:jc w:val="right"/>
      </w:pPr>
      <w:r>
        <w:rPr>
          <w:rFonts w:ascii="Arial" w:eastAsia="Arial" w:hAnsi="Arial" w:cs="Arial"/>
          <w:sz w:val="18"/>
        </w:rPr>
        <w:t xml:space="preserve">C2 BSAI Crab SAFE Introduction </w:t>
      </w:r>
    </w:p>
    <w:p w14:paraId="30CFD153" w14:textId="77777777" w:rsidR="00255E0D" w:rsidRDefault="00711581">
      <w:pPr>
        <w:spacing w:after="619" w:line="265" w:lineRule="auto"/>
        <w:ind w:right="-12"/>
        <w:jc w:val="right"/>
      </w:pPr>
      <w:r>
        <w:rPr>
          <w:rFonts w:ascii="Arial" w:eastAsia="Arial" w:hAnsi="Arial" w:cs="Arial"/>
          <w:sz w:val="18"/>
        </w:rPr>
        <w:t xml:space="preserve">JUNE 2020 </w:t>
      </w:r>
    </w:p>
    <w:p w14:paraId="2F9E2DED" w14:textId="77777777" w:rsidR="00255E0D" w:rsidRDefault="00711581">
      <w:pPr>
        <w:pStyle w:val="Heading1"/>
        <w:ind w:left="720" w:hanging="720"/>
      </w:pPr>
      <w:r>
        <w:t xml:space="preserve">Aleutian Islands Golden King Crab </w:t>
      </w:r>
    </w:p>
    <w:p w14:paraId="6254AF98" w14:textId="77777777" w:rsidR="00255E0D" w:rsidRDefault="00711581">
      <w:pPr>
        <w:pStyle w:val="Heading2"/>
        <w:ind w:left="-5"/>
      </w:pPr>
      <w:r>
        <w:t xml:space="preserve">Fishery information relative to OFL setting </w:t>
      </w:r>
    </w:p>
    <w:p w14:paraId="65E13388" w14:textId="257874E9" w:rsidR="00255E0D" w:rsidRDefault="00711581">
      <w:pPr>
        <w:ind w:left="-5" w:right="-13"/>
      </w:pPr>
      <w:r>
        <w:t>The directed fishery has been prosecuted annually since the 1981/82 season. Management based on a formally established GHL began with the 1996/97 season.  The Alaska Board of Fisheries adopted an abundance-</w:t>
      </w:r>
      <w:proofErr w:type="gramStart"/>
      <w:r>
        <w:t>based  harvest</w:t>
      </w:r>
      <w:proofErr w:type="gramEnd"/>
      <w:r>
        <w:t xml:space="preserve"> strategy for the stock in March 2019.  This fishery has been managed under the Crab Rationalization Program since 2005. Total mortality of AI golden king crab includes retained catch in the directed fishery, mortality of discarded catch, and bycatch in fixed-gear and trawl groundfish fisheries, though bycatch in other fisheries is low compared to mortality in the directed fishery. Total mortality in the post-rationalized fishery has ranged from 2,506 t in 2006/07 to 3,</w:t>
      </w:r>
      <w:r w:rsidR="00AE0843">
        <w:t>735</w:t>
      </w:r>
      <w:r>
        <w:t xml:space="preserve">t in 2019/20.   </w:t>
      </w:r>
    </w:p>
    <w:p w14:paraId="0B82D608" w14:textId="77777777" w:rsidR="00255E0D" w:rsidRDefault="00711581">
      <w:pPr>
        <w:pStyle w:val="Heading2"/>
        <w:ind w:left="-5"/>
      </w:pPr>
      <w:r>
        <w:t xml:space="preserve">Data and assessment methodology </w:t>
      </w:r>
    </w:p>
    <w:p w14:paraId="35599A6B" w14:textId="77777777" w:rsidR="00255E0D" w:rsidRDefault="00711581">
      <w:pPr>
        <w:ind w:left="-5" w:right="-13"/>
      </w:pPr>
      <w:r>
        <w:t xml:space="preserve">The assessment for AI golden king crab establishes a single OFL and ABC for the whole stock. However, separate models are evaluated for the EAG and the WAG owing to different abundance trends in each area. The current modeling framework was recommended by the CPT in September 2016 and approved by the SSC in October 2016. </w:t>
      </w:r>
    </w:p>
    <w:p w14:paraId="4985C679" w14:textId="77777777" w:rsidR="00255E0D" w:rsidRDefault="00711581">
      <w:pPr>
        <w:ind w:left="-5" w:right="-13"/>
      </w:pPr>
      <w:r>
        <w:t xml:space="preserve">The model-based stock assessment involves fitting male-only population dynamics models to data on catches and discards in the directed fishery, discards in the groundfish fishery, standardized indices of abundance based on observer data, fish ticket data, length-frequency data for the directed fishery (landings and total catch), and mark-recapture data. This is the only crab assessment that relies solely on fishery CPUE as an index of abundance, with the CPUE index standardization process subject to past CPT and SSC review. The data for the EAG are complete through the 2019/20 season. The fishery in the WAG was still operating when the assessment was conducted, with 96% of the TAC taken. </w:t>
      </w:r>
    </w:p>
    <w:p w14:paraId="2C1BF45D" w14:textId="77777777" w:rsidR="00255E0D" w:rsidRDefault="00711581">
      <w:pPr>
        <w:ind w:left="-5" w:right="-13"/>
      </w:pPr>
      <w:r>
        <w:t xml:space="preserve">The assessment authors examined six model scenarios for the EAG and three model scenarios for the WAG in this assessment cycle. Model 19.1 was last year’s base model. Model 20.1b was the same as Model 19.1 except that the standardization of the Fish Ticket CPUE was based on a negative binomial error model. Model 20.1b is an improvement over last year’s base model because </w:t>
      </w:r>
      <w:proofErr w:type="gramStart"/>
      <w:r>
        <w:t>it</w:t>
      </w:r>
      <w:proofErr w:type="gramEnd"/>
      <w:r>
        <w:t xml:space="preserve"> better accounts for the noise in the base model. The CPT recommends Model 20.1b with mean recruitment based on the estimates for years 1987-2012 for OFL and ABC determination for 2020/21. </w:t>
      </w:r>
    </w:p>
    <w:p w14:paraId="477A568C" w14:textId="77777777" w:rsidR="00255E0D" w:rsidRDefault="00711581">
      <w:pPr>
        <w:pStyle w:val="Heading2"/>
        <w:ind w:left="-5"/>
      </w:pPr>
      <w:r>
        <w:t xml:space="preserve">Stock biomass and recruitment trends </w:t>
      </w:r>
    </w:p>
    <w:p w14:paraId="3B570CA1" w14:textId="77777777" w:rsidR="00255E0D" w:rsidRDefault="00711581">
      <w:pPr>
        <w:ind w:left="-5" w:right="-13"/>
      </w:pPr>
      <w:r>
        <w:t xml:space="preserve">Estimated mature male biomass (MMB) for the EAG decreased from high levels until the 1990s after which the trend has been increasing. In contrast, the MMB for the WAG increased from a low in the 1990s until 2007/08 and then declined again, and has since recovered to the MMB levels of those in the mid-2000s. Recruitment for the EAG was variable and high during 2014-2016 while recruitment for the WAG was lower in recent years than during the 1980s. Stock trends reflected the fishery standardized CPUE trends in both areas. </w:t>
      </w:r>
    </w:p>
    <w:p w14:paraId="158C592D" w14:textId="77777777" w:rsidR="00255E0D" w:rsidRDefault="00711581">
      <w:pPr>
        <w:pStyle w:val="Heading2"/>
        <w:ind w:left="-5"/>
      </w:pPr>
      <w:r>
        <w:t xml:space="preserve">Summary of major changes </w:t>
      </w:r>
    </w:p>
    <w:p w14:paraId="4445E146" w14:textId="77777777" w:rsidR="00255E0D" w:rsidRDefault="00711581">
      <w:pPr>
        <w:spacing w:after="1529"/>
        <w:ind w:left="-5" w:right="-13"/>
      </w:pPr>
      <w:r>
        <w:t xml:space="preserve">The assessment model recommended by the CPT is </w:t>
      </w:r>
      <w:proofErr w:type="gramStart"/>
      <w:r>
        <w:t>similar to</w:t>
      </w:r>
      <w:proofErr w:type="gramEnd"/>
      <w:r>
        <w:t xml:space="preserve"> the model used in the previous assessment. There were minor changes in the CPUE standardization for the Fish Ticket data that had minor effects on assessment results. </w:t>
      </w:r>
    </w:p>
    <w:p w14:paraId="47E010AC" w14:textId="77777777" w:rsidR="00255E0D" w:rsidRDefault="00711581">
      <w:pPr>
        <w:spacing w:after="348" w:line="259" w:lineRule="auto"/>
        <w:ind w:right="-8"/>
        <w:jc w:val="right"/>
      </w:pPr>
      <w:r>
        <w:rPr>
          <w:rFonts w:ascii="Arial" w:eastAsia="Arial" w:hAnsi="Arial" w:cs="Arial"/>
          <w:sz w:val="20"/>
        </w:rPr>
        <w:lastRenderedPageBreak/>
        <w:t>28</w:t>
      </w:r>
      <w:r>
        <w:rPr>
          <w:sz w:val="24"/>
        </w:rPr>
        <w:t xml:space="preserve"> </w:t>
      </w:r>
    </w:p>
    <w:p w14:paraId="79EC72F1" w14:textId="77777777" w:rsidR="00255E0D" w:rsidRDefault="00711581">
      <w:pPr>
        <w:spacing w:after="0" w:line="265" w:lineRule="auto"/>
        <w:ind w:right="-12"/>
        <w:jc w:val="right"/>
      </w:pPr>
      <w:r>
        <w:rPr>
          <w:rFonts w:ascii="Arial" w:eastAsia="Arial" w:hAnsi="Arial" w:cs="Arial"/>
          <w:sz w:val="18"/>
        </w:rPr>
        <w:t xml:space="preserve">C2 BSAI Crab SAFE Introduction </w:t>
      </w:r>
    </w:p>
    <w:p w14:paraId="7F028D4B" w14:textId="77777777" w:rsidR="00255E0D" w:rsidRDefault="00711581">
      <w:pPr>
        <w:spacing w:after="341" w:line="265" w:lineRule="auto"/>
        <w:ind w:right="-12"/>
        <w:jc w:val="right"/>
      </w:pPr>
      <w:r>
        <w:rPr>
          <w:rFonts w:ascii="Arial" w:eastAsia="Arial" w:hAnsi="Arial" w:cs="Arial"/>
          <w:sz w:val="18"/>
        </w:rPr>
        <w:t xml:space="preserve">JUNE 2020 </w:t>
      </w:r>
    </w:p>
    <w:p w14:paraId="1FF37F4B" w14:textId="77777777" w:rsidR="00255E0D" w:rsidRDefault="00711581">
      <w:pPr>
        <w:pStyle w:val="Heading2"/>
        <w:ind w:left="-5"/>
      </w:pPr>
      <w:r>
        <w:t xml:space="preserve">Tier determination/Plan Team discussion and resulting OFL and ABC determination </w:t>
      </w:r>
    </w:p>
    <w:p w14:paraId="5B671C43" w14:textId="77777777" w:rsidR="00255E0D" w:rsidRDefault="00711581">
      <w:pPr>
        <w:ind w:left="-5" w:right="-13"/>
      </w:pPr>
      <w:r>
        <w:t xml:space="preserve">The CPT recommends that this stock be managed as a Tier 3 stock in 2020/21. A single OFL and ABC is defined for AIGKC. However, separate models are available by area. The CPT recommends that stock status be determined by adding the estimates of current MMB and </w:t>
      </w:r>
      <w:r>
        <w:rPr>
          <w:i/>
        </w:rPr>
        <w:t>B</w:t>
      </w:r>
      <w:r>
        <w:rPr>
          <w:i/>
          <w:vertAlign w:val="subscript"/>
        </w:rPr>
        <w:t>MSY</w:t>
      </w:r>
      <w:r>
        <w:t xml:space="preserve"> by area. This stock status is then used to determine the ratio of </w:t>
      </w:r>
      <w:r>
        <w:rPr>
          <w:i/>
        </w:rPr>
        <w:t>F</w:t>
      </w:r>
      <w:r>
        <w:rPr>
          <w:vertAlign w:val="subscript"/>
        </w:rPr>
        <w:t>OFL</w:t>
      </w:r>
      <w:r>
        <w:t xml:space="preserve"> to </w:t>
      </w:r>
      <w:r>
        <w:rPr>
          <w:i/>
        </w:rPr>
        <w:t>F</w:t>
      </w:r>
      <w:r>
        <w:rPr>
          <w:vertAlign w:val="subscript"/>
        </w:rPr>
        <w:t>35%</w:t>
      </w:r>
      <w:r>
        <w:t xml:space="preserve"> by area, which is then used to calculate the OFLs by area, which are then added together to calculate an OFL for the entire stock. The SSC has concurred with this approach. The stock is currently estimated to be above B</w:t>
      </w:r>
      <w:r>
        <w:rPr>
          <w:vertAlign w:val="subscript"/>
        </w:rPr>
        <w:t xml:space="preserve">MSY </w:t>
      </w:r>
      <w:r>
        <w:t xml:space="preserve">in both areas therefore no adjustment is needed to the </w:t>
      </w:r>
      <w:r>
        <w:rPr>
          <w:i/>
        </w:rPr>
        <w:t>F</w:t>
      </w:r>
      <w:r>
        <w:rPr>
          <w:vertAlign w:val="subscript"/>
        </w:rPr>
        <w:t xml:space="preserve">OFL </w:t>
      </w:r>
      <w:r>
        <w:t>to determine the combined</w:t>
      </w:r>
      <w:r>
        <w:rPr>
          <w:vertAlign w:val="subscript"/>
        </w:rPr>
        <w:t xml:space="preserve"> </w:t>
      </w:r>
      <w:r>
        <w:t xml:space="preserve">OFL for both areas. As in 2019, the CPT recommends that the </w:t>
      </w:r>
      <w:r>
        <w:rPr>
          <w:i/>
        </w:rPr>
        <w:t>B</w:t>
      </w:r>
      <w:r>
        <w:rPr>
          <w:i/>
          <w:vertAlign w:val="subscript"/>
        </w:rPr>
        <w:t xml:space="preserve">MSY </w:t>
      </w:r>
      <w:r>
        <w:t xml:space="preserve">proxy for the Tier 3 harvest control rule be based on the average recruitment from 1987-2012, years for which recruitment estimates are relatively precise.  </w:t>
      </w:r>
    </w:p>
    <w:p w14:paraId="1DB42323" w14:textId="77777777" w:rsidR="00255E0D" w:rsidRDefault="00711581">
      <w:pPr>
        <w:spacing w:after="0" w:line="259" w:lineRule="auto"/>
        <w:ind w:left="-5"/>
        <w:jc w:val="left"/>
      </w:pPr>
      <w:r>
        <w:rPr>
          <w:i/>
          <w:sz w:val="24"/>
        </w:rPr>
        <w:t xml:space="preserve">Status and catch specifications (1000 t) for Aleutian Islands golden king crab. Shaded values are new estimates or projections based on the current assessment. Other table entries are based on historical assessments and are not updated except for total and retained catch. </w:t>
      </w:r>
    </w:p>
    <w:tbl>
      <w:tblPr>
        <w:tblStyle w:val="TableGrid"/>
        <w:tblW w:w="8597" w:type="dxa"/>
        <w:tblInd w:w="-14" w:type="dxa"/>
        <w:tblCellMar>
          <w:right w:w="115" w:type="dxa"/>
        </w:tblCellMar>
        <w:tblLook w:val="04A0" w:firstRow="1" w:lastRow="0" w:firstColumn="1" w:lastColumn="0" w:noHBand="0" w:noVBand="1"/>
      </w:tblPr>
      <w:tblGrid>
        <w:gridCol w:w="1298"/>
        <w:gridCol w:w="893"/>
        <w:gridCol w:w="1150"/>
        <w:gridCol w:w="809"/>
        <w:gridCol w:w="1234"/>
        <w:gridCol w:w="1121"/>
        <w:gridCol w:w="1214"/>
        <w:gridCol w:w="878"/>
      </w:tblGrid>
      <w:tr w:rsidR="00255E0D" w14:paraId="31E88E42" w14:textId="77777777">
        <w:trPr>
          <w:trHeight w:val="665"/>
        </w:trPr>
        <w:tc>
          <w:tcPr>
            <w:tcW w:w="1298" w:type="dxa"/>
            <w:tcBorders>
              <w:top w:val="single" w:sz="12" w:space="0" w:color="000000"/>
              <w:left w:val="nil"/>
              <w:bottom w:val="single" w:sz="12" w:space="0" w:color="000000"/>
              <w:right w:val="nil"/>
            </w:tcBorders>
            <w:vAlign w:val="center"/>
          </w:tcPr>
          <w:p w14:paraId="22B4C5AA" w14:textId="77777777" w:rsidR="00255E0D" w:rsidRDefault="00711581">
            <w:pPr>
              <w:spacing w:after="0" w:line="259" w:lineRule="auto"/>
              <w:ind w:left="0" w:right="6" w:firstLine="0"/>
              <w:jc w:val="center"/>
            </w:pPr>
            <w:r>
              <w:rPr>
                <w:b/>
                <w:sz w:val="24"/>
              </w:rPr>
              <w:t xml:space="preserve">Year </w:t>
            </w:r>
          </w:p>
        </w:tc>
        <w:tc>
          <w:tcPr>
            <w:tcW w:w="893" w:type="dxa"/>
            <w:tcBorders>
              <w:top w:val="single" w:sz="12" w:space="0" w:color="000000"/>
              <w:left w:val="nil"/>
              <w:bottom w:val="single" w:sz="12" w:space="0" w:color="000000"/>
              <w:right w:val="nil"/>
            </w:tcBorders>
          </w:tcPr>
          <w:p w14:paraId="0C0FDD55" w14:textId="77777777" w:rsidR="00255E0D" w:rsidRDefault="00711581">
            <w:pPr>
              <w:spacing w:after="16" w:line="259" w:lineRule="auto"/>
              <w:ind w:left="326" w:firstLine="0"/>
              <w:jc w:val="left"/>
            </w:pPr>
            <w:r>
              <w:rPr>
                <w:b/>
                <w:sz w:val="24"/>
              </w:rPr>
              <w:t xml:space="preserve"> </w:t>
            </w:r>
          </w:p>
          <w:p w14:paraId="57AABFCC" w14:textId="77777777" w:rsidR="00255E0D" w:rsidRDefault="00711581">
            <w:pPr>
              <w:spacing w:after="0" w:line="259" w:lineRule="auto"/>
              <w:ind w:left="0" w:firstLine="0"/>
              <w:jc w:val="left"/>
            </w:pPr>
            <w:r>
              <w:rPr>
                <w:b/>
                <w:sz w:val="24"/>
              </w:rPr>
              <w:t xml:space="preserve">MSST </w:t>
            </w:r>
          </w:p>
        </w:tc>
        <w:tc>
          <w:tcPr>
            <w:tcW w:w="1150" w:type="dxa"/>
            <w:tcBorders>
              <w:top w:val="single" w:sz="12" w:space="0" w:color="000000"/>
              <w:left w:val="nil"/>
              <w:bottom w:val="single" w:sz="12" w:space="0" w:color="000000"/>
              <w:right w:val="nil"/>
            </w:tcBorders>
          </w:tcPr>
          <w:p w14:paraId="4C8CDE9C" w14:textId="77777777" w:rsidR="00255E0D" w:rsidRDefault="00711581">
            <w:pPr>
              <w:spacing w:after="0" w:line="259" w:lineRule="auto"/>
              <w:ind w:left="70" w:hanging="41"/>
              <w:jc w:val="left"/>
            </w:pPr>
            <w:r>
              <w:rPr>
                <w:b/>
                <w:sz w:val="24"/>
              </w:rPr>
              <w:t xml:space="preserve">Biomass (MMB) </w:t>
            </w:r>
          </w:p>
        </w:tc>
        <w:tc>
          <w:tcPr>
            <w:tcW w:w="809" w:type="dxa"/>
            <w:tcBorders>
              <w:top w:val="single" w:sz="12" w:space="0" w:color="000000"/>
              <w:left w:val="nil"/>
              <w:bottom w:val="single" w:sz="12" w:space="0" w:color="000000"/>
              <w:right w:val="nil"/>
            </w:tcBorders>
            <w:vAlign w:val="center"/>
          </w:tcPr>
          <w:p w14:paraId="5344D6EB" w14:textId="77777777" w:rsidR="00255E0D" w:rsidRDefault="00711581">
            <w:pPr>
              <w:spacing w:after="0" w:line="259" w:lineRule="auto"/>
              <w:ind w:left="17" w:firstLine="0"/>
              <w:jc w:val="left"/>
            </w:pPr>
            <w:r>
              <w:rPr>
                <w:b/>
                <w:sz w:val="24"/>
              </w:rPr>
              <w:t xml:space="preserve">TAC </w:t>
            </w:r>
          </w:p>
        </w:tc>
        <w:tc>
          <w:tcPr>
            <w:tcW w:w="1234" w:type="dxa"/>
            <w:tcBorders>
              <w:top w:val="single" w:sz="12" w:space="0" w:color="000000"/>
              <w:left w:val="nil"/>
              <w:bottom w:val="single" w:sz="12" w:space="0" w:color="000000"/>
              <w:right w:val="nil"/>
            </w:tcBorders>
          </w:tcPr>
          <w:p w14:paraId="12F5E3D2" w14:textId="77777777" w:rsidR="00255E0D" w:rsidRDefault="00711581">
            <w:pPr>
              <w:spacing w:after="0" w:line="259" w:lineRule="auto"/>
              <w:ind w:left="151" w:hanging="151"/>
              <w:jc w:val="left"/>
            </w:pPr>
            <w:r>
              <w:rPr>
                <w:b/>
                <w:sz w:val="24"/>
              </w:rPr>
              <w:t xml:space="preserve">Retained Catch </w:t>
            </w:r>
          </w:p>
        </w:tc>
        <w:tc>
          <w:tcPr>
            <w:tcW w:w="1121" w:type="dxa"/>
            <w:tcBorders>
              <w:top w:val="single" w:sz="12" w:space="0" w:color="000000"/>
              <w:left w:val="nil"/>
              <w:bottom w:val="single" w:sz="12" w:space="0" w:color="000000"/>
              <w:right w:val="nil"/>
            </w:tcBorders>
          </w:tcPr>
          <w:p w14:paraId="7E3198B9" w14:textId="77777777" w:rsidR="00255E0D" w:rsidRDefault="00711581">
            <w:pPr>
              <w:spacing w:after="0" w:line="259" w:lineRule="auto"/>
              <w:ind w:left="0" w:firstLine="34"/>
              <w:jc w:val="left"/>
            </w:pPr>
            <w:r>
              <w:rPr>
                <w:b/>
                <w:sz w:val="24"/>
              </w:rPr>
              <w:t xml:space="preserve">Total Catch </w:t>
            </w:r>
          </w:p>
        </w:tc>
        <w:tc>
          <w:tcPr>
            <w:tcW w:w="1214" w:type="dxa"/>
            <w:tcBorders>
              <w:top w:val="single" w:sz="12" w:space="0" w:color="000000"/>
              <w:left w:val="nil"/>
              <w:bottom w:val="single" w:sz="12" w:space="0" w:color="000000"/>
              <w:right w:val="nil"/>
            </w:tcBorders>
            <w:vAlign w:val="center"/>
          </w:tcPr>
          <w:p w14:paraId="4FBCDC34" w14:textId="77777777" w:rsidR="00255E0D" w:rsidRDefault="00711581">
            <w:pPr>
              <w:spacing w:after="0" w:line="259" w:lineRule="auto"/>
              <w:ind w:left="22" w:firstLine="0"/>
              <w:jc w:val="left"/>
            </w:pPr>
            <w:r>
              <w:rPr>
                <w:b/>
                <w:sz w:val="24"/>
              </w:rPr>
              <w:t xml:space="preserve">OFL </w:t>
            </w:r>
          </w:p>
        </w:tc>
        <w:tc>
          <w:tcPr>
            <w:tcW w:w="878" w:type="dxa"/>
            <w:tcBorders>
              <w:top w:val="single" w:sz="12" w:space="0" w:color="000000"/>
              <w:left w:val="nil"/>
              <w:bottom w:val="single" w:sz="12" w:space="0" w:color="000000"/>
              <w:right w:val="nil"/>
            </w:tcBorders>
            <w:vAlign w:val="center"/>
          </w:tcPr>
          <w:p w14:paraId="1B589F6B" w14:textId="77777777" w:rsidR="00255E0D" w:rsidRDefault="00711581">
            <w:pPr>
              <w:spacing w:after="0" w:line="259" w:lineRule="auto"/>
              <w:ind w:left="17" w:firstLine="0"/>
              <w:jc w:val="left"/>
            </w:pPr>
            <w:r>
              <w:rPr>
                <w:b/>
                <w:sz w:val="24"/>
              </w:rPr>
              <w:t>ABC</w:t>
            </w:r>
            <w:r>
              <w:rPr>
                <w:b/>
                <w:sz w:val="24"/>
                <w:vertAlign w:val="superscript"/>
              </w:rPr>
              <w:t xml:space="preserve"> </w:t>
            </w:r>
          </w:p>
        </w:tc>
      </w:tr>
      <w:tr w:rsidR="00255E0D" w14:paraId="2CC59716" w14:textId="77777777">
        <w:trPr>
          <w:trHeight w:val="308"/>
        </w:trPr>
        <w:tc>
          <w:tcPr>
            <w:tcW w:w="1298" w:type="dxa"/>
            <w:tcBorders>
              <w:top w:val="single" w:sz="12" w:space="0" w:color="000000"/>
              <w:left w:val="nil"/>
              <w:bottom w:val="nil"/>
              <w:right w:val="nil"/>
            </w:tcBorders>
          </w:tcPr>
          <w:p w14:paraId="41A65145" w14:textId="77777777" w:rsidR="00255E0D" w:rsidRDefault="00711581">
            <w:pPr>
              <w:spacing w:after="0" w:line="259" w:lineRule="auto"/>
              <w:ind w:left="197" w:firstLine="0"/>
              <w:jc w:val="left"/>
            </w:pPr>
            <w:r>
              <w:rPr>
                <w:sz w:val="24"/>
              </w:rPr>
              <w:t xml:space="preserve">2016/17 </w:t>
            </w:r>
          </w:p>
        </w:tc>
        <w:tc>
          <w:tcPr>
            <w:tcW w:w="893" w:type="dxa"/>
            <w:tcBorders>
              <w:top w:val="single" w:sz="12" w:space="0" w:color="000000"/>
              <w:left w:val="nil"/>
              <w:bottom w:val="nil"/>
              <w:right w:val="nil"/>
            </w:tcBorders>
          </w:tcPr>
          <w:p w14:paraId="24888EFF" w14:textId="77777777" w:rsidR="00255E0D" w:rsidRDefault="00711581">
            <w:pPr>
              <w:spacing w:after="0" w:line="259" w:lineRule="auto"/>
              <w:ind w:left="120" w:firstLine="0"/>
              <w:jc w:val="left"/>
            </w:pPr>
            <w:r>
              <w:rPr>
                <w:sz w:val="24"/>
              </w:rPr>
              <w:t xml:space="preserve">N/A </w:t>
            </w:r>
          </w:p>
        </w:tc>
        <w:tc>
          <w:tcPr>
            <w:tcW w:w="1150" w:type="dxa"/>
            <w:tcBorders>
              <w:top w:val="single" w:sz="12" w:space="0" w:color="000000"/>
              <w:left w:val="nil"/>
              <w:bottom w:val="nil"/>
              <w:right w:val="nil"/>
            </w:tcBorders>
          </w:tcPr>
          <w:p w14:paraId="25E298B1" w14:textId="77777777" w:rsidR="00255E0D" w:rsidRDefault="00711581">
            <w:pPr>
              <w:spacing w:after="0" w:line="259" w:lineRule="auto"/>
              <w:ind w:left="0" w:firstLine="0"/>
              <w:jc w:val="left"/>
            </w:pPr>
            <w:r>
              <w:rPr>
                <w:sz w:val="24"/>
              </w:rPr>
              <w:t xml:space="preserve">N/A </w:t>
            </w:r>
          </w:p>
        </w:tc>
        <w:tc>
          <w:tcPr>
            <w:tcW w:w="809" w:type="dxa"/>
            <w:tcBorders>
              <w:top w:val="single" w:sz="12" w:space="0" w:color="000000"/>
              <w:left w:val="nil"/>
              <w:bottom w:val="nil"/>
              <w:right w:val="nil"/>
            </w:tcBorders>
          </w:tcPr>
          <w:p w14:paraId="01087FCB" w14:textId="77777777" w:rsidR="00255E0D" w:rsidRDefault="00711581">
            <w:pPr>
              <w:spacing w:after="0" w:line="259" w:lineRule="auto"/>
              <w:ind w:left="0" w:firstLine="0"/>
              <w:jc w:val="left"/>
            </w:pPr>
            <w:r>
              <w:rPr>
                <w:sz w:val="24"/>
              </w:rPr>
              <w:t xml:space="preserve">2.515 </w:t>
            </w:r>
          </w:p>
        </w:tc>
        <w:tc>
          <w:tcPr>
            <w:tcW w:w="1234" w:type="dxa"/>
            <w:tcBorders>
              <w:top w:val="single" w:sz="12" w:space="0" w:color="000000"/>
              <w:left w:val="nil"/>
              <w:bottom w:val="nil"/>
              <w:right w:val="nil"/>
            </w:tcBorders>
          </w:tcPr>
          <w:p w14:paraId="3E1B38C8" w14:textId="77777777" w:rsidR="00255E0D" w:rsidRDefault="00711581">
            <w:pPr>
              <w:spacing w:after="0" w:line="259" w:lineRule="auto"/>
              <w:ind w:left="190" w:firstLine="0"/>
              <w:jc w:val="left"/>
            </w:pPr>
            <w:r>
              <w:rPr>
                <w:sz w:val="24"/>
              </w:rPr>
              <w:t xml:space="preserve">2.593 </w:t>
            </w:r>
          </w:p>
        </w:tc>
        <w:tc>
          <w:tcPr>
            <w:tcW w:w="1121" w:type="dxa"/>
            <w:tcBorders>
              <w:top w:val="single" w:sz="12" w:space="0" w:color="000000"/>
              <w:left w:val="nil"/>
              <w:bottom w:val="nil"/>
              <w:right w:val="nil"/>
            </w:tcBorders>
          </w:tcPr>
          <w:p w14:paraId="355E26AD" w14:textId="7023DC01" w:rsidR="00255E0D" w:rsidRDefault="004E4C08">
            <w:pPr>
              <w:spacing w:after="0" w:line="259" w:lineRule="auto"/>
              <w:ind w:left="36" w:firstLine="0"/>
              <w:jc w:val="left"/>
            </w:pPr>
            <w:r>
              <w:rPr>
                <w:sz w:val="24"/>
              </w:rPr>
              <w:t>3.046</w:t>
            </w:r>
            <w:r w:rsidR="00711581">
              <w:rPr>
                <w:sz w:val="24"/>
              </w:rPr>
              <w:t xml:space="preserve"> </w:t>
            </w:r>
          </w:p>
        </w:tc>
        <w:tc>
          <w:tcPr>
            <w:tcW w:w="1214" w:type="dxa"/>
            <w:tcBorders>
              <w:top w:val="single" w:sz="12" w:space="0" w:color="000000"/>
              <w:left w:val="nil"/>
              <w:bottom w:val="nil"/>
              <w:right w:val="nil"/>
            </w:tcBorders>
          </w:tcPr>
          <w:p w14:paraId="77FE8DDD" w14:textId="77777777" w:rsidR="00255E0D" w:rsidRDefault="00711581">
            <w:pPr>
              <w:spacing w:after="0" w:line="259" w:lineRule="auto"/>
              <w:ind w:left="60" w:firstLine="0"/>
              <w:jc w:val="left"/>
            </w:pPr>
            <w:r>
              <w:rPr>
                <w:sz w:val="24"/>
              </w:rPr>
              <w:t xml:space="preserve">5.69 </w:t>
            </w:r>
          </w:p>
        </w:tc>
        <w:tc>
          <w:tcPr>
            <w:tcW w:w="878" w:type="dxa"/>
            <w:tcBorders>
              <w:top w:val="single" w:sz="12" w:space="0" w:color="000000"/>
              <w:left w:val="nil"/>
              <w:bottom w:val="nil"/>
              <w:right w:val="nil"/>
            </w:tcBorders>
          </w:tcPr>
          <w:p w14:paraId="7B956160" w14:textId="77777777" w:rsidR="00255E0D" w:rsidRDefault="00711581">
            <w:pPr>
              <w:spacing w:after="0" w:line="259" w:lineRule="auto"/>
              <w:ind w:left="60" w:firstLine="0"/>
              <w:jc w:val="left"/>
            </w:pPr>
            <w:r>
              <w:rPr>
                <w:sz w:val="24"/>
              </w:rPr>
              <w:t xml:space="preserve">4.26 </w:t>
            </w:r>
          </w:p>
        </w:tc>
      </w:tr>
      <w:tr w:rsidR="00255E0D" w14:paraId="0EDA6B31" w14:textId="77777777">
        <w:trPr>
          <w:trHeight w:val="318"/>
        </w:trPr>
        <w:tc>
          <w:tcPr>
            <w:tcW w:w="1298" w:type="dxa"/>
            <w:tcBorders>
              <w:top w:val="nil"/>
              <w:left w:val="nil"/>
              <w:bottom w:val="nil"/>
              <w:right w:val="nil"/>
            </w:tcBorders>
          </w:tcPr>
          <w:p w14:paraId="33420088" w14:textId="77777777" w:rsidR="00255E0D" w:rsidRDefault="00711581">
            <w:pPr>
              <w:spacing w:after="0" w:line="259" w:lineRule="auto"/>
              <w:ind w:left="197" w:firstLine="0"/>
              <w:jc w:val="left"/>
            </w:pPr>
            <w:r>
              <w:rPr>
                <w:sz w:val="24"/>
              </w:rPr>
              <w:t xml:space="preserve">2017/18 </w:t>
            </w:r>
          </w:p>
        </w:tc>
        <w:tc>
          <w:tcPr>
            <w:tcW w:w="893" w:type="dxa"/>
            <w:tcBorders>
              <w:top w:val="nil"/>
              <w:left w:val="nil"/>
              <w:bottom w:val="nil"/>
              <w:right w:val="nil"/>
            </w:tcBorders>
          </w:tcPr>
          <w:p w14:paraId="061B3D92" w14:textId="77777777" w:rsidR="00255E0D" w:rsidRDefault="00711581">
            <w:pPr>
              <w:spacing w:after="0" w:line="259" w:lineRule="auto"/>
              <w:ind w:left="55" w:firstLine="0"/>
              <w:jc w:val="left"/>
            </w:pPr>
            <w:r>
              <w:rPr>
                <w:sz w:val="24"/>
              </w:rPr>
              <w:t xml:space="preserve">6.044 </w:t>
            </w:r>
          </w:p>
        </w:tc>
        <w:tc>
          <w:tcPr>
            <w:tcW w:w="1150" w:type="dxa"/>
            <w:tcBorders>
              <w:top w:val="nil"/>
              <w:left w:val="nil"/>
              <w:bottom w:val="nil"/>
              <w:right w:val="nil"/>
            </w:tcBorders>
          </w:tcPr>
          <w:p w14:paraId="5E15CD8C" w14:textId="77777777" w:rsidR="00255E0D" w:rsidRDefault="00711581">
            <w:pPr>
              <w:spacing w:after="0" w:line="259" w:lineRule="auto"/>
              <w:ind w:left="0" w:firstLine="0"/>
              <w:jc w:val="left"/>
            </w:pPr>
            <w:r>
              <w:rPr>
                <w:sz w:val="24"/>
              </w:rPr>
              <w:t xml:space="preserve">14.205 </w:t>
            </w:r>
          </w:p>
        </w:tc>
        <w:tc>
          <w:tcPr>
            <w:tcW w:w="809" w:type="dxa"/>
            <w:tcBorders>
              <w:top w:val="nil"/>
              <w:left w:val="nil"/>
              <w:bottom w:val="nil"/>
              <w:right w:val="nil"/>
            </w:tcBorders>
          </w:tcPr>
          <w:p w14:paraId="057B66F4" w14:textId="77777777" w:rsidR="00255E0D" w:rsidRDefault="00711581">
            <w:pPr>
              <w:spacing w:after="0" w:line="259" w:lineRule="auto"/>
              <w:ind w:left="0" w:firstLine="0"/>
              <w:jc w:val="left"/>
            </w:pPr>
            <w:r>
              <w:rPr>
                <w:sz w:val="24"/>
              </w:rPr>
              <w:t xml:space="preserve">2.515 </w:t>
            </w:r>
          </w:p>
        </w:tc>
        <w:tc>
          <w:tcPr>
            <w:tcW w:w="1234" w:type="dxa"/>
            <w:tcBorders>
              <w:top w:val="nil"/>
              <w:left w:val="nil"/>
              <w:bottom w:val="nil"/>
              <w:right w:val="nil"/>
            </w:tcBorders>
          </w:tcPr>
          <w:p w14:paraId="6A29521D" w14:textId="77777777" w:rsidR="00255E0D" w:rsidRDefault="00711581">
            <w:pPr>
              <w:spacing w:after="0" w:line="259" w:lineRule="auto"/>
              <w:ind w:left="190" w:firstLine="0"/>
              <w:jc w:val="left"/>
            </w:pPr>
            <w:r>
              <w:rPr>
                <w:sz w:val="24"/>
              </w:rPr>
              <w:t xml:space="preserve">2.585 </w:t>
            </w:r>
          </w:p>
        </w:tc>
        <w:tc>
          <w:tcPr>
            <w:tcW w:w="1121" w:type="dxa"/>
            <w:tcBorders>
              <w:top w:val="nil"/>
              <w:left w:val="nil"/>
              <w:bottom w:val="nil"/>
              <w:right w:val="nil"/>
            </w:tcBorders>
          </w:tcPr>
          <w:p w14:paraId="4E401A92" w14:textId="30BCC8E5" w:rsidR="00255E0D" w:rsidRDefault="00711581">
            <w:pPr>
              <w:spacing w:after="0" w:line="259" w:lineRule="auto"/>
              <w:ind w:left="36" w:firstLine="0"/>
              <w:jc w:val="left"/>
            </w:pPr>
            <w:r>
              <w:rPr>
                <w:sz w:val="24"/>
              </w:rPr>
              <w:t>2.9</w:t>
            </w:r>
            <w:r w:rsidR="004E4C08">
              <w:rPr>
                <w:sz w:val="24"/>
              </w:rPr>
              <w:t>79</w:t>
            </w:r>
            <w:r>
              <w:rPr>
                <w:sz w:val="24"/>
              </w:rPr>
              <w:t xml:space="preserve"> </w:t>
            </w:r>
          </w:p>
        </w:tc>
        <w:tc>
          <w:tcPr>
            <w:tcW w:w="1214" w:type="dxa"/>
            <w:tcBorders>
              <w:top w:val="nil"/>
              <w:left w:val="nil"/>
              <w:bottom w:val="nil"/>
              <w:right w:val="nil"/>
            </w:tcBorders>
          </w:tcPr>
          <w:p w14:paraId="0C482C6F" w14:textId="77777777" w:rsidR="00255E0D" w:rsidRDefault="00711581">
            <w:pPr>
              <w:spacing w:after="0" w:line="259" w:lineRule="auto"/>
              <w:ind w:left="0" w:firstLine="0"/>
              <w:jc w:val="left"/>
            </w:pPr>
            <w:r>
              <w:rPr>
                <w:sz w:val="24"/>
              </w:rPr>
              <w:t xml:space="preserve">6.048 </w:t>
            </w:r>
          </w:p>
        </w:tc>
        <w:tc>
          <w:tcPr>
            <w:tcW w:w="878" w:type="dxa"/>
            <w:tcBorders>
              <w:top w:val="nil"/>
              <w:left w:val="nil"/>
              <w:bottom w:val="nil"/>
              <w:right w:val="nil"/>
            </w:tcBorders>
          </w:tcPr>
          <w:p w14:paraId="47DD4630" w14:textId="77777777" w:rsidR="00255E0D" w:rsidRDefault="00711581">
            <w:pPr>
              <w:spacing w:after="0" w:line="259" w:lineRule="auto"/>
              <w:ind w:left="0" w:firstLine="0"/>
              <w:jc w:val="left"/>
            </w:pPr>
            <w:r>
              <w:rPr>
                <w:sz w:val="24"/>
              </w:rPr>
              <w:t xml:space="preserve">4.536 </w:t>
            </w:r>
          </w:p>
        </w:tc>
      </w:tr>
      <w:tr w:rsidR="00255E0D" w14:paraId="46C54B1F" w14:textId="77777777">
        <w:trPr>
          <w:trHeight w:val="318"/>
        </w:trPr>
        <w:tc>
          <w:tcPr>
            <w:tcW w:w="1298" w:type="dxa"/>
            <w:tcBorders>
              <w:top w:val="nil"/>
              <w:left w:val="nil"/>
              <w:bottom w:val="nil"/>
              <w:right w:val="nil"/>
            </w:tcBorders>
          </w:tcPr>
          <w:p w14:paraId="6C4F02C7" w14:textId="77777777" w:rsidR="00255E0D" w:rsidRDefault="00711581">
            <w:pPr>
              <w:spacing w:after="0" w:line="259" w:lineRule="auto"/>
              <w:ind w:left="197" w:firstLine="0"/>
              <w:jc w:val="left"/>
            </w:pPr>
            <w:r>
              <w:rPr>
                <w:sz w:val="24"/>
              </w:rPr>
              <w:t xml:space="preserve">2018/19 </w:t>
            </w:r>
          </w:p>
        </w:tc>
        <w:tc>
          <w:tcPr>
            <w:tcW w:w="893" w:type="dxa"/>
            <w:tcBorders>
              <w:top w:val="nil"/>
              <w:left w:val="nil"/>
              <w:bottom w:val="nil"/>
              <w:right w:val="nil"/>
            </w:tcBorders>
          </w:tcPr>
          <w:p w14:paraId="2E2A6D2D" w14:textId="77777777" w:rsidR="00255E0D" w:rsidRDefault="00711581">
            <w:pPr>
              <w:spacing w:after="0" w:line="259" w:lineRule="auto"/>
              <w:ind w:left="55" w:firstLine="0"/>
              <w:jc w:val="left"/>
            </w:pPr>
            <w:r>
              <w:rPr>
                <w:sz w:val="24"/>
              </w:rPr>
              <w:t xml:space="preserve">5.880 </w:t>
            </w:r>
          </w:p>
        </w:tc>
        <w:tc>
          <w:tcPr>
            <w:tcW w:w="1150" w:type="dxa"/>
            <w:tcBorders>
              <w:top w:val="nil"/>
              <w:left w:val="nil"/>
              <w:bottom w:val="nil"/>
              <w:right w:val="nil"/>
            </w:tcBorders>
          </w:tcPr>
          <w:p w14:paraId="2CAB2BF1" w14:textId="77777777" w:rsidR="00255E0D" w:rsidRDefault="00711581">
            <w:pPr>
              <w:spacing w:after="0" w:line="259" w:lineRule="auto"/>
              <w:ind w:left="0" w:firstLine="0"/>
              <w:jc w:val="left"/>
            </w:pPr>
            <w:r>
              <w:rPr>
                <w:sz w:val="24"/>
              </w:rPr>
              <w:t xml:space="preserve">17.848 </w:t>
            </w:r>
          </w:p>
        </w:tc>
        <w:tc>
          <w:tcPr>
            <w:tcW w:w="809" w:type="dxa"/>
            <w:tcBorders>
              <w:top w:val="nil"/>
              <w:left w:val="nil"/>
              <w:bottom w:val="nil"/>
              <w:right w:val="nil"/>
            </w:tcBorders>
          </w:tcPr>
          <w:p w14:paraId="3DC1992A" w14:textId="77777777" w:rsidR="00255E0D" w:rsidRDefault="00711581">
            <w:pPr>
              <w:spacing w:after="0" w:line="259" w:lineRule="auto"/>
              <w:ind w:left="0" w:firstLine="0"/>
              <w:jc w:val="left"/>
            </w:pPr>
            <w:r>
              <w:rPr>
                <w:sz w:val="24"/>
              </w:rPr>
              <w:t xml:space="preserve">2.883 </w:t>
            </w:r>
          </w:p>
        </w:tc>
        <w:tc>
          <w:tcPr>
            <w:tcW w:w="1234" w:type="dxa"/>
            <w:tcBorders>
              <w:top w:val="nil"/>
              <w:left w:val="nil"/>
              <w:bottom w:val="nil"/>
              <w:right w:val="nil"/>
            </w:tcBorders>
          </w:tcPr>
          <w:p w14:paraId="471DA737" w14:textId="77777777" w:rsidR="00255E0D" w:rsidRDefault="00711581">
            <w:pPr>
              <w:spacing w:after="0" w:line="259" w:lineRule="auto"/>
              <w:ind w:left="190" w:firstLine="0"/>
              <w:jc w:val="left"/>
            </w:pPr>
            <w:r>
              <w:rPr>
                <w:sz w:val="24"/>
              </w:rPr>
              <w:t xml:space="preserve">2.965 </w:t>
            </w:r>
          </w:p>
        </w:tc>
        <w:tc>
          <w:tcPr>
            <w:tcW w:w="1121" w:type="dxa"/>
            <w:tcBorders>
              <w:top w:val="nil"/>
              <w:left w:val="nil"/>
              <w:bottom w:val="nil"/>
              <w:right w:val="nil"/>
            </w:tcBorders>
          </w:tcPr>
          <w:p w14:paraId="57A4C358" w14:textId="3CF40A80" w:rsidR="00255E0D" w:rsidRDefault="00711581">
            <w:pPr>
              <w:spacing w:after="0" w:line="259" w:lineRule="auto"/>
              <w:ind w:left="36" w:firstLine="0"/>
              <w:jc w:val="left"/>
            </w:pPr>
            <w:r>
              <w:rPr>
                <w:sz w:val="24"/>
              </w:rPr>
              <w:t>3.3</w:t>
            </w:r>
            <w:r w:rsidR="004E4C08">
              <w:rPr>
                <w:sz w:val="24"/>
              </w:rPr>
              <w:t>72</w:t>
            </w:r>
            <w:r>
              <w:rPr>
                <w:sz w:val="24"/>
              </w:rPr>
              <w:t xml:space="preserve"> </w:t>
            </w:r>
          </w:p>
        </w:tc>
        <w:tc>
          <w:tcPr>
            <w:tcW w:w="1214" w:type="dxa"/>
            <w:tcBorders>
              <w:top w:val="nil"/>
              <w:left w:val="nil"/>
              <w:bottom w:val="nil"/>
              <w:right w:val="nil"/>
            </w:tcBorders>
          </w:tcPr>
          <w:p w14:paraId="66E6E30E" w14:textId="77777777" w:rsidR="00255E0D" w:rsidRDefault="00711581">
            <w:pPr>
              <w:spacing w:after="0" w:line="259" w:lineRule="auto"/>
              <w:ind w:left="0" w:firstLine="0"/>
              <w:jc w:val="left"/>
            </w:pPr>
            <w:r>
              <w:rPr>
                <w:sz w:val="24"/>
              </w:rPr>
              <w:t xml:space="preserve">5.514 </w:t>
            </w:r>
          </w:p>
        </w:tc>
        <w:tc>
          <w:tcPr>
            <w:tcW w:w="878" w:type="dxa"/>
            <w:tcBorders>
              <w:top w:val="nil"/>
              <w:left w:val="nil"/>
              <w:bottom w:val="nil"/>
              <w:right w:val="nil"/>
            </w:tcBorders>
          </w:tcPr>
          <w:p w14:paraId="42A172FE" w14:textId="77777777" w:rsidR="00255E0D" w:rsidRDefault="00711581">
            <w:pPr>
              <w:spacing w:after="0" w:line="259" w:lineRule="auto"/>
              <w:ind w:left="0" w:firstLine="0"/>
              <w:jc w:val="left"/>
            </w:pPr>
            <w:r>
              <w:rPr>
                <w:sz w:val="24"/>
              </w:rPr>
              <w:t xml:space="preserve">4.136 </w:t>
            </w:r>
          </w:p>
        </w:tc>
      </w:tr>
      <w:tr w:rsidR="00255E0D" w14:paraId="45F96631" w14:textId="77777777">
        <w:trPr>
          <w:trHeight w:val="317"/>
        </w:trPr>
        <w:tc>
          <w:tcPr>
            <w:tcW w:w="1298" w:type="dxa"/>
            <w:tcBorders>
              <w:top w:val="nil"/>
              <w:left w:val="nil"/>
              <w:bottom w:val="nil"/>
              <w:right w:val="nil"/>
            </w:tcBorders>
          </w:tcPr>
          <w:p w14:paraId="19DFBDBB" w14:textId="77777777" w:rsidR="00255E0D" w:rsidRDefault="00711581">
            <w:pPr>
              <w:spacing w:after="0" w:line="259" w:lineRule="auto"/>
              <w:ind w:left="197" w:firstLine="0"/>
              <w:jc w:val="left"/>
            </w:pPr>
            <w:r>
              <w:rPr>
                <w:sz w:val="24"/>
              </w:rPr>
              <w:t xml:space="preserve">2019/20 </w:t>
            </w:r>
          </w:p>
        </w:tc>
        <w:tc>
          <w:tcPr>
            <w:tcW w:w="893" w:type="dxa"/>
            <w:tcBorders>
              <w:top w:val="nil"/>
              <w:left w:val="nil"/>
              <w:bottom w:val="nil"/>
              <w:right w:val="nil"/>
            </w:tcBorders>
          </w:tcPr>
          <w:p w14:paraId="377E5DC4" w14:textId="3D4B73C3" w:rsidR="00255E0D" w:rsidRDefault="00711581">
            <w:pPr>
              <w:spacing w:after="0" w:line="259" w:lineRule="auto"/>
              <w:ind w:left="55" w:firstLine="0"/>
              <w:jc w:val="left"/>
            </w:pPr>
            <w:r>
              <w:rPr>
                <w:sz w:val="24"/>
                <w:shd w:val="clear" w:color="auto" w:fill="D3D4D4"/>
              </w:rPr>
              <w:t>5.9</w:t>
            </w:r>
            <w:r w:rsidR="004E4C08">
              <w:rPr>
                <w:sz w:val="24"/>
                <w:shd w:val="clear" w:color="auto" w:fill="D3D4D4"/>
              </w:rPr>
              <w:t>20</w:t>
            </w:r>
            <w:r>
              <w:rPr>
                <w:sz w:val="24"/>
              </w:rPr>
              <w:t xml:space="preserve"> </w:t>
            </w:r>
          </w:p>
        </w:tc>
        <w:tc>
          <w:tcPr>
            <w:tcW w:w="1150" w:type="dxa"/>
            <w:tcBorders>
              <w:top w:val="nil"/>
              <w:left w:val="nil"/>
              <w:bottom w:val="nil"/>
              <w:right w:val="nil"/>
            </w:tcBorders>
          </w:tcPr>
          <w:p w14:paraId="05DFEFD7" w14:textId="369F8384" w:rsidR="00255E0D" w:rsidRDefault="00711581">
            <w:pPr>
              <w:spacing w:after="0" w:line="259" w:lineRule="auto"/>
              <w:ind w:left="0" w:firstLine="0"/>
              <w:jc w:val="left"/>
            </w:pPr>
            <w:r>
              <w:rPr>
                <w:sz w:val="24"/>
                <w:shd w:val="clear" w:color="auto" w:fill="D3D4D4"/>
              </w:rPr>
              <w:t>16.</w:t>
            </w:r>
            <w:r w:rsidR="004E4C08">
              <w:rPr>
                <w:sz w:val="24"/>
                <w:shd w:val="clear" w:color="auto" w:fill="D3D4D4"/>
              </w:rPr>
              <w:t>526</w:t>
            </w:r>
            <w:r>
              <w:rPr>
                <w:sz w:val="24"/>
              </w:rPr>
              <w:t xml:space="preserve"> </w:t>
            </w:r>
          </w:p>
        </w:tc>
        <w:tc>
          <w:tcPr>
            <w:tcW w:w="809" w:type="dxa"/>
            <w:tcBorders>
              <w:top w:val="nil"/>
              <w:left w:val="nil"/>
              <w:bottom w:val="nil"/>
              <w:right w:val="nil"/>
            </w:tcBorders>
          </w:tcPr>
          <w:p w14:paraId="7B00B117" w14:textId="77777777" w:rsidR="00255E0D" w:rsidRDefault="00711581">
            <w:pPr>
              <w:spacing w:after="0" w:line="259" w:lineRule="auto"/>
              <w:ind w:left="0" w:firstLine="0"/>
              <w:jc w:val="left"/>
            </w:pPr>
            <w:r>
              <w:rPr>
                <w:sz w:val="24"/>
              </w:rPr>
              <w:t xml:space="preserve">3.257 </w:t>
            </w:r>
          </w:p>
        </w:tc>
        <w:tc>
          <w:tcPr>
            <w:tcW w:w="1234" w:type="dxa"/>
            <w:tcBorders>
              <w:top w:val="nil"/>
              <w:left w:val="nil"/>
              <w:bottom w:val="nil"/>
              <w:right w:val="nil"/>
            </w:tcBorders>
          </w:tcPr>
          <w:p w14:paraId="6496C314" w14:textId="5FFC210D" w:rsidR="00255E0D" w:rsidRDefault="00711581">
            <w:pPr>
              <w:spacing w:after="0" w:line="259" w:lineRule="auto"/>
              <w:ind w:left="190" w:firstLine="0"/>
              <w:jc w:val="left"/>
            </w:pPr>
            <w:r>
              <w:rPr>
                <w:sz w:val="24"/>
                <w:shd w:val="clear" w:color="auto" w:fill="D3D4D4"/>
              </w:rPr>
              <w:t>3.</w:t>
            </w:r>
            <w:r w:rsidR="004E4C08">
              <w:rPr>
                <w:sz w:val="24"/>
                <w:shd w:val="clear" w:color="auto" w:fill="D3D4D4"/>
              </w:rPr>
              <w:t>319</w:t>
            </w:r>
            <w:r>
              <w:rPr>
                <w:b/>
                <w:sz w:val="24"/>
              </w:rPr>
              <w:t xml:space="preserve"> </w:t>
            </w:r>
          </w:p>
        </w:tc>
        <w:tc>
          <w:tcPr>
            <w:tcW w:w="1121" w:type="dxa"/>
            <w:tcBorders>
              <w:top w:val="nil"/>
              <w:left w:val="nil"/>
              <w:bottom w:val="nil"/>
              <w:right w:val="nil"/>
            </w:tcBorders>
          </w:tcPr>
          <w:p w14:paraId="06C6BCB2" w14:textId="75F9066E" w:rsidR="00255E0D" w:rsidRDefault="00711581">
            <w:pPr>
              <w:spacing w:after="0" w:line="259" w:lineRule="auto"/>
              <w:ind w:left="36" w:firstLine="0"/>
              <w:jc w:val="left"/>
            </w:pPr>
            <w:r>
              <w:rPr>
                <w:sz w:val="24"/>
                <w:shd w:val="clear" w:color="auto" w:fill="D3D4D4"/>
              </w:rPr>
              <w:t>3.</w:t>
            </w:r>
            <w:r w:rsidR="004E4C08">
              <w:rPr>
                <w:sz w:val="24"/>
                <w:shd w:val="clear" w:color="auto" w:fill="D3D4D4"/>
              </w:rPr>
              <w:t>735</w:t>
            </w:r>
            <w:r>
              <w:rPr>
                <w:b/>
                <w:sz w:val="24"/>
              </w:rPr>
              <w:t xml:space="preserve"> </w:t>
            </w:r>
          </w:p>
        </w:tc>
        <w:tc>
          <w:tcPr>
            <w:tcW w:w="1214" w:type="dxa"/>
            <w:tcBorders>
              <w:top w:val="nil"/>
              <w:left w:val="nil"/>
              <w:bottom w:val="nil"/>
              <w:right w:val="nil"/>
            </w:tcBorders>
          </w:tcPr>
          <w:p w14:paraId="1141B7C2" w14:textId="77777777" w:rsidR="00255E0D" w:rsidRDefault="00711581">
            <w:pPr>
              <w:spacing w:after="0" w:line="259" w:lineRule="auto"/>
              <w:ind w:left="0" w:firstLine="0"/>
              <w:jc w:val="left"/>
            </w:pPr>
            <w:r>
              <w:rPr>
                <w:sz w:val="24"/>
              </w:rPr>
              <w:t xml:space="preserve">5.249 </w:t>
            </w:r>
          </w:p>
        </w:tc>
        <w:tc>
          <w:tcPr>
            <w:tcW w:w="878" w:type="dxa"/>
            <w:tcBorders>
              <w:top w:val="nil"/>
              <w:left w:val="nil"/>
              <w:bottom w:val="nil"/>
              <w:right w:val="nil"/>
            </w:tcBorders>
          </w:tcPr>
          <w:p w14:paraId="21333EB5" w14:textId="77777777" w:rsidR="00255E0D" w:rsidRDefault="00711581">
            <w:pPr>
              <w:spacing w:after="0" w:line="259" w:lineRule="auto"/>
              <w:ind w:left="0" w:firstLine="0"/>
              <w:jc w:val="left"/>
            </w:pPr>
            <w:r>
              <w:rPr>
                <w:sz w:val="24"/>
              </w:rPr>
              <w:t xml:space="preserve">3.937 </w:t>
            </w:r>
          </w:p>
        </w:tc>
      </w:tr>
      <w:tr w:rsidR="00255E0D" w14:paraId="062C1CBC" w14:textId="77777777">
        <w:trPr>
          <w:trHeight w:val="357"/>
        </w:trPr>
        <w:tc>
          <w:tcPr>
            <w:tcW w:w="1298" w:type="dxa"/>
            <w:tcBorders>
              <w:top w:val="nil"/>
              <w:left w:val="nil"/>
              <w:bottom w:val="single" w:sz="12" w:space="0" w:color="000000"/>
              <w:right w:val="nil"/>
            </w:tcBorders>
          </w:tcPr>
          <w:p w14:paraId="0BD247BC" w14:textId="77777777" w:rsidR="00255E0D" w:rsidRDefault="00711581">
            <w:pPr>
              <w:spacing w:after="0" w:line="259" w:lineRule="auto"/>
              <w:ind w:left="197" w:firstLine="0"/>
              <w:jc w:val="left"/>
            </w:pPr>
            <w:r>
              <w:rPr>
                <w:sz w:val="24"/>
              </w:rPr>
              <w:t xml:space="preserve">2020/21 </w:t>
            </w:r>
          </w:p>
        </w:tc>
        <w:tc>
          <w:tcPr>
            <w:tcW w:w="893" w:type="dxa"/>
            <w:tcBorders>
              <w:top w:val="nil"/>
              <w:left w:val="nil"/>
              <w:bottom w:val="single" w:sz="12" w:space="0" w:color="000000"/>
              <w:right w:val="nil"/>
            </w:tcBorders>
          </w:tcPr>
          <w:p w14:paraId="1D16BA49" w14:textId="77777777" w:rsidR="00255E0D" w:rsidRDefault="00711581">
            <w:pPr>
              <w:spacing w:after="0" w:line="259" w:lineRule="auto"/>
              <w:ind w:left="677" w:firstLine="0"/>
              <w:jc w:val="left"/>
            </w:pPr>
            <w:r>
              <w:rPr>
                <w:sz w:val="24"/>
              </w:rPr>
              <w:t xml:space="preserve"> </w:t>
            </w:r>
          </w:p>
        </w:tc>
        <w:tc>
          <w:tcPr>
            <w:tcW w:w="1150" w:type="dxa"/>
            <w:tcBorders>
              <w:top w:val="nil"/>
              <w:left w:val="nil"/>
              <w:bottom w:val="single" w:sz="12" w:space="0" w:color="000000"/>
              <w:right w:val="nil"/>
            </w:tcBorders>
          </w:tcPr>
          <w:p w14:paraId="0BF544D6" w14:textId="49035D1D" w:rsidR="00255E0D" w:rsidRDefault="00711581">
            <w:pPr>
              <w:spacing w:after="0" w:line="259" w:lineRule="auto"/>
              <w:ind w:left="0" w:firstLine="0"/>
              <w:jc w:val="left"/>
            </w:pPr>
            <w:r>
              <w:rPr>
                <w:sz w:val="24"/>
                <w:shd w:val="clear" w:color="auto" w:fill="D3D4D4"/>
              </w:rPr>
              <w:t>14.</w:t>
            </w:r>
            <w:r w:rsidR="004E4C08">
              <w:rPr>
                <w:sz w:val="24"/>
                <w:shd w:val="clear" w:color="auto" w:fill="D3D4D4"/>
              </w:rPr>
              <w:t>857</w:t>
            </w:r>
            <w:r>
              <w:rPr>
                <w:sz w:val="24"/>
              </w:rPr>
              <w:t xml:space="preserve"> </w:t>
            </w:r>
          </w:p>
        </w:tc>
        <w:tc>
          <w:tcPr>
            <w:tcW w:w="809" w:type="dxa"/>
            <w:tcBorders>
              <w:top w:val="nil"/>
              <w:left w:val="nil"/>
              <w:bottom w:val="single" w:sz="12" w:space="0" w:color="000000"/>
              <w:right w:val="nil"/>
            </w:tcBorders>
          </w:tcPr>
          <w:p w14:paraId="5B5E6FB3" w14:textId="77777777" w:rsidR="00255E0D" w:rsidRDefault="00711581">
            <w:pPr>
              <w:spacing w:after="0" w:line="259" w:lineRule="auto"/>
              <w:ind w:left="271" w:firstLine="0"/>
              <w:jc w:val="left"/>
            </w:pPr>
            <w:r>
              <w:rPr>
                <w:sz w:val="24"/>
              </w:rPr>
              <w:t xml:space="preserve"> </w:t>
            </w:r>
          </w:p>
        </w:tc>
        <w:tc>
          <w:tcPr>
            <w:tcW w:w="1234" w:type="dxa"/>
            <w:tcBorders>
              <w:top w:val="nil"/>
              <w:left w:val="nil"/>
              <w:bottom w:val="single" w:sz="12" w:space="0" w:color="000000"/>
              <w:right w:val="nil"/>
            </w:tcBorders>
          </w:tcPr>
          <w:p w14:paraId="50F01B70" w14:textId="77777777" w:rsidR="00255E0D" w:rsidRDefault="00711581">
            <w:pPr>
              <w:spacing w:after="0" w:line="259" w:lineRule="auto"/>
              <w:ind w:left="458" w:firstLine="0"/>
              <w:jc w:val="left"/>
            </w:pPr>
            <w:r>
              <w:rPr>
                <w:b/>
                <w:sz w:val="24"/>
              </w:rPr>
              <w:t xml:space="preserve"> </w:t>
            </w:r>
          </w:p>
        </w:tc>
        <w:tc>
          <w:tcPr>
            <w:tcW w:w="1121" w:type="dxa"/>
            <w:tcBorders>
              <w:top w:val="nil"/>
              <w:left w:val="nil"/>
              <w:bottom w:val="single" w:sz="12" w:space="0" w:color="000000"/>
              <w:right w:val="nil"/>
            </w:tcBorders>
          </w:tcPr>
          <w:p w14:paraId="265989BB" w14:textId="77777777" w:rsidR="00255E0D" w:rsidRDefault="00711581">
            <w:pPr>
              <w:spacing w:after="0" w:line="259" w:lineRule="auto"/>
              <w:ind w:left="307" w:firstLine="0"/>
              <w:jc w:val="left"/>
            </w:pPr>
            <w:r>
              <w:rPr>
                <w:b/>
                <w:sz w:val="24"/>
              </w:rPr>
              <w:t xml:space="preserve"> </w:t>
            </w:r>
          </w:p>
        </w:tc>
        <w:tc>
          <w:tcPr>
            <w:tcW w:w="1214" w:type="dxa"/>
            <w:tcBorders>
              <w:top w:val="nil"/>
              <w:left w:val="nil"/>
              <w:bottom w:val="single" w:sz="12" w:space="0" w:color="000000"/>
              <w:right w:val="nil"/>
            </w:tcBorders>
          </w:tcPr>
          <w:p w14:paraId="54058FF1" w14:textId="306CF2C1" w:rsidR="00255E0D" w:rsidRDefault="00711581">
            <w:pPr>
              <w:spacing w:after="0" w:line="259" w:lineRule="auto"/>
              <w:ind w:left="0" w:firstLine="0"/>
              <w:jc w:val="left"/>
            </w:pPr>
            <w:r>
              <w:rPr>
                <w:sz w:val="24"/>
                <w:shd w:val="clear" w:color="auto" w:fill="D3D4D4"/>
              </w:rPr>
              <w:t>4.</w:t>
            </w:r>
            <w:r w:rsidR="004E4C08">
              <w:rPr>
                <w:sz w:val="24"/>
                <w:shd w:val="clear" w:color="auto" w:fill="D3D4D4"/>
              </w:rPr>
              <w:t>881</w:t>
            </w:r>
            <w:r>
              <w:rPr>
                <w:sz w:val="24"/>
              </w:rPr>
              <w:t xml:space="preserve"> </w:t>
            </w:r>
          </w:p>
        </w:tc>
        <w:tc>
          <w:tcPr>
            <w:tcW w:w="878" w:type="dxa"/>
            <w:tcBorders>
              <w:top w:val="nil"/>
              <w:left w:val="nil"/>
              <w:bottom w:val="single" w:sz="12" w:space="0" w:color="000000"/>
              <w:right w:val="nil"/>
            </w:tcBorders>
          </w:tcPr>
          <w:p w14:paraId="746FF58D" w14:textId="5754EDF4" w:rsidR="00255E0D" w:rsidRDefault="00711581">
            <w:pPr>
              <w:spacing w:after="0" w:line="259" w:lineRule="auto"/>
              <w:ind w:left="0" w:firstLine="0"/>
              <w:jc w:val="left"/>
            </w:pPr>
            <w:r>
              <w:rPr>
                <w:sz w:val="24"/>
                <w:shd w:val="clear" w:color="auto" w:fill="D3D4D4"/>
              </w:rPr>
              <w:t>3.</w:t>
            </w:r>
            <w:r w:rsidR="004E4C08">
              <w:rPr>
                <w:sz w:val="24"/>
                <w:shd w:val="clear" w:color="auto" w:fill="D3D4D4"/>
              </w:rPr>
              <w:t>660</w:t>
            </w:r>
            <w:r>
              <w:rPr>
                <w:sz w:val="24"/>
              </w:rPr>
              <w:t xml:space="preserve"> </w:t>
            </w:r>
          </w:p>
        </w:tc>
      </w:tr>
    </w:tbl>
    <w:p w14:paraId="65570B2C" w14:textId="77777777" w:rsidR="00255E0D" w:rsidRDefault="00711581">
      <w:pPr>
        <w:spacing w:after="0" w:line="259" w:lineRule="auto"/>
        <w:ind w:left="1080" w:firstLine="0"/>
        <w:jc w:val="left"/>
      </w:pPr>
      <w:r>
        <w:rPr>
          <w:sz w:val="24"/>
        </w:rPr>
        <w:t xml:space="preserve"> </w:t>
      </w:r>
    </w:p>
    <w:p w14:paraId="57547DA3" w14:textId="77777777" w:rsidR="00255E0D" w:rsidRDefault="00711581">
      <w:pPr>
        <w:spacing w:after="0" w:line="259" w:lineRule="auto"/>
        <w:ind w:left="-5"/>
        <w:jc w:val="left"/>
      </w:pPr>
      <w:r>
        <w:rPr>
          <w:i/>
          <w:sz w:val="24"/>
        </w:rPr>
        <w:t xml:space="preserve">Status and catch specifications (million </w:t>
      </w:r>
      <w:proofErr w:type="spellStart"/>
      <w:r>
        <w:rPr>
          <w:i/>
          <w:sz w:val="24"/>
        </w:rPr>
        <w:t>lb</w:t>
      </w:r>
      <w:proofErr w:type="spellEnd"/>
      <w:r>
        <w:rPr>
          <w:i/>
          <w:sz w:val="24"/>
        </w:rPr>
        <w:t xml:space="preserve">) for Aleutian Islands golden king crab. Shaded values are new estimates or projections based on the current assessment. Other table entries are based on historical assessments and are not updated except for total and retained catch. </w:t>
      </w:r>
    </w:p>
    <w:tbl>
      <w:tblPr>
        <w:tblStyle w:val="TableGrid"/>
        <w:tblW w:w="8597" w:type="dxa"/>
        <w:tblInd w:w="-14" w:type="dxa"/>
        <w:tblCellMar>
          <w:right w:w="101" w:type="dxa"/>
        </w:tblCellMar>
        <w:tblLook w:val="04A0" w:firstRow="1" w:lastRow="0" w:firstColumn="1" w:lastColumn="0" w:noHBand="0" w:noVBand="1"/>
      </w:tblPr>
      <w:tblGrid>
        <w:gridCol w:w="1437"/>
        <w:gridCol w:w="1109"/>
        <w:gridCol w:w="1159"/>
        <w:gridCol w:w="809"/>
        <w:gridCol w:w="1313"/>
        <w:gridCol w:w="996"/>
        <w:gridCol w:w="953"/>
        <w:gridCol w:w="821"/>
      </w:tblGrid>
      <w:tr w:rsidR="00255E0D" w14:paraId="56F24E6E" w14:textId="77777777">
        <w:trPr>
          <w:trHeight w:val="665"/>
        </w:trPr>
        <w:tc>
          <w:tcPr>
            <w:tcW w:w="1438" w:type="dxa"/>
            <w:tcBorders>
              <w:top w:val="single" w:sz="12" w:space="0" w:color="000000"/>
              <w:left w:val="nil"/>
              <w:bottom w:val="single" w:sz="12" w:space="0" w:color="000000"/>
              <w:right w:val="nil"/>
            </w:tcBorders>
            <w:vAlign w:val="center"/>
          </w:tcPr>
          <w:p w14:paraId="5F64AA35" w14:textId="77777777" w:rsidR="00255E0D" w:rsidRDefault="00711581">
            <w:pPr>
              <w:spacing w:after="0" w:line="259" w:lineRule="auto"/>
              <w:ind w:left="336" w:firstLine="0"/>
              <w:jc w:val="left"/>
            </w:pPr>
            <w:r>
              <w:rPr>
                <w:b/>
                <w:sz w:val="24"/>
              </w:rPr>
              <w:t xml:space="preserve">Year </w:t>
            </w:r>
          </w:p>
        </w:tc>
        <w:tc>
          <w:tcPr>
            <w:tcW w:w="1109" w:type="dxa"/>
            <w:tcBorders>
              <w:top w:val="single" w:sz="12" w:space="0" w:color="000000"/>
              <w:left w:val="nil"/>
              <w:bottom w:val="single" w:sz="12" w:space="0" w:color="000000"/>
              <w:right w:val="nil"/>
            </w:tcBorders>
          </w:tcPr>
          <w:p w14:paraId="33E2A4D9" w14:textId="77777777" w:rsidR="00255E0D" w:rsidRDefault="00711581">
            <w:pPr>
              <w:spacing w:after="19" w:line="259" w:lineRule="auto"/>
              <w:ind w:left="329" w:firstLine="0"/>
              <w:jc w:val="left"/>
            </w:pPr>
            <w:r>
              <w:rPr>
                <w:b/>
                <w:sz w:val="24"/>
              </w:rPr>
              <w:t xml:space="preserve"> </w:t>
            </w:r>
          </w:p>
          <w:p w14:paraId="18DADA66" w14:textId="77777777" w:rsidR="00255E0D" w:rsidRDefault="00711581">
            <w:pPr>
              <w:spacing w:after="0" w:line="259" w:lineRule="auto"/>
              <w:ind w:left="2" w:firstLine="0"/>
              <w:jc w:val="left"/>
            </w:pPr>
            <w:r>
              <w:rPr>
                <w:b/>
                <w:sz w:val="24"/>
              </w:rPr>
              <w:t xml:space="preserve">MSST </w:t>
            </w:r>
          </w:p>
        </w:tc>
        <w:tc>
          <w:tcPr>
            <w:tcW w:w="1159" w:type="dxa"/>
            <w:tcBorders>
              <w:top w:val="single" w:sz="12" w:space="0" w:color="000000"/>
              <w:left w:val="nil"/>
              <w:bottom w:val="single" w:sz="12" w:space="0" w:color="000000"/>
              <w:right w:val="nil"/>
            </w:tcBorders>
          </w:tcPr>
          <w:p w14:paraId="1EF92C0F" w14:textId="77777777" w:rsidR="00255E0D" w:rsidRDefault="00711581">
            <w:pPr>
              <w:spacing w:after="0" w:line="259" w:lineRule="auto"/>
              <w:ind w:left="41" w:hanging="41"/>
              <w:jc w:val="left"/>
            </w:pPr>
            <w:r>
              <w:rPr>
                <w:b/>
                <w:sz w:val="24"/>
              </w:rPr>
              <w:t xml:space="preserve">Biomass (MMB) </w:t>
            </w:r>
          </w:p>
        </w:tc>
        <w:tc>
          <w:tcPr>
            <w:tcW w:w="809" w:type="dxa"/>
            <w:tcBorders>
              <w:top w:val="single" w:sz="12" w:space="0" w:color="000000"/>
              <w:left w:val="nil"/>
              <w:bottom w:val="single" w:sz="12" w:space="0" w:color="000000"/>
              <w:right w:val="nil"/>
            </w:tcBorders>
            <w:vAlign w:val="center"/>
          </w:tcPr>
          <w:p w14:paraId="581C0D58" w14:textId="77777777" w:rsidR="00255E0D" w:rsidRDefault="00711581">
            <w:pPr>
              <w:spacing w:after="0" w:line="259" w:lineRule="auto"/>
              <w:ind w:left="17" w:firstLine="0"/>
              <w:jc w:val="left"/>
            </w:pPr>
            <w:r>
              <w:rPr>
                <w:b/>
                <w:sz w:val="24"/>
              </w:rPr>
              <w:t xml:space="preserve">TAC </w:t>
            </w:r>
          </w:p>
        </w:tc>
        <w:tc>
          <w:tcPr>
            <w:tcW w:w="1313" w:type="dxa"/>
            <w:tcBorders>
              <w:top w:val="single" w:sz="12" w:space="0" w:color="000000"/>
              <w:left w:val="nil"/>
              <w:bottom w:val="single" w:sz="12" w:space="0" w:color="000000"/>
              <w:right w:val="nil"/>
            </w:tcBorders>
          </w:tcPr>
          <w:p w14:paraId="4738D743" w14:textId="77777777" w:rsidR="00255E0D" w:rsidRDefault="00711581">
            <w:pPr>
              <w:spacing w:after="0" w:line="259" w:lineRule="auto"/>
              <w:ind w:left="154" w:hanging="154"/>
              <w:jc w:val="left"/>
            </w:pPr>
            <w:r>
              <w:rPr>
                <w:b/>
                <w:sz w:val="24"/>
              </w:rPr>
              <w:t xml:space="preserve">Retained Catch </w:t>
            </w:r>
          </w:p>
        </w:tc>
        <w:tc>
          <w:tcPr>
            <w:tcW w:w="996" w:type="dxa"/>
            <w:tcBorders>
              <w:top w:val="single" w:sz="12" w:space="0" w:color="000000"/>
              <w:left w:val="nil"/>
              <w:bottom w:val="single" w:sz="12" w:space="0" w:color="000000"/>
              <w:right w:val="nil"/>
            </w:tcBorders>
          </w:tcPr>
          <w:p w14:paraId="6AA70D90" w14:textId="77777777" w:rsidR="00255E0D" w:rsidRDefault="00711581">
            <w:pPr>
              <w:spacing w:after="0" w:line="259" w:lineRule="auto"/>
              <w:ind w:left="0" w:firstLine="34"/>
              <w:jc w:val="left"/>
            </w:pPr>
            <w:r>
              <w:rPr>
                <w:b/>
                <w:sz w:val="24"/>
              </w:rPr>
              <w:t xml:space="preserve">Total Catch </w:t>
            </w:r>
          </w:p>
        </w:tc>
        <w:tc>
          <w:tcPr>
            <w:tcW w:w="953" w:type="dxa"/>
            <w:tcBorders>
              <w:top w:val="single" w:sz="12" w:space="0" w:color="000000"/>
              <w:left w:val="nil"/>
              <w:bottom w:val="single" w:sz="12" w:space="0" w:color="000000"/>
              <w:right w:val="nil"/>
            </w:tcBorders>
            <w:vAlign w:val="center"/>
          </w:tcPr>
          <w:p w14:paraId="25C0408E" w14:textId="77777777" w:rsidR="00255E0D" w:rsidRDefault="00711581">
            <w:pPr>
              <w:spacing w:after="0" w:line="259" w:lineRule="auto"/>
              <w:ind w:left="82" w:firstLine="0"/>
              <w:jc w:val="left"/>
            </w:pPr>
            <w:r>
              <w:rPr>
                <w:b/>
                <w:sz w:val="24"/>
              </w:rPr>
              <w:t xml:space="preserve">OFL </w:t>
            </w:r>
          </w:p>
        </w:tc>
        <w:tc>
          <w:tcPr>
            <w:tcW w:w="821" w:type="dxa"/>
            <w:tcBorders>
              <w:top w:val="single" w:sz="12" w:space="0" w:color="000000"/>
              <w:left w:val="nil"/>
              <w:bottom w:val="single" w:sz="12" w:space="0" w:color="000000"/>
              <w:right w:val="nil"/>
            </w:tcBorders>
            <w:vAlign w:val="center"/>
          </w:tcPr>
          <w:p w14:paraId="5B7948FF" w14:textId="77777777" w:rsidR="00255E0D" w:rsidRDefault="00711581">
            <w:pPr>
              <w:spacing w:after="0" w:line="259" w:lineRule="auto"/>
              <w:ind w:left="77" w:firstLine="0"/>
              <w:jc w:val="left"/>
            </w:pPr>
            <w:r>
              <w:rPr>
                <w:b/>
                <w:sz w:val="24"/>
              </w:rPr>
              <w:t>ABC</w:t>
            </w:r>
            <w:r>
              <w:rPr>
                <w:b/>
                <w:sz w:val="24"/>
                <w:vertAlign w:val="superscript"/>
              </w:rPr>
              <w:t xml:space="preserve"> </w:t>
            </w:r>
          </w:p>
        </w:tc>
      </w:tr>
      <w:tr w:rsidR="00255E0D" w14:paraId="4DC83379" w14:textId="77777777">
        <w:trPr>
          <w:trHeight w:val="308"/>
        </w:trPr>
        <w:tc>
          <w:tcPr>
            <w:tcW w:w="1438" w:type="dxa"/>
            <w:tcBorders>
              <w:top w:val="single" w:sz="12" w:space="0" w:color="000000"/>
              <w:left w:val="nil"/>
              <w:bottom w:val="nil"/>
              <w:right w:val="nil"/>
            </w:tcBorders>
          </w:tcPr>
          <w:p w14:paraId="28B7AC1A" w14:textId="77777777" w:rsidR="00255E0D" w:rsidRDefault="00711581">
            <w:pPr>
              <w:spacing w:after="0" w:line="259" w:lineRule="auto"/>
              <w:ind w:left="194" w:firstLine="0"/>
              <w:jc w:val="left"/>
            </w:pPr>
            <w:r>
              <w:rPr>
                <w:sz w:val="24"/>
              </w:rPr>
              <w:t xml:space="preserve">2016/17 </w:t>
            </w:r>
          </w:p>
        </w:tc>
        <w:tc>
          <w:tcPr>
            <w:tcW w:w="1109" w:type="dxa"/>
            <w:tcBorders>
              <w:top w:val="single" w:sz="12" w:space="0" w:color="000000"/>
              <w:left w:val="nil"/>
              <w:bottom w:val="nil"/>
              <w:right w:val="nil"/>
            </w:tcBorders>
          </w:tcPr>
          <w:p w14:paraId="295228A1" w14:textId="77777777" w:rsidR="00255E0D" w:rsidRDefault="00711581">
            <w:pPr>
              <w:spacing w:after="0" w:line="259" w:lineRule="auto"/>
              <w:ind w:left="122" w:firstLine="0"/>
              <w:jc w:val="left"/>
            </w:pPr>
            <w:r>
              <w:rPr>
                <w:sz w:val="24"/>
              </w:rPr>
              <w:t xml:space="preserve">N/A </w:t>
            </w:r>
          </w:p>
        </w:tc>
        <w:tc>
          <w:tcPr>
            <w:tcW w:w="1159" w:type="dxa"/>
            <w:tcBorders>
              <w:top w:val="single" w:sz="12" w:space="0" w:color="000000"/>
              <w:left w:val="nil"/>
              <w:bottom w:val="nil"/>
              <w:right w:val="nil"/>
            </w:tcBorders>
          </w:tcPr>
          <w:p w14:paraId="4FED7165" w14:textId="77777777" w:rsidR="00255E0D" w:rsidRDefault="00711581">
            <w:pPr>
              <w:spacing w:after="0" w:line="259" w:lineRule="auto"/>
              <w:ind w:left="221" w:firstLine="0"/>
              <w:jc w:val="left"/>
            </w:pPr>
            <w:r>
              <w:rPr>
                <w:sz w:val="24"/>
              </w:rPr>
              <w:t xml:space="preserve">N/A </w:t>
            </w:r>
          </w:p>
        </w:tc>
        <w:tc>
          <w:tcPr>
            <w:tcW w:w="809" w:type="dxa"/>
            <w:tcBorders>
              <w:top w:val="single" w:sz="12" w:space="0" w:color="000000"/>
              <w:left w:val="nil"/>
              <w:bottom w:val="nil"/>
              <w:right w:val="nil"/>
            </w:tcBorders>
          </w:tcPr>
          <w:p w14:paraId="6323FF6A" w14:textId="77777777" w:rsidR="00255E0D" w:rsidRDefault="00711581">
            <w:pPr>
              <w:spacing w:after="0" w:line="259" w:lineRule="auto"/>
              <w:ind w:left="0" w:firstLine="0"/>
              <w:jc w:val="left"/>
            </w:pPr>
            <w:r>
              <w:rPr>
                <w:sz w:val="24"/>
              </w:rPr>
              <w:t xml:space="preserve">5.545 </w:t>
            </w:r>
          </w:p>
        </w:tc>
        <w:tc>
          <w:tcPr>
            <w:tcW w:w="1313" w:type="dxa"/>
            <w:tcBorders>
              <w:top w:val="single" w:sz="12" w:space="0" w:color="000000"/>
              <w:left w:val="nil"/>
              <w:bottom w:val="nil"/>
              <w:right w:val="nil"/>
            </w:tcBorders>
          </w:tcPr>
          <w:p w14:paraId="770A6989" w14:textId="77777777" w:rsidR="00255E0D" w:rsidRDefault="00711581">
            <w:pPr>
              <w:spacing w:after="0" w:line="259" w:lineRule="auto"/>
              <w:ind w:left="190" w:firstLine="0"/>
              <w:jc w:val="left"/>
            </w:pPr>
            <w:r>
              <w:rPr>
                <w:sz w:val="24"/>
              </w:rPr>
              <w:t xml:space="preserve">5.716 </w:t>
            </w:r>
          </w:p>
        </w:tc>
        <w:tc>
          <w:tcPr>
            <w:tcW w:w="996" w:type="dxa"/>
            <w:tcBorders>
              <w:top w:val="single" w:sz="12" w:space="0" w:color="000000"/>
              <w:left w:val="nil"/>
              <w:bottom w:val="nil"/>
              <w:right w:val="nil"/>
            </w:tcBorders>
          </w:tcPr>
          <w:p w14:paraId="657F996A" w14:textId="1C2660C4" w:rsidR="00255E0D" w:rsidRDefault="00711581">
            <w:pPr>
              <w:spacing w:after="0" w:line="259" w:lineRule="auto"/>
              <w:ind w:left="36" w:firstLine="0"/>
              <w:jc w:val="left"/>
            </w:pPr>
            <w:r>
              <w:rPr>
                <w:sz w:val="24"/>
              </w:rPr>
              <w:t>6.</w:t>
            </w:r>
            <w:r w:rsidR="00945F22">
              <w:rPr>
                <w:sz w:val="24"/>
              </w:rPr>
              <w:t>715</w:t>
            </w:r>
            <w:r>
              <w:rPr>
                <w:sz w:val="24"/>
              </w:rPr>
              <w:t xml:space="preserve"> </w:t>
            </w:r>
          </w:p>
        </w:tc>
        <w:tc>
          <w:tcPr>
            <w:tcW w:w="953" w:type="dxa"/>
            <w:tcBorders>
              <w:top w:val="single" w:sz="12" w:space="0" w:color="000000"/>
              <w:left w:val="nil"/>
              <w:bottom w:val="nil"/>
              <w:right w:val="nil"/>
            </w:tcBorders>
          </w:tcPr>
          <w:p w14:paraId="6B2D6008" w14:textId="77777777" w:rsidR="00255E0D" w:rsidRDefault="00711581">
            <w:pPr>
              <w:spacing w:after="0" w:line="259" w:lineRule="auto"/>
              <w:ind w:left="60" w:firstLine="0"/>
              <w:jc w:val="left"/>
            </w:pPr>
            <w:r>
              <w:rPr>
                <w:sz w:val="24"/>
              </w:rPr>
              <w:t xml:space="preserve">12.53 </w:t>
            </w:r>
          </w:p>
        </w:tc>
        <w:tc>
          <w:tcPr>
            <w:tcW w:w="821" w:type="dxa"/>
            <w:tcBorders>
              <w:top w:val="single" w:sz="12" w:space="0" w:color="000000"/>
              <w:left w:val="nil"/>
              <w:bottom w:val="nil"/>
              <w:right w:val="nil"/>
            </w:tcBorders>
          </w:tcPr>
          <w:p w14:paraId="46C9FBA8" w14:textId="77777777" w:rsidR="00255E0D" w:rsidRDefault="00711581">
            <w:pPr>
              <w:spacing w:after="0" w:line="259" w:lineRule="auto"/>
              <w:ind w:left="120" w:firstLine="0"/>
              <w:jc w:val="left"/>
            </w:pPr>
            <w:r>
              <w:rPr>
                <w:sz w:val="24"/>
              </w:rPr>
              <w:t xml:space="preserve">9.40 </w:t>
            </w:r>
          </w:p>
        </w:tc>
      </w:tr>
      <w:tr w:rsidR="00255E0D" w14:paraId="72D11BC1" w14:textId="77777777">
        <w:trPr>
          <w:trHeight w:val="318"/>
        </w:trPr>
        <w:tc>
          <w:tcPr>
            <w:tcW w:w="1438" w:type="dxa"/>
            <w:tcBorders>
              <w:top w:val="nil"/>
              <w:left w:val="nil"/>
              <w:bottom w:val="nil"/>
              <w:right w:val="nil"/>
            </w:tcBorders>
          </w:tcPr>
          <w:p w14:paraId="146B81D3" w14:textId="77777777" w:rsidR="00255E0D" w:rsidRDefault="00711581">
            <w:pPr>
              <w:spacing w:after="0" w:line="259" w:lineRule="auto"/>
              <w:ind w:left="194" w:firstLine="0"/>
              <w:jc w:val="left"/>
            </w:pPr>
            <w:r>
              <w:rPr>
                <w:sz w:val="24"/>
              </w:rPr>
              <w:t xml:space="preserve">2017/18 </w:t>
            </w:r>
          </w:p>
        </w:tc>
        <w:tc>
          <w:tcPr>
            <w:tcW w:w="1109" w:type="dxa"/>
            <w:tcBorders>
              <w:top w:val="nil"/>
              <w:left w:val="nil"/>
              <w:bottom w:val="nil"/>
              <w:right w:val="nil"/>
            </w:tcBorders>
          </w:tcPr>
          <w:p w14:paraId="7B603F76" w14:textId="77777777" w:rsidR="00255E0D" w:rsidRDefault="00711581">
            <w:pPr>
              <w:spacing w:after="0" w:line="259" w:lineRule="auto"/>
              <w:ind w:left="0" w:firstLine="0"/>
              <w:jc w:val="left"/>
            </w:pPr>
            <w:r>
              <w:rPr>
                <w:sz w:val="24"/>
              </w:rPr>
              <w:t xml:space="preserve">13.325 </w:t>
            </w:r>
          </w:p>
        </w:tc>
        <w:tc>
          <w:tcPr>
            <w:tcW w:w="1159" w:type="dxa"/>
            <w:tcBorders>
              <w:top w:val="nil"/>
              <w:left w:val="nil"/>
              <w:bottom w:val="nil"/>
              <w:right w:val="nil"/>
            </w:tcBorders>
          </w:tcPr>
          <w:p w14:paraId="366F7A78" w14:textId="77777777" w:rsidR="00255E0D" w:rsidRDefault="00711581">
            <w:pPr>
              <w:spacing w:after="0" w:line="259" w:lineRule="auto"/>
              <w:ind w:left="98" w:firstLine="0"/>
              <w:jc w:val="left"/>
            </w:pPr>
            <w:r>
              <w:rPr>
                <w:sz w:val="24"/>
              </w:rPr>
              <w:t xml:space="preserve">31.315 </w:t>
            </w:r>
          </w:p>
        </w:tc>
        <w:tc>
          <w:tcPr>
            <w:tcW w:w="809" w:type="dxa"/>
            <w:tcBorders>
              <w:top w:val="nil"/>
              <w:left w:val="nil"/>
              <w:bottom w:val="nil"/>
              <w:right w:val="nil"/>
            </w:tcBorders>
          </w:tcPr>
          <w:p w14:paraId="6DBA16F2" w14:textId="77777777" w:rsidR="00255E0D" w:rsidRDefault="00711581">
            <w:pPr>
              <w:spacing w:after="0" w:line="259" w:lineRule="auto"/>
              <w:ind w:left="0" w:firstLine="0"/>
              <w:jc w:val="left"/>
            </w:pPr>
            <w:r>
              <w:rPr>
                <w:sz w:val="24"/>
              </w:rPr>
              <w:t xml:space="preserve">5.545 </w:t>
            </w:r>
          </w:p>
        </w:tc>
        <w:tc>
          <w:tcPr>
            <w:tcW w:w="1313" w:type="dxa"/>
            <w:tcBorders>
              <w:top w:val="nil"/>
              <w:left w:val="nil"/>
              <w:bottom w:val="nil"/>
              <w:right w:val="nil"/>
            </w:tcBorders>
          </w:tcPr>
          <w:p w14:paraId="170F3B73" w14:textId="77777777" w:rsidR="00255E0D" w:rsidRDefault="00711581">
            <w:pPr>
              <w:spacing w:after="0" w:line="259" w:lineRule="auto"/>
              <w:ind w:left="190" w:firstLine="0"/>
              <w:jc w:val="left"/>
            </w:pPr>
            <w:r>
              <w:rPr>
                <w:sz w:val="24"/>
              </w:rPr>
              <w:t xml:space="preserve">5.699 </w:t>
            </w:r>
          </w:p>
        </w:tc>
        <w:tc>
          <w:tcPr>
            <w:tcW w:w="996" w:type="dxa"/>
            <w:tcBorders>
              <w:top w:val="nil"/>
              <w:left w:val="nil"/>
              <w:bottom w:val="nil"/>
              <w:right w:val="nil"/>
            </w:tcBorders>
          </w:tcPr>
          <w:p w14:paraId="3E68763B" w14:textId="1C865625" w:rsidR="00255E0D" w:rsidRDefault="00711581">
            <w:pPr>
              <w:spacing w:after="0" w:line="259" w:lineRule="auto"/>
              <w:ind w:left="36" w:firstLine="0"/>
              <w:jc w:val="left"/>
            </w:pPr>
            <w:r>
              <w:rPr>
                <w:sz w:val="24"/>
              </w:rPr>
              <w:t>6.</w:t>
            </w:r>
            <w:r w:rsidR="00945F22">
              <w:rPr>
                <w:sz w:val="24"/>
              </w:rPr>
              <w:t>568</w:t>
            </w:r>
            <w:r>
              <w:rPr>
                <w:sz w:val="24"/>
              </w:rPr>
              <w:t xml:space="preserve"> </w:t>
            </w:r>
          </w:p>
        </w:tc>
        <w:tc>
          <w:tcPr>
            <w:tcW w:w="953" w:type="dxa"/>
            <w:tcBorders>
              <w:top w:val="nil"/>
              <w:left w:val="nil"/>
              <w:bottom w:val="nil"/>
              <w:right w:val="nil"/>
            </w:tcBorders>
          </w:tcPr>
          <w:p w14:paraId="488C8BE7" w14:textId="77777777" w:rsidR="00255E0D" w:rsidRDefault="00711581">
            <w:pPr>
              <w:spacing w:after="0" w:line="259" w:lineRule="auto"/>
              <w:ind w:left="0" w:firstLine="0"/>
              <w:jc w:val="left"/>
            </w:pPr>
            <w:r>
              <w:rPr>
                <w:sz w:val="24"/>
              </w:rPr>
              <w:t xml:space="preserve">13.333 </w:t>
            </w:r>
          </w:p>
        </w:tc>
        <w:tc>
          <w:tcPr>
            <w:tcW w:w="821" w:type="dxa"/>
            <w:tcBorders>
              <w:top w:val="nil"/>
              <w:left w:val="nil"/>
              <w:bottom w:val="nil"/>
              <w:right w:val="nil"/>
            </w:tcBorders>
          </w:tcPr>
          <w:p w14:paraId="52DFE7EC" w14:textId="77777777" w:rsidR="00255E0D" w:rsidRDefault="00711581">
            <w:pPr>
              <w:spacing w:after="0" w:line="259" w:lineRule="auto"/>
              <w:ind w:left="0" w:firstLine="0"/>
            </w:pPr>
            <w:r>
              <w:rPr>
                <w:sz w:val="24"/>
              </w:rPr>
              <w:t xml:space="preserve">10.000 </w:t>
            </w:r>
          </w:p>
        </w:tc>
      </w:tr>
      <w:tr w:rsidR="00255E0D" w14:paraId="1C427C1E" w14:textId="77777777">
        <w:trPr>
          <w:trHeight w:val="318"/>
        </w:trPr>
        <w:tc>
          <w:tcPr>
            <w:tcW w:w="1438" w:type="dxa"/>
            <w:tcBorders>
              <w:top w:val="nil"/>
              <w:left w:val="nil"/>
              <w:bottom w:val="nil"/>
              <w:right w:val="nil"/>
            </w:tcBorders>
          </w:tcPr>
          <w:p w14:paraId="5B229ED7" w14:textId="77777777" w:rsidR="00255E0D" w:rsidRDefault="00711581">
            <w:pPr>
              <w:spacing w:after="0" w:line="259" w:lineRule="auto"/>
              <w:ind w:left="194" w:firstLine="0"/>
              <w:jc w:val="left"/>
            </w:pPr>
            <w:r>
              <w:rPr>
                <w:sz w:val="24"/>
              </w:rPr>
              <w:t xml:space="preserve">2018/19 </w:t>
            </w:r>
          </w:p>
        </w:tc>
        <w:tc>
          <w:tcPr>
            <w:tcW w:w="1109" w:type="dxa"/>
            <w:tcBorders>
              <w:top w:val="nil"/>
              <w:left w:val="nil"/>
              <w:bottom w:val="nil"/>
              <w:right w:val="nil"/>
            </w:tcBorders>
          </w:tcPr>
          <w:p w14:paraId="5A349551" w14:textId="77777777" w:rsidR="00255E0D" w:rsidRDefault="00711581">
            <w:pPr>
              <w:spacing w:after="0" w:line="259" w:lineRule="auto"/>
              <w:ind w:left="0" w:firstLine="0"/>
              <w:jc w:val="left"/>
            </w:pPr>
            <w:r>
              <w:rPr>
                <w:sz w:val="24"/>
              </w:rPr>
              <w:t xml:space="preserve">12.964 </w:t>
            </w:r>
          </w:p>
        </w:tc>
        <w:tc>
          <w:tcPr>
            <w:tcW w:w="1159" w:type="dxa"/>
            <w:tcBorders>
              <w:top w:val="nil"/>
              <w:left w:val="nil"/>
              <w:bottom w:val="nil"/>
              <w:right w:val="nil"/>
            </w:tcBorders>
          </w:tcPr>
          <w:p w14:paraId="2E511DE4" w14:textId="77777777" w:rsidR="00255E0D" w:rsidRDefault="00711581">
            <w:pPr>
              <w:spacing w:after="0" w:line="259" w:lineRule="auto"/>
              <w:ind w:left="98" w:firstLine="0"/>
              <w:jc w:val="left"/>
            </w:pPr>
            <w:r>
              <w:rPr>
                <w:sz w:val="24"/>
              </w:rPr>
              <w:t xml:space="preserve">39.348 </w:t>
            </w:r>
          </w:p>
        </w:tc>
        <w:tc>
          <w:tcPr>
            <w:tcW w:w="809" w:type="dxa"/>
            <w:tcBorders>
              <w:top w:val="nil"/>
              <w:left w:val="nil"/>
              <w:bottom w:val="nil"/>
              <w:right w:val="nil"/>
            </w:tcBorders>
          </w:tcPr>
          <w:p w14:paraId="78F48905" w14:textId="77777777" w:rsidR="00255E0D" w:rsidRDefault="00711581">
            <w:pPr>
              <w:spacing w:after="0" w:line="259" w:lineRule="auto"/>
              <w:ind w:left="0" w:firstLine="0"/>
              <w:jc w:val="left"/>
            </w:pPr>
            <w:r>
              <w:rPr>
                <w:sz w:val="24"/>
              </w:rPr>
              <w:t xml:space="preserve">6.356 </w:t>
            </w:r>
          </w:p>
        </w:tc>
        <w:tc>
          <w:tcPr>
            <w:tcW w:w="1313" w:type="dxa"/>
            <w:tcBorders>
              <w:top w:val="nil"/>
              <w:left w:val="nil"/>
              <w:bottom w:val="nil"/>
              <w:right w:val="nil"/>
            </w:tcBorders>
          </w:tcPr>
          <w:p w14:paraId="583972CF" w14:textId="77777777" w:rsidR="00255E0D" w:rsidRDefault="00711581">
            <w:pPr>
              <w:spacing w:after="0" w:line="259" w:lineRule="auto"/>
              <w:ind w:left="190" w:firstLine="0"/>
              <w:jc w:val="left"/>
            </w:pPr>
            <w:r>
              <w:rPr>
                <w:sz w:val="24"/>
              </w:rPr>
              <w:t xml:space="preserve">6.536 </w:t>
            </w:r>
          </w:p>
        </w:tc>
        <w:tc>
          <w:tcPr>
            <w:tcW w:w="996" w:type="dxa"/>
            <w:tcBorders>
              <w:top w:val="nil"/>
              <w:left w:val="nil"/>
              <w:bottom w:val="nil"/>
              <w:right w:val="nil"/>
            </w:tcBorders>
          </w:tcPr>
          <w:p w14:paraId="2EF661EA" w14:textId="4DC02A8C" w:rsidR="00255E0D" w:rsidRDefault="00711581">
            <w:pPr>
              <w:spacing w:after="0" w:line="259" w:lineRule="auto"/>
              <w:ind w:left="36" w:firstLine="0"/>
              <w:jc w:val="left"/>
            </w:pPr>
            <w:r>
              <w:rPr>
                <w:sz w:val="24"/>
              </w:rPr>
              <w:t>7.</w:t>
            </w:r>
            <w:r w:rsidR="00945F22">
              <w:rPr>
                <w:sz w:val="24"/>
              </w:rPr>
              <w:t>434</w:t>
            </w:r>
            <w:r>
              <w:rPr>
                <w:sz w:val="24"/>
              </w:rPr>
              <w:t xml:space="preserve"> </w:t>
            </w:r>
          </w:p>
        </w:tc>
        <w:tc>
          <w:tcPr>
            <w:tcW w:w="953" w:type="dxa"/>
            <w:tcBorders>
              <w:top w:val="nil"/>
              <w:left w:val="nil"/>
              <w:bottom w:val="nil"/>
              <w:right w:val="nil"/>
            </w:tcBorders>
          </w:tcPr>
          <w:p w14:paraId="3D172B5E" w14:textId="77777777" w:rsidR="00255E0D" w:rsidRDefault="00711581">
            <w:pPr>
              <w:spacing w:after="0" w:line="259" w:lineRule="auto"/>
              <w:ind w:left="0" w:firstLine="0"/>
              <w:jc w:val="left"/>
            </w:pPr>
            <w:r>
              <w:rPr>
                <w:sz w:val="24"/>
              </w:rPr>
              <w:t xml:space="preserve">12.157 </w:t>
            </w:r>
          </w:p>
        </w:tc>
        <w:tc>
          <w:tcPr>
            <w:tcW w:w="821" w:type="dxa"/>
            <w:tcBorders>
              <w:top w:val="nil"/>
              <w:left w:val="nil"/>
              <w:bottom w:val="nil"/>
              <w:right w:val="nil"/>
            </w:tcBorders>
          </w:tcPr>
          <w:p w14:paraId="3CE79B6D" w14:textId="77777777" w:rsidR="00255E0D" w:rsidRDefault="00711581">
            <w:pPr>
              <w:spacing w:after="0" w:line="259" w:lineRule="auto"/>
              <w:ind w:left="60" w:firstLine="0"/>
              <w:jc w:val="left"/>
            </w:pPr>
            <w:r>
              <w:rPr>
                <w:sz w:val="24"/>
              </w:rPr>
              <w:t xml:space="preserve">9.118 </w:t>
            </w:r>
          </w:p>
        </w:tc>
      </w:tr>
      <w:tr w:rsidR="00255E0D" w14:paraId="2D6A8247" w14:textId="77777777">
        <w:trPr>
          <w:trHeight w:val="317"/>
        </w:trPr>
        <w:tc>
          <w:tcPr>
            <w:tcW w:w="1438" w:type="dxa"/>
            <w:tcBorders>
              <w:top w:val="nil"/>
              <w:left w:val="nil"/>
              <w:bottom w:val="nil"/>
              <w:right w:val="nil"/>
            </w:tcBorders>
          </w:tcPr>
          <w:p w14:paraId="3DA0445E" w14:textId="77777777" w:rsidR="00255E0D" w:rsidRDefault="00711581">
            <w:pPr>
              <w:spacing w:after="0" w:line="259" w:lineRule="auto"/>
              <w:ind w:left="194" w:firstLine="0"/>
              <w:jc w:val="left"/>
            </w:pPr>
            <w:r>
              <w:rPr>
                <w:sz w:val="24"/>
              </w:rPr>
              <w:t xml:space="preserve">2019/20 </w:t>
            </w:r>
          </w:p>
        </w:tc>
        <w:tc>
          <w:tcPr>
            <w:tcW w:w="1109" w:type="dxa"/>
            <w:tcBorders>
              <w:top w:val="nil"/>
              <w:left w:val="nil"/>
              <w:bottom w:val="nil"/>
              <w:right w:val="nil"/>
            </w:tcBorders>
          </w:tcPr>
          <w:p w14:paraId="486BB033" w14:textId="13374852" w:rsidR="00255E0D" w:rsidRDefault="00711581">
            <w:pPr>
              <w:spacing w:after="0" w:line="259" w:lineRule="auto"/>
              <w:ind w:left="0" w:firstLine="0"/>
              <w:jc w:val="left"/>
            </w:pPr>
            <w:r>
              <w:rPr>
                <w:sz w:val="24"/>
                <w:shd w:val="clear" w:color="auto" w:fill="D3D4D4"/>
              </w:rPr>
              <w:t>13.0</w:t>
            </w:r>
            <w:r w:rsidR="009F6239">
              <w:rPr>
                <w:sz w:val="24"/>
                <w:shd w:val="clear" w:color="auto" w:fill="D3D4D4"/>
              </w:rPr>
              <w:t>52</w:t>
            </w:r>
            <w:r>
              <w:rPr>
                <w:sz w:val="24"/>
              </w:rPr>
              <w:t xml:space="preserve"> </w:t>
            </w:r>
          </w:p>
        </w:tc>
        <w:tc>
          <w:tcPr>
            <w:tcW w:w="1159" w:type="dxa"/>
            <w:tcBorders>
              <w:top w:val="nil"/>
              <w:left w:val="nil"/>
              <w:bottom w:val="nil"/>
              <w:right w:val="nil"/>
            </w:tcBorders>
          </w:tcPr>
          <w:p w14:paraId="66537D80" w14:textId="705B6C87" w:rsidR="00255E0D" w:rsidRDefault="00711581">
            <w:pPr>
              <w:spacing w:after="0" w:line="259" w:lineRule="auto"/>
              <w:ind w:left="98" w:firstLine="0"/>
              <w:jc w:val="left"/>
            </w:pPr>
            <w:r>
              <w:rPr>
                <w:sz w:val="24"/>
                <w:shd w:val="clear" w:color="auto" w:fill="D3D4D4"/>
              </w:rPr>
              <w:t>3</w:t>
            </w:r>
            <w:r w:rsidR="009F6239">
              <w:rPr>
                <w:sz w:val="24"/>
                <w:shd w:val="clear" w:color="auto" w:fill="D3D4D4"/>
              </w:rPr>
              <w:t>6</w:t>
            </w:r>
            <w:r>
              <w:rPr>
                <w:sz w:val="24"/>
                <w:shd w:val="clear" w:color="auto" w:fill="D3D4D4"/>
              </w:rPr>
              <w:t>.</w:t>
            </w:r>
            <w:r w:rsidR="009F6239">
              <w:rPr>
                <w:sz w:val="24"/>
                <w:shd w:val="clear" w:color="auto" w:fill="D3D4D4"/>
              </w:rPr>
              <w:t>433</w:t>
            </w:r>
            <w:r>
              <w:rPr>
                <w:sz w:val="24"/>
                <w:vertAlign w:val="subscript"/>
              </w:rPr>
              <w:t xml:space="preserve"> </w:t>
            </w:r>
          </w:p>
        </w:tc>
        <w:tc>
          <w:tcPr>
            <w:tcW w:w="809" w:type="dxa"/>
            <w:tcBorders>
              <w:top w:val="nil"/>
              <w:left w:val="nil"/>
              <w:bottom w:val="nil"/>
              <w:right w:val="nil"/>
            </w:tcBorders>
          </w:tcPr>
          <w:p w14:paraId="2C0283B3" w14:textId="77777777" w:rsidR="00255E0D" w:rsidRDefault="00711581">
            <w:pPr>
              <w:spacing w:after="0" w:line="259" w:lineRule="auto"/>
              <w:ind w:left="0" w:firstLine="0"/>
              <w:jc w:val="left"/>
            </w:pPr>
            <w:r>
              <w:rPr>
                <w:sz w:val="24"/>
              </w:rPr>
              <w:t xml:space="preserve">7.180 </w:t>
            </w:r>
          </w:p>
        </w:tc>
        <w:tc>
          <w:tcPr>
            <w:tcW w:w="1313" w:type="dxa"/>
            <w:tcBorders>
              <w:top w:val="nil"/>
              <w:left w:val="nil"/>
              <w:bottom w:val="nil"/>
              <w:right w:val="nil"/>
            </w:tcBorders>
          </w:tcPr>
          <w:p w14:paraId="77832897" w14:textId="27C64462" w:rsidR="00255E0D" w:rsidRDefault="00711581">
            <w:pPr>
              <w:spacing w:after="0" w:line="259" w:lineRule="auto"/>
              <w:ind w:left="190" w:firstLine="0"/>
              <w:jc w:val="left"/>
            </w:pPr>
            <w:r>
              <w:rPr>
                <w:sz w:val="24"/>
                <w:shd w:val="clear" w:color="auto" w:fill="D3D4D4"/>
              </w:rPr>
              <w:t>7.</w:t>
            </w:r>
            <w:r w:rsidR="00945F22">
              <w:rPr>
                <w:sz w:val="24"/>
                <w:shd w:val="clear" w:color="auto" w:fill="D3D4D4"/>
              </w:rPr>
              <w:t>317</w:t>
            </w:r>
            <w:r>
              <w:rPr>
                <w:sz w:val="24"/>
              </w:rPr>
              <w:t xml:space="preserve"> </w:t>
            </w:r>
          </w:p>
        </w:tc>
        <w:tc>
          <w:tcPr>
            <w:tcW w:w="996" w:type="dxa"/>
            <w:tcBorders>
              <w:top w:val="nil"/>
              <w:left w:val="nil"/>
              <w:bottom w:val="nil"/>
              <w:right w:val="nil"/>
            </w:tcBorders>
          </w:tcPr>
          <w:p w14:paraId="7DB91C64" w14:textId="4BE2579E" w:rsidR="00255E0D" w:rsidRDefault="00711581">
            <w:pPr>
              <w:spacing w:after="0" w:line="259" w:lineRule="auto"/>
              <w:ind w:left="36" w:firstLine="0"/>
              <w:jc w:val="left"/>
            </w:pPr>
            <w:r>
              <w:rPr>
                <w:sz w:val="24"/>
                <w:shd w:val="clear" w:color="auto" w:fill="D3D4D4"/>
              </w:rPr>
              <w:t>8.</w:t>
            </w:r>
            <w:r w:rsidR="00945F22">
              <w:rPr>
                <w:sz w:val="24"/>
                <w:shd w:val="clear" w:color="auto" w:fill="D3D4D4"/>
              </w:rPr>
              <w:t>234</w:t>
            </w:r>
            <w:r>
              <w:rPr>
                <w:sz w:val="24"/>
              </w:rPr>
              <w:t xml:space="preserve"> </w:t>
            </w:r>
          </w:p>
        </w:tc>
        <w:tc>
          <w:tcPr>
            <w:tcW w:w="953" w:type="dxa"/>
            <w:tcBorders>
              <w:top w:val="nil"/>
              <w:left w:val="nil"/>
              <w:bottom w:val="nil"/>
              <w:right w:val="nil"/>
            </w:tcBorders>
          </w:tcPr>
          <w:p w14:paraId="41832C21" w14:textId="77777777" w:rsidR="00255E0D" w:rsidRDefault="00711581">
            <w:pPr>
              <w:spacing w:after="0" w:line="259" w:lineRule="auto"/>
              <w:ind w:left="0" w:firstLine="0"/>
              <w:jc w:val="left"/>
            </w:pPr>
            <w:r>
              <w:rPr>
                <w:sz w:val="24"/>
              </w:rPr>
              <w:t xml:space="preserve">11.572 </w:t>
            </w:r>
          </w:p>
        </w:tc>
        <w:tc>
          <w:tcPr>
            <w:tcW w:w="821" w:type="dxa"/>
            <w:tcBorders>
              <w:top w:val="nil"/>
              <w:left w:val="nil"/>
              <w:bottom w:val="nil"/>
              <w:right w:val="nil"/>
            </w:tcBorders>
          </w:tcPr>
          <w:p w14:paraId="6040B4F2" w14:textId="77777777" w:rsidR="00255E0D" w:rsidRDefault="00711581">
            <w:pPr>
              <w:spacing w:after="0" w:line="259" w:lineRule="auto"/>
              <w:ind w:left="60" w:firstLine="0"/>
              <w:jc w:val="left"/>
            </w:pPr>
            <w:r>
              <w:rPr>
                <w:sz w:val="24"/>
              </w:rPr>
              <w:t xml:space="preserve">8.679 </w:t>
            </w:r>
          </w:p>
        </w:tc>
      </w:tr>
      <w:tr w:rsidR="00255E0D" w14:paraId="73842F71" w14:textId="77777777">
        <w:trPr>
          <w:trHeight w:val="357"/>
        </w:trPr>
        <w:tc>
          <w:tcPr>
            <w:tcW w:w="1438" w:type="dxa"/>
            <w:tcBorders>
              <w:top w:val="nil"/>
              <w:left w:val="nil"/>
              <w:bottom w:val="single" w:sz="12" w:space="0" w:color="000000"/>
              <w:right w:val="nil"/>
            </w:tcBorders>
          </w:tcPr>
          <w:p w14:paraId="6A14B9E1" w14:textId="77777777" w:rsidR="00255E0D" w:rsidRDefault="00711581">
            <w:pPr>
              <w:spacing w:after="0" w:line="259" w:lineRule="auto"/>
              <w:ind w:left="194" w:firstLine="0"/>
              <w:jc w:val="left"/>
            </w:pPr>
            <w:r>
              <w:rPr>
                <w:sz w:val="24"/>
              </w:rPr>
              <w:t xml:space="preserve">2020/21 </w:t>
            </w:r>
          </w:p>
        </w:tc>
        <w:tc>
          <w:tcPr>
            <w:tcW w:w="1109" w:type="dxa"/>
            <w:tcBorders>
              <w:top w:val="nil"/>
              <w:left w:val="nil"/>
              <w:bottom w:val="single" w:sz="12" w:space="0" w:color="000000"/>
              <w:right w:val="nil"/>
            </w:tcBorders>
          </w:tcPr>
          <w:p w14:paraId="382BCFA5" w14:textId="77777777" w:rsidR="00255E0D" w:rsidRDefault="00711581">
            <w:pPr>
              <w:spacing w:after="0" w:line="259" w:lineRule="auto"/>
              <w:ind w:left="329" w:firstLine="0"/>
              <w:jc w:val="left"/>
            </w:pPr>
            <w:r>
              <w:rPr>
                <w:sz w:val="24"/>
              </w:rPr>
              <w:t xml:space="preserve"> </w:t>
            </w:r>
          </w:p>
        </w:tc>
        <w:tc>
          <w:tcPr>
            <w:tcW w:w="1159" w:type="dxa"/>
            <w:tcBorders>
              <w:top w:val="nil"/>
              <w:left w:val="nil"/>
              <w:bottom w:val="single" w:sz="12" w:space="0" w:color="000000"/>
              <w:right w:val="nil"/>
            </w:tcBorders>
          </w:tcPr>
          <w:p w14:paraId="03C9BDCB" w14:textId="64DA1460" w:rsidR="00255E0D" w:rsidRDefault="00711581">
            <w:pPr>
              <w:spacing w:after="0" w:line="259" w:lineRule="auto"/>
              <w:ind w:left="98" w:firstLine="0"/>
              <w:jc w:val="left"/>
            </w:pPr>
            <w:r>
              <w:rPr>
                <w:sz w:val="24"/>
                <w:shd w:val="clear" w:color="auto" w:fill="D3D4D4"/>
              </w:rPr>
              <w:t>32.</w:t>
            </w:r>
            <w:r w:rsidR="009F6239">
              <w:rPr>
                <w:sz w:val="24"/>
                <w:shd w:val="clear" w:color="auto" w:fill="D3D4D4"/>
              </w:rPr>
              <w:t>754</w:t>
            </w:r>
            <w:r>
              <w:rPr>
                <w:sz w:val="24"/>
              </w:rPr>
              <w:t xml:space="preserve"> </w:t>
            </w:r>
          </w:p>
        </w:tc>
        <w:tc>
          <w:tcPr>
            <w:tcW w:w="809" w:type="dxa"/>
            <w:tcBorders>
              <w:top w:val="nil"/>
              <w:left w:val="nil"/>
              <w:bottom w:val="single" w:sz="12" w:space="0" w:color="000000"/>
              <w:right w:val="nil"/>
            </w:tcBorders>
          </w:tcPr>
          <w:p w14:paraId="6D82C7D8" w14:textId="77777777" w:rsidR="00255E0D" w:rsidRDefault="00711581">
            <w:pPr>
              <w:spacing w:after="0" w:line="259" w:lineRule="auto"/>
              <w:ind w:left="271" w:firstLine="0"/>
              <w:jc w:val="left"/>
            </w:pPr>
            <w:r>
              <w:rPr>
                <w:sz w:val="24"/>
              </w:rPr>
              <w:t xml:space="preserve"> </w:t>
            </w:r>
          </w:p>
        </w:tc>
        <w:tc>
          <w:tcPr>
            <w:tcW w:w="1313" w:type="dxa"/>
            <w:tcBorders>
              <w:top w:val="nil"/>
              <w:left w:val="nil"/>
              <w:bottom w:val="single" w:sz="12" w:space="0" w:color="000000"/>
              <w:right w:val="nil"/>
            </w:tcBorders>
          </w:tcPr>
          <w:p w14:paraId="4D39A506" w14:textId="77777777" w:rsidR="00255E0D" w:rsidRDefault="00711581">
            <w:pPr>
              <w:spacing w:after="0" w:line="259" w:lineRule="auto"/>
              <w:ind w:left="461" w:firstLine="0"/>
              <w:jc w:val="left"/>
            </w:pPr>
            <w:r>
              <w:rPr>
                <w:sz w:val="24"/>
              </w:rPr>
              <w:t xml:space="preserve"> </w:t>
            </w:r>
          </w:p>
        </w:tc>
        <w:tc>
          <w:tcPr>
            <w:tcW w:w="996" w:type="dxa"/>
            <w:tcBorders>
              <w:top w:val="nil"/>
              <w:left w:val="nil"/>
              <w:bottom w:val="single" w:sz="12" w:space="0" w:color="000000"/>
              <w:right w:val="nil"/>
            </w:tcBorders>
          </w:tcPr>
          <w:p w14:paraId="377CC540" w14:textId="77777777" w:rsidR="00255E0D" w:rsidRDefault="00711581">
            <w:pPr>
              <w:spacing w:after="0" w:line="259" w:lineRule="auto"/>
              <w:ind w:left="307" w:firstLine="0"/>
              <w:jc w:val="left"/>
            </w:pPr>
            <w:r>
              <w:rPr>
                <w:sz w:val="24"/>
              </w:rPr>
              <w:t xml:space="preserve"> </w:t>
            </w:r>
          </w:p>
        </w:tc>
        <w:tc>
          <w:tcPr>
            <w:tcW w:w="953" w:type="dxa"/>
            <w:tcBorders>
              <w:top w:val="nil"/>
              <w:left w:val="nil"/>
              <w:bottom w:val="single" w:sz="12" w:space="0" w:color="000000"/>
              <w:right w:val="nil"/>
            </w:tcBorders>
          </w:tcPr>
          <w:p w14:paraId="48A7FB92" w14:textId="73DF5789" w:rsidR="00255E0D" w:rsidRDefault="00711581">
            <w:pPr>
              <w:spacing w:after="0" w:line="259" w:lineRule="auto"/>
              <w:ind w:left="0" w:firstLine="0"/>
              <w:jc w:val="left"/>
            </w:pPr>
            <w:r>
              <w:rPr>
                <w:sz w:val="24"/>
                <w:shd w:val="clear" w:color="auto" w:fill="D3D4D4"/>
              </w:rPr>
              <w:t>10.</w:t>
            </w:r>
            <w:r w:rsidR="00945F22">
              <w:rPr>
                <w:sz w:val="24"/>
                <w:shd w:val="clear" w:color="auto" w:fill="D3D4D4"/>
              </w:rPr>
              <w:t>760</w:t>
            </w:r>
            <w:r>
              <w:rPr>
                <w:sz w:val="24"/>
              </w:rPr>
              <w:t xml:space="preserve"> </w:t>
            </w:r>
          </w:p>
        </w:tc>
        <w:tc>
          <w:tcPr>
            <w:tcW w:w="821" w:type="dxa"/>
            <w:tcBorders>
              <w:top w:val="nil"/>
              <w:left w:val="nil"/>
              <w:bottom w:val="single" w:sz="12" w:space="0" w:color="000000"/>
              <w:right w:val="nil"/>
            </w:tcBorders>
          </w:tcPr>
          <w:p w14:paraId="6F6AE947" w14:textId="33C76FE5" w:rsidR="00255E0D" w:rsidRDefault="00711581">
            <w:pPr>
              <w:spacing w:after="0" w:line="259" w:lineRule="auto"/>
              <w:ind w:left="31" w:firstLine="0"/>
              <w:jc w:val="left"/>
            </w:pPr>
            <w:r>
              <w:rPr>
                <w:sz w:val="24"/>
                <w:shd w:val="clear" w:color="auto" w:fill="D3D4D4"/>
              </w:rPr>
              <w:t xml:space="preserve"> </w:t>
            </w:r>
            <w:r w:rsidR="00945F22">
              <w:rPr>
                <w:sz w:val="24"/>
                <w:shd w:val="clear" w:color="auto" w:fill="D3D4D4"/>
              </w:rPr>
              <w:t>8.070</w:t>
            </w:r>
            <w:r>
              <w:rPr>
                <w:sz w:val="24"/>
              </w:rPr>
              <w:t xml:space="preserve"> </w:t>
            </w:r>
          </w:p>
        </w:tc>
      </w:tr>
    </w:tbl>
    <w:p w14:paraId="311CFC8F" w14:textId="77777777" w:rsidR="00255E0D" w:rsidRDefault="00711581">
      <w:pPr>
        <w:spacing w:after="0" w:line="259" w:lineRule="auto"/>
        <w:ind w:left="1080" w:firstLine="0"/>
        <w:jc w:val="left"/>
      </w:pPr>
      <w:r>
        <w:rPr>
          <w:sz w:val="24"/>
        </w:rPr>
        <w:t xml:space="preserve"> </w:t>
      </w:r>
    </w:p>
    <w:p w14:paraId="4011D330" w14:textId="3D6C71FA" w:rsidR="00255E0D" w:rsidRDefault="00711581">
      <w:pPr>
        <w:spacing w:after="255" w:line="238" w:lineRule="auto"/>
        <w:ind w:left="-5"/>
        <w:jc w:val="left"/>
      </w:pPr>
      <w:r>
        <w:t xml:space="preserve">The total fishery mortality in 2019/20 was 3,735 t, less than the OFL of 5,249 t, thus overfishing has not occurred. The mature male biomass was 16,526 t, above MSST of 5,920 t, hence the stock was not overfished.  </w:t>
      </w:r>
    </w:p>
    <w:p w14:paraId="39B72B23" w14:textId="77777777" w:rsidR="004E4C08" w:rsidRDefault="004E4C08">
      <w:pPr>
        <w:spacing w:after="255" w:line="238" w:lineRule="auto"/>
        <w:ind w:left="-5"/>
        <w:jc w:val="left"/>
      </w:pPr>
    </w:p>
    <w:p w14:paraId="06DFBF18" w14:textId="77777777" w:rsidR="00255E0D" w:rsidRDefault="00711581">
      <w:pPr>
        <w:pStyle w:val="Heading2"/>
        <w:ind w:left="-5"/>
      </w:pPr>
      <w:r>
        <w:t xml:space="preserve">Additional Plan Team recommendations </w:t>
      </w:r>
    </w:p>
    <w:p w14:paraId="50B2A959" w14:textId="77777777" w:rsidR="00255E0D" w:rsidRDefault="00711581">
      <w:pPr>
        <w:spacing w:after="1313" w:line="238" w:lineRule="auto"/>
        <w:ind w:left="-5"/>
        <w:jc w:val="left"/>
      </w:pPr>
      <w:r>
        <w:t>The CPT recommended additional development of fishery CPUE standardization, including further development of how to account for year-area interactions when constructing indices of abundance and their uncertainty. Work should continue to obtain an index using the cooperative pot survey data for use in the EAG assessment model. Finally, GMACS for the AIGKC assessment should be explored.</w:t>
      </w:r>
      <w:r>
        <w:rPr>
          <w:sz w:val="20"/>
        </w:rPr>
        <w:t xml:space="preserve"> </w:t>
      </w:r>
    </w:p>
    <w:p w14:paraId="7117ACEC" w14:textId="77777777" w:rsidR="00255E0D" w:rsidRDefault="00711581">
      <w:pPr>
        <w:spacing w:after="348" w:line="259" w:lineRule="auto"/>
        <w:ind w:right="-8"/>
        <w:jc w:val="right"/>
      </w:pPr>
      <w:r>
        <w:rPr>
          <w:rFonts w:ascii="Arial" w:eastAsia="Arial" w:hAnsi="Arial" w:cs="Arial"/>
          <w:sz w:val="20"/>
        </w:rPr>
        <w:lastRenderedPageBreak/>
        <w:t>29</w:t>
      </w:r>
      <w:r>
        <w:rPr>
          <w:sz w:val="24"/>
        </w:rPr>
        <w:t xml:space="preserve"> </w:t>
      </w:r>
    </w:p>
    <w:sectPr w:rsidR="00255E0D">
      <w:pgSz w:w="12240" w:h="15840"/>
      <w:pgMar w:top="701" w:right="1435" w:bottom="69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8F117A" w14:textId="77777777" w:rsidR="00381CC9" w:rsidRDefault="00381CC9" w:rsidP="00851A76">
      <w:pPr>
        <w:spacing w:after="0" w:line="240" w:lineRule="auto"/>
      </w:pPr>
      <w:r>
        <w:separator/>
      </w:r>
    </w:p>
  </w:endnote>
  <w:endnote w:type="continuationSeparator" w:id="0">
    <w:p w14:paraId="5E8E8FB3" w14:textId="77777777" w:rsidR="00381CC9" w:rsidRDefault="00381CC9" w:rsidP="0085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ABF3E" w14:textId="77777777" w:rsidR="00381CC9" w:rsidRDefault="00381CC9" w:rsidP="00851A76">
      <w:pPr>
        <w:spacing w:after="0" w:line="240" w:lineRule="auto"/>
      </w:pPr>
      <w:r>
        <w:separator/>
      </w:r>
    </w:p>
  </w:footnote>
  <w:footnote w:type="continuationSeparator" w:id="0">
    <w:p w14:paraId="5D17CFBF" w14:textId="77777777" w:rsidR="00381CC9" w:rsidRDefault="00381CC9" w:rsidP="00851A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FF"/>
    <w:multiLevelType w:val="hybridMultilevel"/>
    <w:tmpl w:val="7CC8A0FC"/>
    <w:lvl w:ilvl="0" w:tplc="5ED6A04C">
      <w:start w:val="8"/>
      <w:numFmt w:val="decimal"/>
      <w:pStyle w:val="Heading1"/>
      <w:lvlText w:val="%1"/>
      <w:lvlJc w:val="left"/>
      <w:pPr>
        <w:ind w:left="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1" w:tplc="01B26754">
      <w:start w:val="1"/>
      <w:numFmt w:val="lowerLetter"/>
      <w:lvlText w:val="%2"/>
      <w:lvlJc w:val="left"/>
      <w:pPr>
        <w:ind w:left="108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2" w:tplc="86668566">
      <w:start w:val="1"/>
      <w:numFmt w:val="lowerRoman"/>
      <w:lvlText w:val="%3"/>
      <w:lvlJc w:val="left"/>
      <w:pPr>
        <w:ind w:left="180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3" w:tplc="256274B6">
      <w:start w:val="1"/>
      <w:numFmt w:val="decimal"/>
      <w:lvlText w:val="%4"/>
      <w:lvlJc w:val="left"/>
      <w:pPr>
        <w:ind w:left="252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4" w:tplc="D45ECE30">
      <w:start w:val="1"/>
      <w:numFmt w:val="lowerLetter"/>
      <w:lvlText w:val="%5"/>
      <w:lvlJc w:val="left"/>
      <w:pPr>
        <w:ind w:left="324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5" w:tplc="94B0AF06">
      <w:start w:val="1"/>
      <w:numFmt w:val="lowerRoman"/>
      <w:lvlText w:val="%6"/>
      <w:lvlJc w:val="left"/>
      <w:pPr>
        <w:ind w:left="396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6" w:tplc="16B8D322">
      <w:start w:val="1"/>
      <w:numFmt w:val="decimal"/>
      <w:lvlText w:val="%7"/>
      <w:lvlJc w:val="left"/>
      <w:pPr>
        <w:ind w:left="468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7" w:tplc="44E8C34E">
      <w:start w:val="1"/>
      <w:numFmt w:val="lowerLetter"/>
      <w:lvlText w:val="%8"/>
      <w:lvlJc w:val="left"/>
      <w:pPr>
        <w:ind w:left="540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lvl w:ilvl="8" w:tplc="2870BF94">
      <w:start w:val="1"/>
      <w:numFmt w:val="lowerRoman"/>
      <w:lvlText w:val="%9"/>
      <w:lvlJc w:val="left"/>
      <w:pPr>
        <w:ind w:left="6120"/>
      </w:pPr>
      <w:rPr>
        <w:rFonts w:ascii="Arial" w:eastAsia="Arial" w:hAnsi="Arial" w:cs="Arial"/>
        <w:b/>
        <w:bCs/>
        <w:i/>
        <w:iCs/>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E0D"/>
    <w:rsid w:val="00134F05"/>
    <w:rsid w:val="00255E0D"/>
    <w:rsid w:val="00381CC9"/>
    <w:rsid w:val="004E4C08"/>
    <w:rsid w:val="00624219"/>
    <w:rsid w:val="00711581"/>
    <w:rsid w:val="00851A76"/>
    <w:rsid w:val="00945F22"/>
    <w:rsid w:val="009F6239"/>
    <w:rsid w:val="00AE0843"/>
    <w:rsid w:val="00AE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F47D6"/>
  <w15:docId w15:val="{A6BE3644-FD00-4457-A2B8-18AAD12F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6" w:line="239"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174"/>
      <w:outlineLvl w:val="0"/>
    </w:pPr>
    <w:rPr>
      <w:rFonts w:ascii="Arial" w:eastAsia="Arial" w:hAnsi="Arial" w:cs="Arial"/>
      <w:b/>
      <w:i/>
      <w:color w:val="000000"/>
      <w:sz w:val="28"/>
    </w:rPr>
  </w:style>
  <w:style w:type="paragraph" w:styleId="Heading2">
    <w:name w:val="heading 2"/>
    <w:next w:val="Normal"/>
    <w:link w:val="Heading2Char"/>
    <w:uiPriority w:val="9"/>
    <w:unhideWhenUsed/>
    <w:qFormat/>
    <w:pPr>
      <w:keepNext/>
      <w:keepLines/>
      <w:spacing w:after="76"/>
      <w:ind w:left="10" w:hanging="10"/>
      <w:outlineLvl w:val="1"/>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Arial" w:eastAsia="Arial" w:hAnsi="Arial" w:cs="Arial"/>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E08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4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Aleutian Islands Golden King Crab Intro 2020</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Aleutian Islands Golden King Crab Intro 2020</dc:title>
  <dc:subject/>
  <dc:creator>Bill Bechtol</dc:creator>
  <cp:keywords/>
  <cp:lastModifiedBy>Siddeek, Shareef (DFG)</cp:lastModifiedBy>
  <cp:revision>3</cp:revision>
  <dcterms:created xsi:type="dcterms:W3CDTF">2020-09-03T16:32:00Z</dcterms:created>
  <dcterms:modified xsi:type="dcterms:W3CDTF">2020-09-03T16:32:00Z</dcterms:modified>
</cp:coreProperties>
</file>