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21F93" w14:textId="77777777" w:rsidR="003928D7" w:rsidRPr="003928D7" w:rsidRDefault="003928D7" w:rsidP="003928D7">
      <w:pPr>
        <w:keepNext/>
        <w:spacing w:before="240" w:after="60"/>
        <w:jc w:val="both"/>
        <w:outlineLvl w:val="2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10</w:t>
      </w:r>
      <w:r w:rsidRPr="00AB1D81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Western </w:t>
      </w:r>
      <w:r w:rsidRPr="76309FFD">
        <w:rPr>
          <w:rFonts w:ascii="Arial" w:eastAsia="Arial" w:hAnsi="Arial" w:cs="Arial"/>
          <w:b/>
          <w:bCs/>
          <w:sz w:val="26"/>
          <w:szCs w:val="26"/>
        </w:rPr>
        <w:t xml:space="preserve">Aleutian Islands </w:t>
      </w:r>
      <w:r>
        <w:rPr>
          <w:rFonts w:ascii="Arial" w:eastAsia="Arial" w:hAnsi="Arial" w:cs="Arial"/>
          <w:b/>
          <w:bCs/>
          <w:sz w:val="26"/>
          <w:szCs w:val="26"/>
        </w:rPr>
        <w:t>Red</w:t>
      </w:r>
      <w:r w:rsidRPr="76309FFD">
        <w:rPr>
          <w:rFonts w:ascii="Arial" w:eastAsia="Arial" w:hAnsi="Arial" w:cs="Arial"/>
          <w:b/>
          <w:bCs/>
          <w:sz w:val="26"/>
          <w:szCs w:val="26"/>
        </w:rPr>
        <w:t xml:space="preserve"> King Crab</w:t>
      </w:r>
      <w:bookmarkStart w:id="0" w:name="_GoBack"/>
      <w:bookmarkEnd w:id="0"/>
    </w:p>
    <w:p w14:paraId="3C01F483" w14:textId="77777777" w:rsidR="00BC2A51" w:rsidRPr="0040464F" w:rsidRDefault="00BC2A51" w:rsidP="00BC2A51">
      <w:pPr>
        <w:pStyle w:val="Default"/>
      </w:pPr>
      <w:r w:rsidRPr="0040464F">
        <w:rPr>
          <w:i/>
          <w:iCs/>
        </w:rPr>
        <w:t xml:space="preserve">Fishery information relative to OFL and ABC setting </w:t>
      </w:r>
    </w:p>
    <w:p w14:paraId="320E2294" w14:textId="77777777" w:rsidR="007A4463" w:rsidRPr="0040464F" w:rsidRDefault="00BC2A51" w:rsidP="00BC2A51">
      <w:pPr>
        <w:pStyle w:val="Default"/>
      </w:pPr>
      <w:r w:rsidRPr="0040464F">
        <w:t xml:space="preserve">The domestic fishery </w:t>
      </w:r>
      <w:r w:rsidR="00AD06F9" w:rsidRPr="0040464F">
        <w:t>has been pr</w:t>
      </w:r>
      <w:r w:rsidR="007A4463" w:rsidRPr="0040464F">
        <w:t>o</w:t>
      </w:r>
      <w:r w:rsidR="00AD06F9" w:rsidRPr="0040464F">
        <w:t>secuted</w:t>
      </w:r>
      <w:r w:rsidRPr="0040464F">
        <w:t xml:space="preserve"> every season from 1960/61 to 1995/96. </w:t>
      </w:r>
      <w:r w:rsidR="00AD06F9" w:rsidRPr="0040464F">
        <w:t xml:space="preserve">During the early years of the fishery through the late 1970s, most or all of the retained catch was harvested in the area between 172° W longitude and 179°15' W longitude.  </w:t>
      </w:r>
      <w:r w:rsidR="007A0F42" w:rsidRPr="0040464F">
        <w:t xml:space="preserve">Peak harvest occurred during the 1964/65 season with a retained catch of 21.19 million lb. </w:t>
      </w:r>
      <w:r w:rsidR="00AD06F9" w:rsidRPr="0040464F">
        <w:t xml:space="preserve">As the annual retained catch decreased into the mid-1970s and the early-1980s, the area west of 179°15' W longitude began to account for a larger portion of the retained catch. </w:t>
      </w:r>
      <w:r w:rsidRPr="0040464F">
        <w:t xml:space="preserve">After 1995/96, the fishery was opened </w:t>
      </w:r>
      <w:r w:rsidR="008F0419" w:rsidRPr="0040464F">
        <w:t xml:space="preserve">only occasionally.  There was an exploratory fishery in 1998/99, three commissioner’s permit fisheries in limited areas during 2000/01–2002/03 to allow for ADF&amp;G-Industry surveys, and two commercial fisheries with a GHL of </w:t>
      </w:r>
      <w:r w:rsidR="007A4463" w:rsidRPr="0040464F">
        <w:t xml:space="preserve">0.5 million </w:t>
      </w:r>
      <w:proofErr w:type="spellStart"/>
      <w:r w:rsidR="007A4463" w:rsidRPr="0040464F">
        <w:t>lb</w:t>
      </w:r>
      <w:proofErr w:type="spellEnd"/>
      <w:r w:rsidR="008F0419" w:rsidRPr="0040464F">
        <w:t xml:space="preserve"> in 2002/03 and 2003/04 in the Petrel Bank area.  </w:t>
      </w:r>
      <w:r w:rsidR="007A4463" w:rsidRPr="0040464F">
        <w:t xml:space="preserve">The fishery has been closed </w:t>
      </w:r>
      <w:r w:rsidR="0040464F" w:rsidRPr="0040464F">
        <w:t>since</w:t>
      </w:r>
      <w:r w:rsidR="007A4463" w:rsidRPr="0040464F">
        <w:t xml:space="preserve"> 200</w:t>
      </w:r>
      <w:r w:rsidR="00812EA9">
        <w:t>3</w:t>
      </w:r>
      <w:r w:rsidR="007A4463" w:rsidRPr="0040464F">
        <w:t>/0</w:t>
      </w:r>
      <w:r w:rsidR="00812EA9">
        <w:t>4</w:t>
      </w:r>
      <w:r w:rsidR="007A4463" w:rsidRPr="0040464F">
        <w:t>.</w:t>
      </w:r>
    </w:p>
    <w:p w14:paraId="63514B33" w14:textId="77777777" w:rsidR="007A4463" w:rsidRPr="0040464F" w:rsidRDefault="007A4463" w:rsidP="00BC2A51">
      <w:pPr>
        <w:pStyle w:val="Default"/>
      </w:pPr>
    </w:p>
    <w:p w14:paraId="40BECFA6" w14:textId="7AD1C2FF" w:rsidR="00BC2A51" w:rsidRPr="0040464F" w:rsidRDefault="00BC2A51" w:rsidP="00BC2A51">
      <w:pPr>
        <w:pStyle w:val="Default"/>
      </w:pPr>
      <w:r w:rsidRPr="0040464F">
        <w:t xml:space="preserve">Retained catch from 1985/86 to 1994/95 averaged 0.94 million </w:t>
      </w:r>
      <w:proofErr w:type="spellStart"/>
      <w:r w:rsidRPr="0040464F">
        <w:t>lb</w:t>
      </w:r>
      <w:proofErr w:type="spellEnd"/>
      <w:r w:rsidRPr="0040464F">
        <w:t>, but the retained catch during the 1995/96 season dropped to 0.04 million lb. Most of the catch since the 1990/91 season was harvested in the Petrel Bank area (between 179° W longitude and 179° E longitude) and the last two commercial fishery seasons were opened only in the Petrel Bank area</w:t>
      </w:r>
      <w:r w:rsidR="00215E02" w:rsidRPr="0040464F">
        <w:t xml:space="preserve"> with 0.51 million </w:t>
      </w:r>
      <w:proofErr w:type="spellStart"/>
      <w:r w:rsidR="00215E02" w:rsidRPr="0040464F">
        <w:t>lb</w:t>
      </w:r>
      <w:proofErr w:type="spellEnd"/>
      <w:r w:rsidR="00215E02" w:rsidRPr="0040464F">
        <w:t xml:space="preserve"> in 2002/03 and 0.48 million </w:t>
      </w:r>
      <w:proofErr w:type="spellStart"/>
      <w:r w:rsidR="00215E02" w:rsidRPr="0040464F">
        <w:t>lb</w:t>
      </w:r>
      <w:proofErr w:type="spellEnd"/>
      <w:r w:rsidR="00215E02" w:rsidRPr="0040464F">
        <w:t xml:space="preserve"> in 2003/04. </w:t>
      </w:r>
      <w:r w:rsidRPr="0040464F">
        <w:t xml:space="preserve">Non-retained catch of red king crabs occurs in both the directed red king crab fishery, the Aleutian Islands golden king crab fishery, and in groundfish fisheries. Estimated bycatch mortality </w:t>
      </w:r>
      <w:r w:rsidR="00215E02" w:rsidRPr="0040464F">
        <w:t>in the crab fisheries during the 1995/96 to 201</w:t>
      </w:r>
      <w:r w:rsidR="00640E7D">
        <w:t>8</w:t>
      </w:r>
      <w:r w:rsidR="00215E02" w:rsidRPr="0040464F">
        <w:t>/1</w:t>
      </w:r>
      <w:r w:rsidR="00640E7D">
        <w:t>9</w:t>
      </w:r>
      <w:r w:rsidRPr="0040464F">
        <w:t xml:space="preserve"> seasons averaged 0.002 million </w:t>
      </w:r>
      <w:proofErr w:type="spellStart"/>
      <w:r w:rsidRPr="0040464F">
        <w:t>lb</w:t>
      </w:r>
      <w:proofErr w:type="spellEnd"/>
      <w:r w:rsidRPr="0040464F">
        <w:t xml:space="preserve"> in crab fisheries and 0.0</w:t>
      </w:r>
      <w:r w:rsidR="007265D5">
        <w:t>1</w:t>
      </w:r>
      <w:r w:rsidR="00640E7D">
        <w:t>4</w:t>
      </w:r>
      <w:r w:rsidRPr="0040464F">
        <w:t xml:space="preserve"> million </w:t>
      </w:r>
      <w:proofErr w:type="spellStart"/>
      <w:r w:rsidRPr="0040464F">
        <w:t>lb</w:t>
      </w:r>
      <w:proofErr w:type="spellEnd"/>
      <w:r w:rsidRPr="0040464F">
        <w:t xml:space="preserve"> in groundfish fisheries. Estimated annual total fishing mortality from 1995/96 to 20</w:t>
      </w:r>
      <w:r w:rsidR="00B70A7A" w:rsidRPr="0040464F">
        <w:t>1</w:t>
      </w:r>
      <w:r w:rsidR="00FE0067">
        <w:t>8</w:t>
      </w:r>
      <w:r w:rsidR="00B70A7A" w:rsidRPr="0040464F">
        <w:t>/1</w:t>
      </w:r>
      <w:r w:rsidR="00FE0067">
        <w:t>9</w:t>
      </w:r>
      <w:r w:rsidRPr="0040464F">
        <w:t xml:space="preserve"> averaged 0.0</w:t>
      </w:r>
      <w:r w:rsidR="003736DE">
        <w:t>69</w:t>
      </w:r>
      <w:r w:rsidRPr="0040464F">
        <w:t xml:space="preserve"> million lb. The average retained catch during that period was 0.0</w:t>
      </w:r>
      <w:r w:rsidR="007265D5">
        <w:t>5</w:t>
      </w:r>
      <w:r w:rsidR="003736DE">
        <w:t>3</w:t>
      </w:r>
      <w:r w:rsidRPr="0040464F">
        <w:t xml:space="preserve"> million lb. This fishery is rationalized under the Crab Rationalization Program only for the area west of 179° W longitude. </w:t>
      </w:r>
    </w:p>
    <w:p w14:paraId="7330F143" w14:textId="77777777" w:rsidR="00AD06F9" w:rsidRDefault="00AD06F9" w:rsidP="00BC2A51">
      <w:pPr>
        <w:pStyle w:val="Default"/>
        <w:rPr>
          <w:i/>
          <w:iCs/>
          <w:sz w:val="22"/>
          <w:szCs w:val="22"/>
        </w:rPr>
      </w:pPr>
    </w:p>
    <w:p w14:paraId="37A48F00" w14:textId="77777777" w:rsidR="00BC2A51" w:rsidRPr="0040464F" w:rsidRDefault="00BC2A51" w:rsidP="00BC2A51">
      <w:pPr>
        <w:pStyle w:val="Default"/>
        <w:rPr>
          <w:i/>
          <w:iCs/>
        </w:rPr>
      </w:pPr>
      <w:r w:rsidRPr="0040464F">
        <w:rPr>
          <w:i/>
          <w:iCs/>
        </w:rPr>
        <w:t xml:space="preserve">Data and assessment methodology </w:t>
      </w:r>
    </w:p>
    <w:p w14:paraId="3F0ECFFD" w14:textId="76665BF0" w:rsidR="00BC2A51" w:rsidRPr="00677482" w:rsidRDefault="00BC2A51" w:rsidP="00BC2A51">
      <w:pPr>
        <w:pStyle w:val="Default"/>
      </w:pPr>
      <w:r w:rsidRPr="0040464F">
        <w:t>The 1960/61 to 2007/08 time series of retained catch (number and pounds of crabs), effort (vessels, landings and pot lifts), average weight and average carapace length of landed crabs, and catch-per-unit effort (number of crabs per pot lift) are available. Bycatch from crab fisheries from 1995/96 to 201</w:t>
      </w:r>
      <w:r w:rsidR="005A0684">
        <w:t>8</w:t>
      </w:r>
      <w:r w:rsidR="00D70856">
        <w:t>/1</w:t>
      </w:r>
      <w:r w:rsidR="005A0684">
        <w:t>9</w:t>
      </w:r>
      <w:r w:rsidRPr="0040464F">
        <w:t xml:space="preserve"> and from groundfish fisheries from 1993/94 to 201</w:t>
      </w:r>
      <w:r w:rsidR="00BE3A51">
        <w:t>8</w:t>
      </w:r>
      <w:r w:rsidR="00D70856">
        <w:t>/1</w:t>
      </w:r>
      <w:r w:rsidR="00BE3A51">
        <w:t>9</w:t>
      </w:r>
      <w:r w:rsidRPr="0040464F">
        <w:t xml:space="preserve"> are available. There is no assessment model for this stock. The standardized surveys of the Petrel Bank area conducted by ADF&amp;G in 2006 and 2009 and the ADF&amp;G-Industry Petrel Bank surveys conducted in 2001 were too limited in geographic scope </w:t>
      </w:r>
      <w:r w:rsidRPr="00677482">
        <w:t xml:space="preserve">and too infrequent for reliable estimation of abundance for the entire western Aleutian Islands area. </w:t>
      </w:r>
    </w:p>
    <w:p w14:paraId="364DE059" w14:textId="77777777" w:rsidR="00AD06F9" w:rsidRPr="00677482" w:rsidRDefault="00AD06F9" w:rsidP="00BC2A51">
      <w:pPr>
        <w:pStyle w:val="Default"/>
      </w:pPr>
    </w:p>
    <w:p w14:paraId="64A47C17" w14:textId="77777777" w:rsidR="00BC2A51" w:rsidRPr="00677482" w:rsidRDefault="00BC2A51" w:rsidP="00BC2A51">
      <w:pPr>
        <w:pStyle w:val="Default"/>
      </w:pPr>
      <w:r w:rsidRPr="00677482">
        <w:rPr>
          <w:i/>
          <w:iCs/>
        </w:rPr>
        <w:t xml:space="preserve">Stock biomass and recruitment trends </w:t>
      </w:r>
    </w:p>
    <w:p w14:paraId="15395C52" w14:textId="77777777" w:rsidR="00BC2A51" w:rsidRPr="00677482" w:rsidRDefault="00BC2A51" w:rsidP="00BC2A51">
      <w:pPr>
        <w:pStyle w:val="Default"/>
        <w:rPr>
          <w:color w:val="auto"/>
        </w:rPr>
      </w:pPr>
      <w:r w:rsidRPr="00677482">
        <w:t>Estimates of stock biomass</w:t>
      </w:r>
      <w:r w:rsidR="00677482">
        <w:t xml:space="preserve">, </w:t>
      </w:r>
      <w:r w:rsidRPr="00677482">
        <w:t>recruitment trends</w:t>
      </w:r>
      <w:r w:rsidR="00677482">
        <w:t>,</w:t>
      </w:r>
      <w:r w:rsidRPr="00677482">
        <w:t xml:space="preserve"> and current levels relative to virgin or historic levels are not available</w:t>
      </w:r>
      <w:r w:rsidR="00677482">
        <w:t xml:space="preserve"> for this stock</w:t>
      </w:r>
      <w:r w:rsidRPr="00677482">
        <w:t xml:space="preserve">. The fishery has been closed since 2003/04 due to apparent poor recruitment. A 2009 survey conducted by ADF&amp;G in the Petrel Bank area encountered an ageing population of legal male crab occurring in a more limited area and at lower densities than were found in a 2006 survey and provided no expectations for recruitment. A test fishery conducted by a commercial vessel during October-December 2009 in the area west of Petrel Bank yielded only one legal male red king crab. </w:t>
      </w:r>
      <w:r w:rsidR="00677482">
        <w:t>A cooperative red king crab survey was performed by the Aleutian Islands King Crab Foundation and ADF&amp;G in the Petrel Bank area in November 2016 averaged less than one crab per pot lift suggesting th</w:t>
      </w:r>
      <w:r w:rsidR="00875310">
        <w:t>a</w:t>
      </w:r>
      <w:r w:rsidR="00677482">
        <w:t>t the stock is in poor condition.</w:t>
      </w:r>
    </w:p>
    <w:p w14:paraId="549760B9" w14:textId="77777777" w:rsidR="00BC2A51" w:rsidRDefault="00BC2A51" w:rsidP="00BC2A51">
      <w:pPr>
        <w:pStyle w:val="Default"/>
        <w:pageBreakBefore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lastRenderedPageBreak/>
        <w:t xml:space="preserve">Tier determination/Plan Team discussion and resulting OFL and ABC determination </w:t>
      </w:r>
    </w:p>
    <w:p w14:paraId="4E66761E" w14:textId="77777777" w:rsidR="00AD06F9" w:rsidRDefault="00AD06F9" w:rsidP="00BC2A51">
      <w:pPr>
        <w:pStyle w:val="Default"/>
        <w:rPr>
          <w:color w:val="auto"/>
          <w:sz w:val="22"/>
          <w:szCs w:val="22"/>
        </w:rPr>
      </w:pPr>
    </w:p>
    <w:p w14:paraId="4BCE3FBA" w14:textId="77777777" w:rsidR="00BC2A51" w:rsidRPr="0095156A" w:rsidRDefault="00BC2A51" w:rsidP="00BC2A51">
      <w:pPr>
        <w:pStyle w:val="Default"/>
        <w:rPr>
          <w:color w:val="auto"/>
        </w:rPr>
      </w:pPr>
      <w:r w:rsidRPr="0095156A">
        <w:rPr>
          <w:color w:val="auto"/>
        </w:rPr>
        <w:t>The CPT recommends that this stock be managed under Tier 5 for the 201</w:t>
      </w:r>
      <w:r w:rsidR="000C0D7F" w:rsidRPr="0095156A">
        <w:rPr>
          <w:color w:val="auto"/>
        </w:rPr>
        <w:t>7</w:t>
      </w:r>
      <w:r w:rsidRPr="0095156A">
        <w:rPr>
          <w:color w:val="auto"/>
        </w:rPr>
        <w:t>/1</w:t>
      </w:r>
      <w:r w:rsidR="000C0D7F" w:rsidRPr="0095156A">
        <w:rPr>
          <w:color w:val="auto"/>
        </w:rPr>
        <w:t>8</w:t>
      </w:r>
      <w:r w:rsidR="00703859">
        <w:rPr>
          <w:color w:val="auto"/>
        </w:rPr>
        <w:t xml:space="preserve">, 2018/19, and 2019/20 </w:t>
      </w:r>
      <w:r w:rsidRPr="0095156A">
        <w:rPr>
          <w:color w:val="auto"/>
        </w:rPr>
        <w:t>season</w:t>
      </w:r>
      <w:r w:rsidR="00703859">
        <w:rPr>
          <w:color w:val="auto"/>
        </w:rPr>
        <w:t>s</w:t>
      </w:r>
      <w:r w:rsidRPr="0095156A">
        <w:rPr>
          <w:color w:val="auto"/>
        </w:rPr>
        <w:t>. The CPT concurs with the assessment author’s recommendation of an OFL based on the 1995/96–2007/08 average total catch following the recommendation of the SSC in June 2010 to set the time period for computing the OFL at 1995/96–2007/08. Th</w:t>
      </w:r>
      <w:r w:rsidR="000C0D7F" w:rsidRPr="0095156A">
        <w:rPr>
          <w:color w:val="auto"/>
        </w:rPr>
        <w:t>e CPT recommends an OFL for 2017/18</w:t>
      </w:r>
      <w:r w:rsidRPr="0095156A">
        <w:rPr>
          <w:color w:val="auto"/>
        </w:rPr>
        <w:t xml:space="preserve"> </w:t>
      </w:r>
      <w:r w:rsidR="00D70856">
        <w:rPr>
          <w:color w:val="auto"/>
        </w:rPr>
        <w:t xml:space="preserve">to 2019/20 </w:t>
      </w:r>
      <w:r w:rsidRPr="0095156A">
        <w:rPr>
          <w:color w:val="auto"/>
        </w:rPr>
        <w:t>of 0.12</w:t>
      </w:r>
      <w:r w:rsidR="00441AE8" w:rsidRPr="0095156A">
        <w:rPr>
          <w:color w:val="auto"/>
        </w:rPr>
        <w:t>3867</w:t>
      </w:r>
      <w:r w:rsidRPr="0095156A">
        <w:rPr>
          <w:color w:val="auto"/>
        </w:rPr>
        <w:t xml:space="preserve"> million lb. </w:t>
      </w:r>
    </w:p>
    <w:p w14:paraId="426FB2D0" w14:textId="77777777" w:rsidR="00AD06F9" w:rsidRPr="0095156A" w:rsidRDefault="00AD06F9" w:rsidP="00BC2A51">
      <w:pPr>
        <w:pStyle w:val="Default"/>
        <w:rPr>
          <w:color w:val="auto"/>
        </w:rPr>
      </w:pPr>
    </w:p>
    <w:p w14:paraId="522BB326" w14:textId="77777777" w:rsidR="00D70856" w:rsidRPr="0095156A" w:rsidRDefault="00BC2A51" w:rsidP="00BC2A51">
      <w:pPr>
        <w:pStyle w:val="Default"/>
        <w:rPr>
          <w:color w:val="auto"/>
        </w:rPr>
      </w:pPr>
      <w:r w:rsidRPr="0095156A">
        <w:rPr>
          <w:color w:val="auto"/>
        </w:rPr>
        <w:t xml:space="preserve">The CPT continues to have concerns regarding the depleted condition of this stock. Groundfish bycatch in recent years has accounted for </w:t>
      </w:r>
      <w:proofErr w:type="gramStart"/>
      <w:r w:rsidRPr="0095156A">
        <w:rPr>
          <w:color w:val="auto"/>
        </w:rPr>
        <w:t>the majority of</w:t>
      </w:r>
      <w:proofErr w:type="gramEnd"/>
      <w:r w:rsidRPr="0095156A">
        <w:rPr>
          <w:color w:val="auto"/>
        </w:rPr>
        <w:t xml:space="preserve"> the total catch. The CPT recommends an ABC of 0.0</w:t>
      </w:r>
      <w:r w:rsidR="000C0D7F" w:rsidRPr="0095156A">
        <w:rPr>
          <w:color w:val="auto"/>
        </w:rPr>
        <w:t>3</w:t>
      </w:r>
      <w:r w:rsidR="00441AE8" w:rsidRPr="0095156A">
        <w:rPr>
          <w:color w:val="auto"/>
        </w:rPr>
        <w:t xml:space="preserve">0967 </w:t>
      </w:r>
      <w:r w:rsidR="004B0308" w:rsidRPr="0095156A">
        <w:rPr>
          <w:color w:val="auto"/>
        </w:rPr>
        <w:t xml:space="preserve">million </w:t>
      </w:r>
      <w:proofErr w:type="spellStart"/>
      <w:r w:rsidR="004B0308" w:rsidRPr="0095156A">
        <w:rPr>
          <w:color w:val="auto"/>
        </w:rPr>
        <w:t>lb</w:t>
      </w:r>
      <w:proofErr w:type="spellEnd"/>
      <w:r w:rsidR="004B0308" w:rsidRPr="0095156A">
        <w:rPr>
          <w:color w:val="auto"/>
        </w:rPr>
        <w:t xml:space="preserve"> for 2017/18</w:t>
      </w:r>
      <w:r w:rsidRPr="0095156A">
        <w:rPr>
          <w:color w:val="auto"/>
        </w:rPr>
        <w:t xml:space="preserve">, </w:t>
      </w:r>
      <w:r w:rsidR="00703859">
        <w:rPr>
          <w:color w:val="auto"/>
        </w:rPr>
        <w:t xml:space="preserve">2018/19, and 2019/20 </w:t>
      </w:r>
      <w:r w:rsidRPr="0095156A">
        <w:rPr>
          <w:color w:val="auto"/>
        </w:rPr>
        <w:t xml:space="preserve">which </w:t>
      </w:r>
      <w:r w:rsidR="004B0308" w:rsidRPr="0095156A">
        <w:rPr>
          <w:color w:val="auto"/>
        </w:rPr>
        <w:t>is equivalent to a 75</w:t>
      </w:r>
      <w:r w:rsidRPr="0095156A">
        <w:rPr>
          <w:color w:val="auto"/>
        </w:rPr>
        <w:t>% buffer</w:t>
      </w:r>
      <w:r w:rsidR="004B0308" w:rsidRPr="0095156A">
        <w:rPr>
          <w:color w:val="auto"/>
        </w:rPr>
        <w:t xml:space="preserve"> on OFL</w:t>
      </w:r>
      <w:r w:rsidRPr="0095156A">
        <w:rPr>
          <w:color w:val="auto"/>
        </w:rPr>
        <w:t xml:space="preserve">. </w:t>
      </w:r>
      <w:r w:rsidR="00D70856">
        <w:t xml:space="preserve">The recommended ABC is less than that </w:t>
      </w:r>
      <w:r w:rsidR="006E6C07">
        <w:t xml:space="preserve">which </w:t>
      </w:r>
      <w:r w:rsidR="00D70856">
        <w:t>was recommended by the SSC for 2012/13 – 2016/17 because 1) the industry has not expressed interest in</w:t>
      </w:r>
      <w:r w:rsidR="00703859">
        <w:t xml:space="preserve"> a small test fishery</w:t>
      </w:r>
      <w:r w:rsidR="00D70856">
        <w:t>, and 2) because the stock is severely depressed as indicated by the 2016 Petrel survey (CPT minutes for May 2017).</w:t>
      </w:r>
    </w:p>
    <w:p w14:paraId="71848D9F" w14:textId="77777777" w:rsidR="00875310" w:rsidRDefault="00875310"/>
    <w:p w14:paraId="0539FE48" w14:textId="27980710" w:rsidR="00875310" w:rsidRPr="0095156A" w:rsidRDefault="004D5FE5" w:rsidP="0095156A">
      <w:pPr>
        <w:jc w:val="both"/>
      </w:pPr>
      <w:r w:rsidRPr="0095156A">
        <w:t xml:space="preserve">Status and catch specifications </w:t>
      </w:r>
      <w:r w:rsidR="00F773A2">
        <w:t>(</w:t>
      </w:r>
      <w:r w:rsidRPr="0095156A">
        <w:t>t</w:t>
      </w:r>
      <w:r w:rsidR="00F773A2">
        <w:t>)</w:t>
      </w:r>
      <w:r w:rsidRPr="0095156A">
        <w:t xml:space="preserve"> of Western Aleutian Islands red king crab</w:t>
      </w:r>
    </w:p>
    <w:tbl>
      <w:tblPr>
        <w:tblW w:w="3494" w:type="pct"/>
        <w:tblInd w:w="198" w:type="dxa"/>
        <w:tblLook w:val="0000" w:firstRow="0" w:lastRow="0" w:firstColumn="0" w:lastColumn="0" w:noHBand="0" w:noVBand="0"/>
      </w:tblPr>
      <w:tblGrid>
        <w:gridCol w:w="1003"/>
        <w:gridCol w:w="870"/>
        <w:gridCol w:w="1070"/>
        <w:gridCol w:w="883"/>
        <w:gridCol w:w="1136"/>
        <w:gridCol w:w="830"/>
        <w:gridCol w:w="710"/>
        <w:gridCol w:w="723"/>
      </w:tblGrid>
      <w:tr w:rsidR="004D5FE5" w:rsidRPr="000A0DCA" w14:paraId="3CA7195A" w14:textId="77777777" w:rsidTr="006237F7">
        <w:trPr>
          <w:trHeight w:val="437"/>
        </w:trPr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DCCAD4" w14:textId="77777777" w:rsidR="004D5FE5" w:rsidRDefault="004D5FE5" w:rsidP="00931660">
            <w:pPr>
              <w:keepNext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Fishing</w:t>
            </w:r>
          </w:p>
          <w:p w14:paraId="5D5DE31B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  <w:r w:rsidRPr="00BD7F83">
              <w:rPr>
                <w:b/>
                <w:bCs/>
                <w:szCs w:val="22"/>
              </w:rPr>
              <w:t>Year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E7692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</w:p>
          <w:p w14:paraId="7277B13A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  <w:r w:rsidRPr="00DC37B2">
              <w:rPr>
                <w:b/>
                <w:bCs/>
                <w:szCs w:val="22"/>
              </w:rPr>
              <w:t>MSST</w:t>
            </w:r>
          </w:p>
        </w:tc>
        <w:tc>
          <w:tcPr>
            <w:tcW w:w="74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D6F760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  <w:r w:rsidRPr="000A0DCA">
              <w:rPr>
                <w:b/>
                <w:bCs/>
                <w:szCs w:val="22"/>
              </w:rPr>
              <w:t>Biomass (MMB)</w:t>
            </w: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DD2112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  <w:r w:rsidRPr="00DC37B2">
              <w:rPr>
                <w:b/>
                <w:bCs/>
                <w:szCs w:val="22"/>
              </w:rPr>
              <w:t>TAC</w:t>
            </w:r>
          </w:p>
        </w:tc>
        <w:tc>
          <w:tcPr>
            <w:tcW w:w="7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4AB1D7" w14:textId="77777777" w:rsidR="004D5FE5" w:rsidRDefault="004D5FE5" w:rsidP="00931660">
            <w:pPr>
              <w:keepNext/>
              <w:jc w:val="center"/>
              <w:rPr>
                <w:b/>
                <w:bCs/>
              </w:rPr>
            </w:pPr>
            <w:r w:rsidRPr="00DC37B2">
              <w:rPr>
                <w:b/>
                <w:bCs/>
                <w:szCs w:val="22"/>
              </w:rPr>
              <w:t>Retained Catch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955A27" w14:textId="77777777" w:rsidR="004D5FE5" w:rsidRDefault="004D5FE5" w:rsidP="00931660">
            <w:pPr>
              <w:keepNext/>
              <w:jc w:val="center"/>
              <w:rPr>
                <w:b/>
                <w:bCs/>
                <w:highlight w:val="yellow"/>
              </w:rPr>
            </w:pPr>
            <w:r w:rsidRPr="00FF1080">
              <w:rPr>
                <w:b/>
                <w:bCs/>
                <w:szCs w:val="22"/>
              </w:rPr>
              <w:t>Total Catch</w:t>
            </w:r>
          </w:p>
        </w:tc>
        <w:tc>
          <w:tcPr>
            <w:tcW w:w="49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B043DE" w14:textId="77777777" w:rsidR="004D5FE5" w:rsidRDefault="004D5FE5" w:rsidP="00931660">
            <w:pPr>
              <w:keepNext/>
              <w:jc w:val="center"/>
              <w:rPr>
                <w:b/>
                <w:bCs/>
                <w:highlight w:val="yellow"/>
              </w:rPr>
            </w:pPr>
            <w:r w:rsidRPr="00FF1080">
              <w:rPr>
                <w:b/>
                <w:bCs/>
                <w:szCs w:val="22"/>
              </w:rPr>
              <w:t>OFL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849E0" w14:textId="77777777" w:rsidR="004D5FE5" w:rsidRDefault="004D5FE5" w:rsidP="00931660">
            <w:pPr>
              <w:keepNext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  <w:szCs w:val="22"/>
              </w:rPr>
              <w:t>ABC</w:t>
            </w:r>
          </w:p>
        </w:tc>
      </w:tr>
      <w:tr w:rsidR="004D5FE5" w:rsidRPr="000A0DCA" w14:paraId="3812F5A3" w14:textId="77777777" w:rsidTr="006237F7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58A6" w14:textId="77777777" w:rsidR="004D5FE5" w:rsidRDefault="004D5FE5" w:rsidP="00931660">
            <w:pPr>
              <w:keepNext/>
              <w:jc w:val="center"/>
            </w:pPr>
            <w:r>
              <w:rPr>
                <w:szCs w:val="22"/>
              </w:rPr>
              <w:t>2013/14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D907" w14:textId="77777777" w:rsidR="004D5FE5" w:rsidRDefault="004D5FE5" w:rsidP="00931660">
            <w:pPr>
              <w:keepNext/>
              <w:jc w:val="center"/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E425" w14:textId="77777777" w:rsidR="004D5FE5" w:rsidRDefault="004D5FE5" w:rsidP="00931660">
            <w:pPr>
              <w:jc w:val="center"/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29FF" w14:textId="77777777" w:rsidR="004D5FE5" w:rsidRDefault="004D5FE5" w:rsidP="00931660">
            <w:pPr>
              <w:keepNext/>
              <w:jc w:val="center"/>
            </w:pPr>
            <w:r>
              <w:t>Closed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EB35" w14:textId="77777777" w:rsidR="004D5FE5" w:rsidRDefault="004D5FE5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F4CB6" w14:textId="77777777" w:rsidR="004D5FE5" w:rsidRPr="00784A31" w:rsidRDefault="004D5FE5" w:rsidP="00931660">
            <w:pPr>
              <w:keepNext/>
              <w:jc w:val="center"/>
              <w:rPr>
                <w:highlight w:val="yellow"/>
              </w:rPr>
            </w:pPr>
            <w:r>
              <w:rPr>
                <w:szCs w:val="22"/>
              </w:rPr>
              <w:t>&lt;1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B0B7" w14:textId="77777777" w:rsidR="004D5FE5" w:rsidRPr="00FA0A84" w:rsidRDefault="004D5FE5" w:rsidP="00931660">
            <w:pPr>
              <w:keepNext/>
              <w:jc w:val="center"/>
            </w:pPr>
            <w:r w:rsidRPr="00FA0A84"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4B12" w14:textId="77777777" w:rsidR="004D5FE5" w:rsidRDefault="004D5FE5" w:rsidP="00931660">
            <w:pPr>
              <w:keepNext/>
              <w:jc w:val="center"/>
            </w:pPr>
            <w:r>
              <w:rPr>
                <w:szCs w:val="22"/>
              </w:rPr>
              <w:t>34</w:t>
            </w:r>
          </w:p>
        </w:tc>
      </w:tr>
      <w:tr w:rsidR="004D5FE5" w:rsidRPr="000A0DCA" w14:paraId="0C2070C1" w14:textId="77777777" w:rsidTr="006237F7">
        <w:trPr>
          <w:trHeight w:val="291"/>
        </w:trPr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66510C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2014/15</w:t>
            </w:r>
          </w:p>
        </w:tc>
        <w:tc>
          <w:tcPr>
            <w:tcW w:w="602" w:type="pct"/>
            <w:tcBorders>
              <w:top w:val="nil"/>
              <w:left w:val="nil"/>
              <w:right w:val="nil"/>
            </w:tcBorders>
            <w:vAlign w:val="center"/>
          </w:tcPr>
          <w:p w14:paraId="5240033D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vAlign w:val="center"/>
          </w:tcPr>
          <w:p w14:paraId="7CC918BE" w14:textId="77777777" w:rsidR="004D5FE5" w:rsidRDefault="004D5FE5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C72C35" w14:textId="77777777" w:rsidR="004D5FE5" w:rsidRPr="00A02621" w:rsidRDefault="004D5FE5" w:rsidP="00931660">
            <w:pPr>
              <w:keepNext/>
              <w:jc w:val="center"/>
            </w:pPr>
            <w:r w:rsidRPr="00A02621">
              <w:t>Closed</w:t>
            </w:r>
          </w:p>
        </w:tc>
        <w:tc>
          <w:tcPr>
            <w:tcW w:w="786" w:type="pct"/>
            <w:tcBorders>
              <w:top w:val="nil"/>
              <w:left w:val="nil"/>
              <w:right w:val="nil"/>
            </w:tcBorders>
            <w:vAlign w:val="center"/>
          </w:tcPr>
          <w:p w14:paraId="78F7B867" w14:textId="77777777" w:rsidR="004D5FE5" w:rsidRDefault="004D5FE5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A4EBD" w14:textId="77777777" w:rsidR="004D5FE5" w:rsidRDefault="004D5FE5" w:rsidP="00931660">
            <w:pPr>
              <w:keepNext/>
              <w:jc w:val="center"/>
            </w:pPr>
            <w:r>
              <w:rPr>
                <w:szCs w:val="22"/>
              </w:rPr>
              <w:t>&lt;1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vAlign w:val="center"/>
          </w:tcPr>
          <w:p w14:paraId="535B844C" w14:textId="77777777" w:rsidR="004D5FE5" w:rsidRPr="00FA0A84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center"/>
          </w:tcPr>
          <w:p w14:paraId="78EF3711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</w:tr>
      <w:tr w:rsidR="004D5FE5" w:rsidRPr="000A0DCA" w14:paraId="285EC3A4" w14:textId="77777777" w:rsidTr="006237F7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24D0A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2015/16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69ED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67527" w14:textId="77777777" w:rsidR="004D5FE5" w:rsidRDefault="004D5FE5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1AA9" w14:textId="77777777" w:rsidR="004D5FE5" w:rsidRPr="00A02621" w:rsidRDefault="004D5FE5" w:rsidP="00931660">
            <w:pPr>
              <w:keepNext/>
              <w:jc w:val="center"/>
            </w:pPr>
            <w:r>
              <w:t>Closed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6F6E" w14:textId="77777777" w:rsidR="004D5FE5" w:rsidRDefault="004D5FE5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FA4FC" w14:textId="77777777" w:rsidR="004D5FE5" w:rsidRDefault="004D5FE5" w:rsidP="00931660">
            <w:pPr>
              <w:keepNext/>
              <w:jc w:val="center"/>
            </w:pPr>
            <w:r>
              <w:t>1.3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F8BE" w14:textId="77777777" w:rsidR="004D5FE5" w:rsidRPr="00FA0A84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5668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</w:tr>
      <w:tr w:rsidR="004D5FE5" w:rsidRPr="000A0DCA" w14:paraId="06F3EA30" w14:textId="77777777" w:rsidTr="006237F7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43C66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2016/17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DFC62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80195" w14:textId="77777777" w:rsidR="004D5FE5" w:rsidRDefault="004D5FE5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1A3FE" w14:textId="77777777" w:rsidR="004D5FE5" w:rsidRPr="00A02621" w:rsidRDefault="004D5FE5" w:rsidP="00931660">
            <w:pPr>
              <w:keepNext/>
              <w:jc w:val="center"/>
            </w:pPr>
            <w:r>
              <w:t>Closed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32A4" w14:textId="77777777" w:rsidR="004D5FE5" w:rsidRDefault="004D5FE5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CC8F3" w14:textId="77777777" w:rsidR="004D5FE5" w:rsidRDefault="00D70856" w:rsidP="00931660">
            <w:pPr>
              <w:keepNext/>
              <w:jc w:val="center"/>
            </w:pPr>
            <w:r>
              <w:t>&lt;1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C00F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D89E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</w:tr>
      <w:tr w:rsidR="004D5FE5" w:rsidRPr="000A0DCA" w14:paraId="72126C31" w14:textId="77777777" w:rsidTr="00D70856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DD2C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2017/18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C17F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D6D1" w14:textId="77777777" w:rsidR="004D5FE5" w:rsidRDefault="004D5FE5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D3CF" w14:textId="48B8EDC3" w:rsidR="004D5FE5" w:rsidRPr="00A02621" w:rsidRDefault="005F2574" w:rsidP="00931660">
            <w:pPr>
              <w:keepNext/>
              <w:jc w:val="center"/>
            </w:pPr>
            <w:r>
              <w:t>Closed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B2C4" w14:textId="798633D8" w:rsidR="004D5FE5" w:rsidRDefault="005F2574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51219" w14:textId="2C67A4F9" w:rsidR="004D5FE5" w:rsidRDefault="00D62FF2" w:rsidP="00931660">
            <w:pPr>
              <w:keepNext/>
              <w:jc w:val="center"/>
            </w:pPr>
            <w:r>
              <w:t>&lt;1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1D86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92B9" w14:textId="77777777" w:rsidR="004D5FE5" w:rsidRDefault="004D5FE5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</w:tr>
      <w:tr w:rsidR="00D70856" w:rsidRPr="000A0DCA" w14:paraId="1FC0A612" w14:textId="77777777" w:rsidTr="00D70856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D7B5B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2018/19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21DAA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C0CD" w14:textId="77777777" w:rsidR="00D70856" w:rsidRDefault="00D70856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93B3C" w14:textId="594C0B1F" w:rsidR="00D70856" w:rsidRPr="00A02621" w:rsidRDefault="00F773A2" w:rsidP="00931660">
            <w:pPr>
              <w:keepNext/>
              <w:jc w:val="center"/>
            </w:pPr>
            <w:r>
              <w:t>Closed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4092" w14:textId="55537FAC" w:rsidR="00D70856" w:rsidRDefault="00F773A2" w:rsidP="00931660">
            <w:pPr>
              <w:keepNext/>
              <w:jc w:val="center"/>
            </w:pPr>
            <w: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3D75D" w14:textId="1BA870FF" w:rsidR="00D70856" w:rsidRDefault="00F773A2" w:rsidP="00931660">
            <w:pPr>
              <w:keepNext/>
              <w:jc w:val="center"/>
            </w:pPr>
            <w:r>
              <w:t>&lt;1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9D8B6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9FDC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</w:tr>
      <w:tr w:rsidR="00D70856" w:rsidRPr="000A0DCA" w14:paraId="6E67343C" w14:textId="77777777" w:rsidTr="006237F7">
        <w:trPr>
          <w:trHeight w:val="291"/>
        </w:trPr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AFD0CA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2019/20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E99D77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4AAE09" w14:textId="77777777" w:rsidR="00D70856" w:rsidRDefault="00D70856" w:rsidP="0093166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032D8A" w14:textId="77777777" w:rsidR="00D70856" w:rsidRPr="00A02621" w:rsidRDefault="00D70856" w:rsidP="00931660">
            <w:pPr>
              <w:keepNext/>
              <w:jc w:val="center"/>
            </w:pP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F6EFA9" w14:textId="77777777" w:rsidR="00D70856" w:rsidRDefault="00D70856" w:rsidP="00931660">
            <w:pPr>
              <w:keepNext/>
              <w:jc w:val="center"/>
            </w:pPr>
          </w:p>
        </w:tc>
        <w:tc>
          <w:tcPr>
            <w:tcW w:w="5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54F72C" w14:textId="77777777" w:rsidR="00D70856" w:rsidRDefault="00D70856" w:rsidP="00931660">
            <w:pPr>
              <w:keepNext/>
              <w:jc w:val="center"/>
            </w:pPr>
          </w:p>
        </w:tc>
        <w:tc>
          <w:tcPr>
            <w:tcW w:w="49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9AFF1E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39FB36" w14:textId="77777777" w:rsidR="00D70856" w:rsidRDefault="00D70856" w:rsidP="0093166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</w:tr>
    </w:tbl>
    <w:p w14:paraId="084BD81D" w14:textId="77777777" w:rsidR="004D5FE5" w:rsidRDefault="004D5FE5" w:rsidP="0095156A">
      <w:pPr>
        <w:jc w:val="both"/>
      </w:pPr>
    </w:p>
    <w:p w14:paraId="60AE7CD1" w14:textId="77777777" w:rsidR="00875310" w:rsidRPr="0095156A" w:rsidRDefault="004D5FE5" w:rsidP="0095156A">
      <w:pPr>
        <w:jc w:val="both"/>
      </w:pPr>
      <w:r w:rsidRPr="0095156A">
        <w:t>Status and catch specifications (million lb) of Western Aleutian Islands red king crab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1004"/>
        <w:gridCol w:w="931"/>
        <w:gridCol w:w="1070"/>
        <w:gridCol w:w="943"/>
        <w:gridCol w:w="1521"/>
        <w:gridCol w:w="999"/>
        <w:gridCol w:w="996"/>
        <w:gridCol w:w="996"/>
      </w:tblGrid>
      <w:tr w:rsidR="00A5578C" w:rsidRPr="00A5578C" w14:paraId="68AAE493" w14:textId="77777777" w:rsidTr="006237F7">
        <w:trPr>
          <w:trHeight w:val="324"/>
        </w:trPr>
        <w:tc>
          <w:tcPr>
            <w:tcW w:w="10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452E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Fishing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B4BA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931431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Biomass (MMB)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7A86BA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TAC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8F48C3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Retained Catch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E74DB6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Total Catch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9D1608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OFL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6325B9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ABC</w:t>
            </w:r>
          </w:p>
        </w:tc>
      </w:tr>
      <w:tr w:rsidR="00A5578C" w:rsidRPr="00A5578C" w14:paraId="5C03B704" w14:textId="77777777" w:rsidTr="006237F7">
        <w:trPr>
          <w:trHeight w:val="324"/>
        </w:trPr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FC858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Year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5DC38" w14:textId="77777777" w:rsidR="00A5578C" w:rsidRPr="00A5578C" w:rsidRDefault="00A5578C" w:rsidP="00A5578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5578C">
              <w:rPr>
                <w:b/>
                <w:bCs/>
                <w:color w:val="000000"/>
                <w:lang w:eastAsia="en-US"/>
              </w:rPr>
              <w:t>MSST</w:t>
            </w:r>
          </w:p>
        </w:tc>
        <w:tc>
          <w:tcPr>
            <w:tcW w:w="107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5E1ABF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3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34F964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27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50294D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99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4D3CC0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205A0F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2BAFCA" w14:textId="77777777" w:rsidR="00A5578C" w:rsidRPr="00A5578C" w:rsidRDefault="00A5578C" w:rsidP="00A5578C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A5578C" w:rsidRPr="00A5578C" w14:paraId="372D9AB2" w14:textId="77777777" w:rsidTr="006237F7">
        <w:trPr>
          <w:trHeight w:val="312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FE1B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2013/14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09A1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4BB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95DA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89C9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C9B2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0.00073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9E3D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B4547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0.07432</w:t>
            </w:r>
          </w:p>
        </w:tc>
      </w:tr>
      <w:tr w:rsidR="00A5578C" w:rsidRPr="00A5578C" w14:paraId="43FD8BF9" w14:textId="77777777" w:rsidTr="006237F7">
        <w:trPr>
          <w:trHeight w:val="312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79B3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2014/15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BC77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058F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211C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E0B3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0F57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0.00047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5983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FFC9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0.07432</w:t>
            </w:r>
          </w:p>
        </w:tc>
      </w:tr>
      <w:tr w:rsidR="00A5578C" w:rsidRPr="00A5578C" w14:paraId="52017A77" w14:textId="77777777" w:rsidTr="006237F7">
        <w:trPr>
          <w:trHeight w:val="312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B402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2015/16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9A7CA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BBFC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96F4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D167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303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0.00296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7E2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5F8E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0.07432</w:t>
            </w:r>
          </w:p>
        </w:tc>
      </w:tr>
      <w:tr w:rsidR="00A5578C" w:rsidRPr="00A5578C" w14:paraId="692C0BAB" w14:textId="77777777" w:rsidTr="006237F7">
        <w:trPr>
          <w:trHeight w:val="312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03B2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2016/17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7CB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282F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480D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DE5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5066" w14:textId="77777777" w:rsidR="00A5578C" w:rsidRPr="00A5578C" w:rsidRDefault="006E6C07" w:rsidP="00A5578C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0.00045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086A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7630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0.07432</w:t>
            </w:r>
          </w:p>
        </w:tc>
      </w:tr>
      <w:tr w:rsidR="00A5578C" w:rsidRPr="00A5578C" w14:paraId="17DC7AF4" w14:textId="77777777" w:rsidTr="006E6C07">
        <w:trPr>
          <w:trHeight w:val="324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7F41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2017/18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BC2C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E2D7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1984" w14:textId="615FDBCA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 </w:t>
            </w:r>
            <w:r w:rsidR="00D62FF2"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9466" w14:textId="019AAB96" w:rsidR="00A5578C" w:rsidRPr="00A5578C" w:rsidRDefault="00D62FF2" w:rsidP="00A5578C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="00A5578C" w:rsidRPr="00A5578C">
              <w:rPr>
                <w:color w:val="000000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F6C8" w14:textId="32CC1C55" w:rsidR="00A5578C" w:rsidRPr="00A5578C" w:rsidRDefault="00D62FF2" w:rsidP="00FD1C9B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0.00075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1586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785E" w14:textId="77777777" w:rsidR="00A5578C" w:rsidRPr="00A5578C" w:rsidRDefault="00A5578C" w:rsidP="00A5578C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0.03097</w:t>
            </w:r>
          </w:p>
        </w:tc>
      </w:tr>
      <w:tr w:rsidR="00674032" w:rsidRPr="00A5578C" w14:paraId="5D7CE644" w14:textId="77777777" w:rsidTr="006E6C07">
        <w:trPr>
          <w:trHeight w:val="324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59D17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2018/19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8228B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0843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3CB6F" w14:textId="17686259" w:rsidR="00674032" w:rsidRPr="00A5578C" w:rsidRDefault="00F773A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Closed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13AD" w14:textId="1A919DAB" w:rsidR="00674032" w:rsidRPr="00A5578C" w:rsidRDefault="00F773A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B015" w14:textId="7CEA1AB0" w:rsidR="00674032" w:rsidRPr="00A5578C" w:rsidRDefault="00F773A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0.00031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30678" w14:textId="77777777" w:rsidR="00674032" w:rsidRPr="00A5578C" w:rsidRDefault="00674032" w:rsidP="00DC02FB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C18B6" w14:textId="77777777" w:rsidR="00674032" w:rsidRPr="00A5578C" w:rsidRDefault="00674032" w:rsidP="00DC02FB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0.03097</w:t>
            </w:r>
          </w:p>
        </w:tc>
      </w:tr>
      <w:tr w:rsidR="00674032" w:rsidRPr="00A5578C" w14:paraId="0194ADFC" w14:textId="77777777" w:rsidTr="006237F7">
        <w:trPr>
          <w:trHeight w:val="324"/>
        </w:trPr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9AAAFA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2019/20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9DFE5B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33B21E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N/A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44E033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59B9F4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3F8CAB" w14:textId="77777777" w:rsidR="00674032" w:rsidRPr="00A5578C" w:rsidRDefault="00674032" w:rsidP="00A5578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0483D1" w14:textId="77777777" w:rsidR="00674032" w:rsidRPr="00A5578C" w:rsidRDefault="00674032" w:rsidP="00DC02FB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0.12387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41C0F7" w14:textId="77777777" w:rsidR="00674032" w:rsidRPr="00A5578C" w:rsidRDefault="00674032" w:rsidP="00DC02FB">
            <w:pPr>
              <w:jc w:val="center"/>
              <w:rPr>
                <w:color w:val="000000"/>
                <w:lang w:val="en-US" w:eastAsia="en-US"/>
              </w:rPr>
            </w:pPr>
            <w:r w:rsidRPr="00A5578C">
              <w:rPr>
                <w:color w:val="000000"/>
                <w:lang w:eastAsia="en-US"/>
              </w:rPr>
              <w:t>0.03097</w:t>
            </w:r>
          </w:p>
        </w:tc>
      </w:tr>
    </w:tbl>
    <w:p w14:paraId="3FE33F8A" w14:textId="77777777" w:rsidR="00A5578C" w:rsidRDefault="00A5578C" w:rsidP="0095156A">
      <w:pPr>
        <w:ind w:left="720"/>
        <w:jc w:val="both"/>
      </w:pPr>
    </w:p>
    <w:sectPr w:rsidR="00A5578C" w:rsidSect="0095156A">
      <w:pgSz w:w="12240" w:h="16340"/>
      <w:pgMar w:top="1152" w:right="907" w:bottom="662" w:left="12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47FF"/>
    <w:multiLevelType w:val="hybridMultilevel"/>
    <w:tmpl w:val="09D6A6D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51"/>
    <w:rsid w:val="00056982"/>
    <w:rsid w:val="000C0D7F"/>
    <w:rsid w:val="00161C68"/>
    <w:rsid w:val="00215E02"/>
    <w:rsid w:val="003736DE"/>
    <w:rsid w:val="003928D7"/>
    <w:rsid w:val="0040464F"/>
    <w:rsid w:val="00441AE8"/>
    <w:rsid w:val="004B0308"/>
    <w:rsid w:val="004D5FE5"/>
    <w:rsid w:val="005A0684"/>
    <w:rsid w:val="005F2574"/>
    <w:rsid w:val="006237F7"/>
    <w:rsid w:val="00640E7D"/>
    <w:rsid w:val="00670793"/>
    <w:rsid w:val="00674032"/>
    <w:rsid w:val="00677482"/>
    <w:rsid w:val="006E6C07"/>
    <w:rsid w:val="00703859"/>
    <w:rsid w:val="007265D5"/>
    <w:rsid w:val="007A0F42"/>
    <w:rsid w:val="007A4463"/>
    <w:rsid w:val="00812EA9"/>
    <w:rsid w:val="00875310"/>
    <w:rsid w:val="008C6F06"/>
    <w:rsid w:val="008F0419"/>
    <w:rsid w:val="0095156A"/>
    <w:rsid w:val="0095210C"/>
    <w:rsid w:val="009641C9"/>
    <w:rsid w:val="009E155A"/>
    <w:rsid w:val="00A31AC6"/>
    <w:rsid w:val="00A5578C"/>
    <w:rsid w:val="00AD06F9"/>
    <w:rsid w:val="00B70A7A"/>
    <w:rsid w:val="00BC2A51"/>
    <w:rsid w:val="00BE3A51"/>
    <w:rsid w:val="00C32F4C"/>
    <w:rsid w:val="00D13218"/>
    <w:rsid w:val="00D62FF2"/>
    <w:rsid w:val="00D70856"/>
    <w:rsid w:val="00E12A0D"/>
    <w:rsid w:val="00E576E3"/>
    <w:rsid w:val="00F773A2"/>
    <w:rsid w:val="00FD1C9B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DB1A"/>
  <w15:docId w15:val="{505BD4FC-F0D5-4444-A385-82451B22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Daly, Ben J (DFG)</cp:lastModifiedBy>
  <cp:revision>3</cp:revision>
  <dcterms:created xsi:type="dcterms:W3CDTF">2019-09-19T05:33:00Z</dcterms:created>
  <dcterms:modified xsi:type="dcterms:W3CDTF">2019-09-19T05:33:00Z</dcterms:modified>
</cp:coreProperties>
</file>