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C1B06" w14:textId="138EE746" w:rsidR="00DF3479" w:rsidRDefault="00401B6F" w:rsidP="002A27A8">
      <w:bookmarkStart w:id="0" w:name="_Hlk67806814"/>
      <w:r w:rsidRPr="006C2EE8">
        <w:rPr>
          <w:b/>
          <w:bCs/>
        </w:rPr>
        <w:t xml:space="preserve">Alaska Seafood Cooperative </w:t>
      </w:r>
      <w:r w:rsidR="002A27A8">
        <w:rPr>
          <w:b/>
          <w:bCs/>
        </w:rPr>
        <w:t xml:space="preserve">comments </w:t>
      </w:r>
      <w:r w:rsidR="002A27A8" w:rsidRPr="002A27A8">
        <w:rPr>
          <w:b/>
          <w:bCs/>
        </w:rPr>
        <w:t xml:space="preserve">on C2 BSAI Halibut ABM PSC Limits APRIL </w:t>
      </w:r>
      <w:r w:rsidR="00101A66">
        <w:rPr>
          <w:b/>
          <w:bCs/>
        </w:rPr>
        <w:t xml:space="preserve">1, </w:t>
      </w:r>
      <w:r w:rsidR="002A27A8" w:rsidRPr="002A27A8">
        <w:rPr>
          <w:b/>
          <w:bCs/>
        </w:rPr>
        <w:t>2021</w:t>
      </w:r>
    </w:p>
    <w:bookmarkEnd w:id="0"/>
    <w:p w14:paraId="7358C468" w14:textId="48D4832D" w:rsidR="00DF3479" w:rsidRPr="00471D03" w:rsidRDefault="009727E7" w:rsidP="008E6A5D">
      <w:pPr>
        <w:rPr>
          <w:b/>
          <w:bCs/>
          <w:u w:val="single"/>
        </w:rPr>
      </w:pPr>
      <w:r w:rsidRPr="00471D03">
        <w:rPr>
          <w:b/>
          <w:bCs/>
          <w:u w:val="single"/>
        </w:rPr>
        <w:t xml:space="preserve">Comment </w:t>
      </w:r>
      <w:r w:rsidR="00833A20" w:rsidRPr="00471D03">
        <w:rPr>
          <w:b/>
          <w:bCs/>
          <w:u w:val="single"/>
        </w:rPr>
        <w:t>1</w:t>
      </w:r>
      <w:r w:rsidRPr="00471D03">
        <w:rPr>
          <w:b/>
          <w:bCs/>
          <w:u w:val="single"/>
        </w:rPr>
        <w:t xml:space="preserve">: </w:t>
      </w:r>
      <w:r w:rsidR="00797118" w:rsidRPr="00471D03">
        <w:rPr>
          <w:b/>
          <w:bCs/>
          <w:u w:val="single"/>
        </w:rPr>
        <w:t>A</w:t>
      </w:r>
      <w:r w:rsidRPr="00471D03">
        <w:rPr>
          <w:b/>
          <w:bCs/>
          <w:u w:val="single"/>
        </w:rPr>
        <w:t xml:space="preserve">vailable information on climate change </w:t>
      </w:r>
      <w:r w:rsidR="00AD2674" w:rsidRPr="00471D03">
        <w:rPr>
          <w:b/>
          <w:bCs/>
          <w:u w:val="single"/>
        </w:rPr>
        <w:t xml:space="preserve">in Alaska </w:t>
      </w:r>
      <w:r w:rsidR="00E41F08" w:rsidRPr="00471D03">
        <w:rPr>
          <w:b/>
          <w:bCs/>
          <w:u w:val="single"/>
        </w:rPr>
        <w:t>w</w:t>
      </w:r>
      <w:r w:rsidR="00AD2674" w:rsidRPr="00471D03">
        <w:rPr>
          <w:b/>
          <w:bCs/>
          <w:u w:val="single"/>
        </w:rPr>
        <w:t xml:space="preserve">ould </w:t>
      </w:r>
      <w:r w:rsidR="00790A1F" w:rsidRPr="00471D03">
        <w:rPr>
          <w:b/>
          <w:bCs/>
          <w:u w:val="single"/>
        </w:rPr>
        <w:t xml:space="preserve">improve </w:t>
      </w:r>
      <w:r w:rsidR="00797118" w:rsidRPr="00471D03">
        <w:rPr>
          <w:b/>
          <w:bCs/>
          <w:u w:val="single"/>
        </w:rPr>
        <w:t xml:space="preserve">ABM analysis </w:t>
      </w:r>
      <w:r w:rsidR="00790A1F" w:rsidRPr="00471D03">
        <w:rPr>
          <w:b/>
          <w:bCs/>
          <w:u w:val="single"/>
        </w:rPr>
        <w:t xml:space="preserve">for understanding </w:t>
      </w:r>
      <w:r w:rsidRPr="00471D03">
        <w:rPr>
          <w:b/>
          <w:bCs/>
          <w:u w:val="single"/>
        </w:rPr>
        <w:t>impacts of ABM alternatives on the Amendment 80 sector</w:t>
      </w:r>
    </w:p>
    <w:p w14:paraId="6A8F13FB" w14:textId="5E0FA6B3" w:rsidR="00AD2674" w:rsidRDefault="00EA6B90" w:rsidP="008E6A5D">
      <w:r>
        <w:t xml:space="preserve">AKSC </w:t>
      </w:r>
      <w:r w:rsidR="00DA67EF">
        <w:t>believes the analysis must more closely examine</w:t>
      </w:r>
      <w:r>
        <w:t xml:space="preserve"> the practicability</w:t>
      </w:r>
      <w:r w:rsidR="00F4129F">
        <w:t xml:space="preserve"> of changes to halibut PSC caps for the Amendment 80 sector in the face of what </w:t>
      </w:r>
      <w:r w:rsidR="00E41F08">
        <w:t>scienti</w:t>
      </w:r>
      <w:r w:rsidR="00F4129F">
        <w:t>sts</w:t>
      </w:r>
      <w:r w:rsidR="00E41F08">
        <w:t xml:space="preserve"> </w:t>
      </w:r>
      <w:r w:rsidR="00AD2674">
        <w:t>predict</w:t>
      </w:r>
      <w:r w:rsidR="00F4129F">
        <w:t xml:space="preserve"> are the most likely scenarios for </w:t>
      </w:r>
      <w:r w:rsidR="00AD2674">
        <w:t>climate change</w:t>
      </w:r>
      <w:r w:rsidR="00F4129F">
        <w:t xml:space="preserve"> in the Bering Sea</w:t>
      </w:r>
      <w:r w:rsidR="00E41F08">
        <w:t xml:space="preserve">.  </w:t>
      </w:r>
      <w:r w:rsidR="00DA67EF">
        <w:t>I</w:t>
      </w:r>
      <w:r w:rsidR="00E41F08">
        <w:t xml:space="preserve">nformation from scientific studies </w:t>
      </w:r>
      <w:r w:rsidR="00DA67EF">
        <w:t>on the expected effects of</w:t>
      </w:r>
      <w:r w:rsidR="00E41F08">
        <w:t xml:space="preserve"> climate change </w:t>
      </w:r>
      <w:r w:rsidR="0079209F">
        <w:t xml:space="preserve">on </w:t>
      </w:r>
      <w:r w:rsidR="00E41F08">
        <w:t xml:space="preserve">Alaska </w:t>
      </w:r>
      <w:r w:rsidR="00AD2674">
        <w:t xml:space="preserve">groundfish species and </w:t>
      </w:r>
      <w:r w:rsidR="00DA67EF">
        <w:t xml:space="preserve">evidence revealed by </w:t>
      </w:r>
      <w:r w:rsidR="00E41F08">
        <w:t xml:space="preserve">fishery data </w:t>
      </w:r>
      <w:r w:rsidR="00DA67EF">
        <w:t xml:space="preserve">on the extent of those </w:t>
      </w:r>
      <w:r w:rsidR="00E41F08">
        <w:t xml:space="preserve">effects </w:t>
      </w:r>
      <w:r w:rsidR="00DA67EF">
        <w:t xml:space="preserve">currently and </w:t>
      </w:r>
      <w:r w:rsidR="0079209F">
        <w:t xml:space="preserve">going forward </w:t>
      </w:r>
      <w:r w:rsidR="005B3291">
        <w:t xml:space="preserve">is readily available and </w:t>
      </w:r>
      <w:r w:rsidR="00DA67EF">
        <w:t xml:space="preserve">must be included. </w:t>
      </w:r>
    </w:p>
    <w:p w14:paraId="3C006E9F" w14:textId="59BBEC10" w:rsidR="00AD2674" w:rsidRDefault="00EA6B90" w:rsidP="008E6A5D">
      <w:r>
        <w:t xml:space="preserve">We note that the importance of this is recognized in the initial review </w:t>
      </w:r>
      <w:r w:rsidR="00AD2674">
        <w:t xml:space="preserve">ABM </w:t>
      </w:r>
      <w:r>
        <w:t>draft</w:t>
      </w:r>
      <w:r w:rsidR="00DA67EF">
        <w:t>. S</w:t>
      </w:r>
      <w:r>
        <w:t xml:space="preserve">ome qualitative statements are </w:t>
      </w:r>
      <w:r w:rsidR="008D59BD">
        <w:t xml:space="preserve">made </w:t>
      </w:r>
      <w:r w:rsidR="00DA67EF">
        <w:t>concerning</w:t>
      </w:r>
      <w:r>
        <w:t xml:space="preserve"> potential for future </w:t>
      </w:r>
      <w:r w:rsidR="00DA67EF">
        <w:t>e</w:t>
      </w:r>
      <w:r>
        <w:t>ffect</w:t>
      </w:r>
      <w:r w:rsidR="00DA67EF">
        <w:t>s on</w:t>
      </w:r>
      <w:r>
        <w:t xml:space="preserve"> the Amendment 80 sector</w:t>
      </w:r>
      <w:r w:rsidR="00DA67EF">
        <w:t>, but with little detail</w:t>
      </w:r>
      <w:r>
        <w:t xml:space="preserve">. For example, </w:t>
      </w:r>
      <w:r w:rsidR="00AD2674">
        <w:t xml:space="preserve">initial review draft </w:t>
      </w:r>
      <w:r>
        <w:t>page 98 states</w:t>
      </w:r>
      <w:r w:rsidR="00F4129F">
        <w:t>:</w:t>
      </w:r>
      <w:r w:rsidR="00F5573D">
        <w:t xml:space="preserve"> </w:t>
      </w:r>
      <w:r>
        <w:t>“</w:t>
      </w:r>
      <w:r w:rsidR="00F5573D" w:rsidRPr="004F2765">
        <w:rPr>
          <w:i/>
          <w:iCs/>
        </w:rPr>
        <w:t xml:space="preserve">the natural environment plays an important role in how fisheries occur – from stock status to fish aggregation (and CPUE).  One small but important part of the underlying natural environment for these </w:t>
      </w:r>
      <w:r w:rsidR="00F5573D" w:rsidRPr="00AD2674">
        <w:rPr>
          <w:i/>
          <w:iCs/>
        </w:rPr>
        <w:t>fisheries is the presence or absence of the Bering Sea “cold pool.</w:t>
      </w:r>
      <w:r w:rsidR="00F5573D" w:rsidRPr="004F2765">
        <w:rPr>
          <w:i/>
          <w:iCs/>
        </w:rPr>
        <w:t>” Recent ocean temperature anomalies have likely impacted – or may impact in the future – the movement of target and non-target species. To the extent that fishery participants must reckon with this change, historical fishery data on catch, location, bycatch encounter rates, and CPUE might become less representative of the future state of the fishery</w:t>
      </w:r>
      <w:r>
        <w:t>”</w:t>
      </w:r>
      <w:r w:rsidR="00F5573D">
        <w:t>.</w:t>
      </w:r>
      <w:r>
        <w:t xml:space="preserve">  </w:t>
      </w:r>
      <w:r w:rsidR="00F4129F">
        <w:t xml:space="preserve">We note that this is a good summary of the importance of </w:t>
      </w:r>
      <w:r w:rsidR="008D59BD">
        <w:t xml:space="preserve">looking at climate change </w:t>
      </w:r>
      <w:r w:rsidR="00F4129F">
        <w:t>although we do not necessarily</w:t>
      </w:r>
      <w:r w:rsidR="005B3291">
        <w:t xml:space="preserve"> </w:t>
      </w:r>
      <w:r w:rsidR="00F4129F">
        <w:t>agree</w:t>
      </w:r>
      <w:r w:rsidR="008D59BD">
        <w:t xml:space="preserve"> with the statement in the initial review quoted above t</w:t>
      </w:r>
      <w:r w:rsidR="00F4129F">
        <w:t xml:space="preserve">hat changes in the cold pool </w:t>
      </w:r>
      <w:r w:rsidR="008D59BD">
        <w:t>are</w:t>
      </w:r>
      <w:r w:rsidR="00F4129F">
        <w:t xml:space="preserve"> a “small” part of this issue.</w:t>
      </w:r>
    </w:p>
    <w:p w14:paraId="3B4525B0" w14:textId="0391C013" w:rsidR="00AD2674" w:rsidRDefault="00EA6B90" w:rsidP="008E6A5D">
      <w:r>
        <w:t xml:space="preserve">Additionally, </w:t>
      </w:r>
      <w:r w:rsidR="00AD2674">
        <w:t>C</w:t>
      </w:r>
      <w:r>
        <w:t>hapter 3</w:t>
      </w:r>
      <w:r w:rsidR="00AD2674">
        <w:t xml:space="preserve">’s section on </w:t>
      </w:r>
      <w:r w:rsidR="00A765F6">
        <w:t>annual stock assessments and SAFE reports mentions that</w:t>
      </w:r>
      <w:r>
        <w:t>:</w:t>
      </w:r>
      <w:r w:rsidR="00A765F6">
        <w:t xml:space="preserve"> “</w:t>
      </w:r>
      <w:r w:rsidR="00F5573D" w:rsidRPr="004F2765">
        <w:rPr>
          <w:i/>
          <w:iCs/>
        </w:rPr>
        <w:t>2019 represented the warmest bottom temperatures on record for the EBS, including unprecede</w:t>
      </w:r>
      <w:r w:rsidR="000D53F1">
        <w:rPr>
          <w:i/>
          <w:iCs/>
        </w:rPr>
        <w:t>nte</w:t>
      </w:r>
      <w:r w:rsidR="00F5573D" w:rsidRPr="004F2765">
        <w:rPr>
          <w:i/>
          <w:iCs/>
        </w:rPr>
        <w:t>d warm conditions in the inner domain, it is also a second winter in a row of low sea ice in NBS, with “physics to fisheries” impacts on the cold pool through fish distributions (juveniles and adults). Sea ice extent was anomalously low in the winter of 2018/2019</w:t>
      </w:r>
      <w:r w:rsidR="00A765F6">
        <w:t>” (page 73)</w:t>
      </w:r>
      <w:r>
        <w:t xml:space="preserve">. </w:t>
      </w:r>
    </w:p>
    <w:p w14:paraId="0C88F5D4" w14:textId="39C0AA71" w:rsidR="00200D8F" w:rsidRDefault="00AD2674" w:rsidP="008E6A5D">
      <w:r>
        <w:t xml:space="preserve">All this </w:t>
      </w:r>
      <w:r w:rsidR="004F2765">
        <w:t>seems</w:t>
      </w:r>
      <w:r w:rsidR="00F4129F">
        <w:t xml:space="preserve"> very</w:t>
      </w:r>
      <w:r w:rsidR="004F2765">
        <w:t xml:space="preserve"> important as these factors could critically affect the practicability of ABM alternatives into the future.</w:t>
      </w:r>
      <w:r>
        <w:t xml:space="preserve"> We think these statements flag the importance of </w:t>
      </w:r>
      <w:r w:rsidR="00D95E93">
        <w:t>considering</w:t>
      </w:r>
      <w:r w:rsidR="00BE3496">
        <w:t xml:space="preserve"> climate impacts on the A80 sector’s ability to operate under the ABM alternatives</w:t>
      </w:r>
      <w:r w:rsidR="00F4129F">
        <w:t>.  Th</w:t>
      </w:r>
      <w:r w:rsidR="007B7E88">
        <w:t xml:space="preserve">is </w:t>
      </w:r>
      <w:r w:rsidR="000D53F1">
        <w:t xml:space="preserve">potential </w:t>
      </w:r>
      <w:r w:rsidR="00F4129F">
        <w:t>is especially critical to understand</w:t>
      </w:r>
      <w:r w:rsidR="003734EE">
        <w:t>ing</w:t>
      </w:r>
      <w:r w:rsidR="00F4129F">
        <w:t xml:space="preserve"> </w:t>
      </w:r>
      <w:r w:rsidR="008D59BD">
        <w:t xml:space="preserve">of impacts of </w:t>
      </w:r>
      <w:r w:rsidR="00F4129F">
        <w:t xml:space="preserve">ABM alternatives </w:t>
      </w:r>
      <w:r w:rsidR="003734EE">
        <w:t xml:space="preserve">that </w:t>
      </w:r>
      <w:r w:rsidR="00200D8F">
        <w:t xml:space="preserve">result in </w:t>
      </w:r>
      <w:r w:rsidR="00BE3496">
        <w:t>lower PSC allowances</w:t>
      </w:r>
      <w:r w:rsidR="003734EE">
        <w:t xml:space="preserve">, particularly in light of the expectation that </w:t>
      </w:r>
      <w:r w:rsidR="00200D8F">
        <w:t xml:space="preserve">the abundance indices </w:t>
      </w:r>
      <w:r w:rsidR="003734EE">
        <w:t>will not</w:t>
      </w:r>
      <w:r w:rsidR="00F4129F">
        <w:t xml:space="preserve"> move in synch with Amendment 80’s annual halibut encounter rates (more on that in </w:t>
      </w:r>
      <w:r w:rsidR="00200D8F">
        <w:t xml:space="preserve">our third comment below). </w:t>
      </w:r>
    </w:p>
    <w:p w14:paraId="28969FEB" w14:textId="10D37CDE" w:rsidR="00F5573D" w:rsidRDefault="00200D8F" w:rsidP="008E6A5D">
      <w:r>
        <w:t>B</w:t>
      </w:r>
      <w:r w:rsidR="00AD2674">
        <w:t xml:space="preserve">ut </w:t>
      </w:r>
      <w:r w:rsidR="00642BA4">
        <w:t>outside of these</w:t>
      </w:r>
      <w:r w:rsidR="00EA6B90">
        <w:t xml:space="preserve"> two </w:t>
      </w:r>
      <w:r w:rsidR="0065687A">
        <w:t>brief mentions</w:t>
      </w:r>
      <w:r w:rsidR="00642BA4">
        <w:t xml:space="preserve">, little else is done </w:t>
      </w:r>
      <w:r w:rsidR="008D59BD">
        <w:t xml:space="preserve">in the initial review draft </w:t>
      </w:r>
      <w:r w:rsidR="00642BA4">
        <w:t>to examine th</w:t>
      </w:r>
      <w:r w:rsidR="003734EE">
        <w:t>e</w:t>
      </w:r>
      <w:r w:rsidR="00642BA4">
        <w:t xml:space="preserve"> critical issue</w:t>
      </w:r>
      <w:r w:rsidR="003734EE">
        <w:t xml:space="preserve"> of climate impacts</w:t>
      </w:r>
      <w:r w:rsidR="00642BA4">
        <w:t xml:space="preserve">. </w:t>
      </w:r>
      <w:r w:rsidR="0065687A">
        <w:t xml:space="preserve"> </w:t>
      </w:r>
      <w:r w:rsidR="00642BA4">
        <w:t xml:space="preserve">For this reason, </w:t>
      </w:r>
      <w:r w:rsidR="00EA6B90">
        <w:t xml:space="preserve">we </w:t>
      </w:r>
      <w:r w:rsidR="003734EE">
        <w:t>reviewed available</w:t>
      </w:r>
      <w:r w:rsidR="008A5107">
        <w:t xml:space="preserve"> relevant</w:t>
      </w:r>
      <w:r w:rsidR="00642BA4">
        <w:t xml:space="preserve"> </w:t>
      </w:r>
      <w:r w:rsidR="0065687A">
        <w:t>data and scientific literature</w:t>
      </w:r>
      <w:r w:rsidR="008D59BD">
        <w:t xml:space="preserve"> and present what we found as an illustration of what can be done with readily available data</w:t>
      </w:r>
      <w:r w:rsidR="00BE3496">
        <w:t xml:space="preserve">. </w:t>
      </w:r>
    </w:p>
    <w:p w14:paraId="6717243F" w14:textId="60DE505F" w:rsidR="007B7E88" w:rsidRDefault="008D59BD" w:rsidP="009727E7">
      <w:r>
        <w:t>Doi</w:t>
      </w:r>
      <w:r w:rsidR="00D95E93">
        <w:t>n</w:t>
      </w:r>
      <w:r>
        <w:t xml:space="preserve">g a literature review we selected </w:t>
      </w:r>
      <w:r w:rsidR="007B7E88">
        <w:t>t</w:t>
      </w:r>
      <w:r w:rsidR="007C03C9">
        <w:t xml:space="preserve">hree </w:t>
      </w:r>
      <w:r w:rsidR="00200D8F">
        <w:t xml:space="preserve">scientific </w:t>
      </w:r>
      <w:r w:rsidR="007C03C9">
        <w:t>papers</w:t>
      </w:r>
      <w:r w:rsidR="00200D8F">
        <w:t xml:space="preserve"> </w:t>
      </w:r>
      <w:r w:rsidR="007B7E88">
        <w:t xml:space="preserve">that are </w:t>
      </w:r>
      <w:r w:rsidR="008A5107">
        <w:t xml:space="preserve">particularly relevant </w:t>
      </w:r>
      <w:r w:rsidR="007B7E88">
        <w:t>to this</w:t>
      </w:r>
      <w:r w:rsidR="008A5107">
        <w:t xml:space="preserve"> subject</w:t>
      </w:r>
      <w:r>
        <w:t xml:space="preserve">.  We also looked at </w:t>
      </w:r>
      <w:r w:rsidR="007B7E88">
        <w:t>temperature data from the bottom trawl surveys and abundance data from northern Bering Sea bottom trawl surveys</w:t>
      </w:r>
      <w:r w:rsidR="007C03C9">
        <w:t>.</w:t>
      </w:r>
      <w:r>
        <w:t xml:space="preserve">  References for these are at the end of our comments.</w:t>
      </w:r>
      <w:r w:rsidR="007C03C9">
        <w:t xml:space="preserve">  </w:t>
      </w:r>
    </w:p>
    <w:p w14:paraId="388AC98D" w14:textId="4691EBFD" w:rsidR="007C03C9" w:rsidRDefault="009727E7" w:rsidP="009727E7">
      <w:r>
        <w:t>The first</w:t>
      </w:r>
      <w:r w:rsidR="007C03C9">
        <w:t xml:space="preserve"> </w:t>
      </w:r>
      <w:r w:rsidR="007B7E88">
        <w:t>paper</w:t>
      </w:r>
      <w:r w:rsidR="00BE3496">
        <w:t xml:space="preserve"> </w:t>
      </w:r>
      <w:r>
        <w:t xml:space="preserve">looked at seasonal ice cover </w:t>
      </w:r>
      <w:r w:rsidR="008A5107">
        <w:t>e</w:t>
      </w:r>
      <w:r w:rsidR="007C03C9">
        <w:t xml:space="preserve">ffects </w:t>
      </w:r>
      <w:r w:rsidR="008A5107">
        <w:t xml:space="preserve">on </w:t>
      </w:r>
      <w:r w:rsidR="007C03C9">
        <w:t xml:space="preserve">seafloor temperatures </w:t>
      </w:r>
      <w:r>
        <w:t>on the eastern Bering Sea continental shelf. Th</w:t>
      </w:r>
      <w:r w:rsidR="007C03C9">
        <w:t xml:space="preserve">is </w:t>
      </w:r>
      <w:r w:rsidR="007B7E88">
        <w:t xml:space="preserve">study </w:t>
      </w:r>
      <w:r w:rsidR="007C03C9">
        <w:t>noted that th</w:t>
      </w:r>
      <w:r>
        <w:t>e southern edge of th</w:t>
      </w:r>
      <w:r w:rsidR="007C03C9">
        <w:t>e “</w:t>
      </w:r>
      <w:r>
        <w:t>cold pool</w:t>
      </w:r>
      <w:r w:rsidR="007C03C9">
        <w:t>”</w:t>
      </w:r>
      <w:r>
        <w:t xml:space="preserve"> has retreated 230 km northward since the early 1980s (</w:t>
      </w:r>
      <w:proofErr w:type="spellStart"/>
      <w:r>
        <w:t>Meuter</w:t>
      </w:r>
      <w:proofErr w:type="spellEnd"/>
      <w:r>
        <w:t xml:space="preserve"> and </w:t>
      </w:r>
      <w:proofErr w:type="spellStart"/>
      <w:r>
        <w:t>Litzgow</w:t>
      </w:r>
      <w:proofErr w:type="spellEnd"/>
      <w:r>
        <w:t xml:space="preserve"> 2008).  Using data from bottom trawl surveys of </w:t>
      </w:r>
      <w:r>
        <w:lastRenderedPageBreak/>
        <w:t xml:space="preserve">fish and invertebrates in the southeastern Bering Sea (1982– 2006) this paper describes a coincident reorganization in community composition by latitude. </w:t>
      </w:r>
    </w:p>
    <w:p w14:paraId="60553C4B" w14:textId="2F579109" w:rsidR="007C03C9" w:rsidRDefault="00483BFD" w:rsidP="009727E7">
      <w:r>
        <w:t xml:space="preserve">The second paper looked at climate-related </w:t>
      </w:r>
      <w:r w:rsidR="00D95E93">
        <w:t xml:space="preserve">species </w:t>
      </w:r>
      <w:r>
        <w:t>distribution shifts to predict future distributions of commercially important species in the eastern Bering Sea under six climate scenarios (</w:t>
      </w:r>
      <w:proofErr w:type="spellStart"/>
      <w:r>
        <w:t>Rooper</w:t>
      </w:r>
      <w:proofErr w:type="spellEnd"/>
      <w:r>
        <w:t xml:space="preserve"> et al, 2020). This was done by incorporating predictions of future oceanographic conditions and using species distribution modelling to determine potential distribution changes in four time periods (2013–2017, 2030–2039, 2060–2069, and 2090-2099) relative to 1982–2012.  </w:t>
      </w:r>
      <w:r w:rsidR="009727E7">
        <w:t>Th</w:t>
      </w:r>
      <w:r w:rsidR="00B32FD7">
        <w:t>e</w:t>
      </w:r>
      <w:r w:rsidR="009727E7">
        <w:t xml:space="preserve"> </w:t>
      </w:r>
      <w:r w:rsidR="00BE3496">
        <w:t xml:space="preserve">paper </w:t>
      </w:r>
      <w:r w:rsidR="00B32FD7">
        <w:t>specifically evaluated</w:t>
      </w:r>
      <w:r w:rsidR="009727E7">
        <w:t xml:space="preserve"> yellowfin sole and </w:t>
      </w:r>
      <w:proofErr w:type="spellStart"/>
      <w:r w:rsidR="00D95E93">
        <w:t>a</w:t>
      </w:r>
      <w:r w:rsidR="009727E7">
        <w:t>rrowtooth</w:t>
      </w:r>
      <w:proofErr w:type="spellEnd"/>
      <w:r w:rsidR="009727E7">
        <w:t xml:space="preserve"> flounder</w:t>
      </w:r>
      <w:r w:rsidR="00B32FD7">
        <w:t xml:space="preserve">, two important species for the Amendment 80 sector. </w:t>
      </w:r>
      <w:r w:rsidR="009727E7">
        <w:t xml:space="preserve">  </w:t>
      </w:r>
      <w:r w:rsidR="00B32FD7">
        <w:t xml:space="preserve">This study </w:t>
      </w:r>
      <w:r w:rsidR="008D59BD">
        <w:t xml:space="preserve">also </w:t>
      </w:r>
      <w:r w:rsidR="00B32FD7">
        <w:t>predicted</w:t>
      </w:r>
      <w:r w:rsidR="009727E7">
        <w:t xml:space="preserve"> significant shifts in the </w:t>
      </w:r>
      <w:r w:rsidR="00B32FD7">
        <w:t>spatial distributions of most species.</w:t>
      </w:r>
    </w:p>
    <w:p w14:paraId="25DACA8F" w14:textId="12DC391B" w:rsidR="009727E7" w:rsidRDefault="009727E7" w:rsidP="009727E7">
      <w:r>
        <w:t>Lastly, a UBC</w:t>
      </w:r>
      <w:r w:rsidRPr="00042075">
        <w:t xml:space="preserve"> </w:t>
      </w:r>
      <w:bookmarkStart w:id="1" w:name="_Hlk68100686"/>
      <w:r>
        <w:t xml:space="preserve">Institute for the Oceans and Fisheries Nereus Program </w:t>
      </w:r>
      <w:bookmarkEnd w:id="1"/>
      <w:r w:rsidR="007C03C9">
        <w:t xml:space="preserve">fisheries science </w:t>
      </w:r>
      <w:r>
        <w:t xml:space="preserve">presentation was reviewed to assess the vulnerability and risk of impacts </w:t>
      </w:r>
      <w:r w:rsidR="008D59BD">
        <w:t xml:space="preserve">to </w:t>
      </w:r>
      <w:r>
        <w:t>flatfish</w:t>
      </w:r>
      <w:r w:rsidR="008D59BD">
        <w:t xml:space="preserve"> specifically from </w:t>
      </w:r>
      <w:r>
        <w:t>climate change (Dr W. L. Cheung author).  Th</w:t>
      </w:r>
      <w:r w:rsidR="00B32FD7">
        <w:t>e</w:t>
      </w:r>
      <w:r>
        <w:t xml:space="preserve"> study review</w:t>
      </w:r>
      <w:r w:rsidR="00B638E3">
        <w:t>s</w:t>
      </w:r>
      <w:r>
        <w:t xml:space="preserve"> potential for </w:t>
      </w:r>
      <w:r w:rsidR="00B638E3">
        <w:t xml:space="preserve">species </w:t>
      </w:r>
      <w:r>
        <w:t xml:space="preserve">adaptations through changes in latitude and widening distribution through increasing use of deeper waters.  </w:t>
      </w:r>
    </w:p>
    <w:p w14:paraId="4F604D99" w14:textId="223535CE" w:rsidR="007C03C9" w:rsidRDefault="00BE3496" w:rsidP="009727E7">
      <w:r>
        <w:t xml:space="preserve">The </w:t>
      </w:r>
      <w:r w:rsidR="007C03C9">
        <w:t>p</w:t>
      </w:r>
      <w:r w:rsidR="009727E7">
        <w:t>redicted responses of Alaska groundfish species in the first two papers were a</w:t>
      </w:r>
      <w:r w:rsidR="007C03C9">
        <w:t xml:space="preserve"> </w:t>
      </w:r>
      <w:r w:rsidR="009727E7">
        <w:t>shift to higher latitude</w:t>
      </w:r>
      <w:r w:rsidR="00600DC8">
        <w:t>s</w:t>
      </w:r>
      <w:r w:rsidR="009727E7">
        <w:t xml:space="preserve"> for </w:t>
      </w:r>
      <w:r w:rsidR="00B55C8E">
        <w:t xml:space="preserve">the </w:t>
      </w:r>
      <w:r w:rsidR="009727E7">
        <w:t xml:space="preserve">center of the species distribution, generally in response to changes brought on by </w:t>
      </w:r>
      <w:r w:rsidR="00483BFD">
        <w:t xml:space="preserve">reduction of </w:t>
      </w:r>
      <w:r w:rsidR="00200D8F">
        <w:t xml:space="preserve">the southern extent </w:t>
      </w:r>
      <w:r w:rsidR="009727E7">
        <w:t xml:space="preserve">of the seasonal ice edge </w:t>
      </w:r>
      <w:r w:rsidR="00200D8F">
        <w:t>(</w:t>
      </w:r>
      <w:r w:rsidR="009727E7">
        <w:t>retraction of the Bering Sea cold pool</w:t>
      </w:r>
      <w:r w:rsidR="008D59BD">
        <w:t>)</w:t>
      </w:r>
      <w:r w:rsidR="009727E7">
        <w:t xml:space="preserve">.  </w:t>
      </w:r>
      <w:r w:rsidR="00200D8F">
        <w:t>In a nutshell, f</w:t>
      </w:r>
      <w:r w:rsidR="007C03C9">
        <w:t>latfish are predicted to respond in this way or perhaps to occupy a greater depth range within an expanded area</w:t>
      </w:r>
      <w:r w:rsidR="00200D8F">
        <w:t>.</w:t>
      </w:r>
      <w:r w:rsidR="007C03C9">
        <w:t xml:space="preserve"> </w:t>
      </w:r>
    </w:p>
    <w:p w14:paraId="49F7E203" w14:textId="4BA83FDA" w:rsidR="006C0A76" w:rsidRDefault="004F2765" w:rsidP="009727E7">
      <w:r>
        <w:t xml:space="preserve">Given the </w:t>
      </w:r>
      <w:r w:rsidR="005A0062">
        <w:t xml:space="preserve">ABM </w:t>
      </w:r>
      <w:r w:rsidR="00200D8F">
        <w:t xml:space="preserve">initial review draft </w:t>
      </w:r>
      <w:r>
        <w:t>note</w:t>
      </w:r>
      <w:r w:rsidR="00200D8F">
        <w:t>s</w:t>
      </w:r>
      <w:r>
        <w:t xml:space="preserve"> that 2019 had unprecedented seafloor temperatures (as reported by the </w:t>
      </w:r>
      <w:r w:rsidR="0073773B">
        <w:t xml:space="preserve">NMFS trawl survey), we were interested </w:t>
      </w:r>
      <w:r w:rsidR="00200D8F">
        <w:t xml:space="preserve">to </w:t>
      </w:r>
      <w:r w:rsidR="0073773B">
        <w:t>see if</w:t>
      </w:r>
      <w:r w:rsidR="00200D8F">
        <w:t xml:space="preserve"> there is any evidence that </w:t>
      </w:r>
      <w:r w:rsidR="0073773B">
        <w:t xml:space="preserve">Amendment 80 fisheries reflect any differences that year relative to </w:t>
      </w:r>
      <w:r w:rsidR="005A0062">
        <w:t xml:space="preserve">other timeframes </w:t>
      </w:r>
      <w:r w:rsidR="00554935">
        <w:t xml:space="preserve">for Amendment 80. </w:t>
      </w:r>
      <w:r w:rsidR="00200D8F">
        <w:t xml:space="preserve"> </w:t>
      </w:r>
      <w:r w:rsidR="0073773B">
        <w:t>To examine this</w:t>
      </w:r>
      <w:r w:rsidR="00554935">
        <w:t>,</w:t>
      </w:r>
      <w:r w:rsidR="0073773B">
        <w:t xml:space="preserve"> </w:t>
      </w:r>
      <w:r w:rsidR="007C03C9">
        <w:t>we</w:t>
      </w:r>
      <w:r w:rsidR="009F3E5D">
        <w:t xml:space="preserve"> compiled</w:t>
      </w:r>
      <w:r w:rsidR="007C03C9">
        <w:t xml:space="preserve"> a time series of yellowfin sole </w:t>
      </w:r>
      <w:r>
        <w:t xml:space="preserve">fishery </w:t>
      </w:r>
      <w:r w:rsidR="007C03C9">
        <w:t>catch rate data (CPUE as catch of groundfish per hour in the YFS target fishery</w:t>
      </w:r>
      <w:r w:rsidR="00933343">
        <w:t>)</w:t>
      </w:r>
      <w:r w:rsidR="007C03C9">
        <w:t xml:space="preserve"> </w:t>
      </w:r>
      <w:r w:rsidR="006C0A76">
        <w:t xml:space="preserve">for the </w:t>
      </w:r>
      <w:r w:rsidR="009727E7">
        <w:t xml:space="preserve">Amendment 80 </w:t>
      </w:r>
      <w:r w:rsidR="006C0A76">
        <w:t>sector</w:t>
      </w:r>
      <w:r>
        <w:t xml:space="preserve"> from 2010-2020</w:t>
      </w:r>
      <w:r w:rsidR="006C0A76">
        <w:t xml:space="preserve">.  We </w:t>
      </w:r>
      <w:r>
        <w:t xml:space="preserve">then </w:t>
      </w:r>
      <w:r w:rsidR="006C0A76">
        <w:t xml:space="preserve">added the halibut bycatch data </w:t>
      </w:r>
      <w:r w:rsidR="005A0062">
        <w:t xml:space="preserve">to </w:t>
      </w:r>
      <w:r w:rsidR="006C0A76">
        <w:t xml:space="preserve">this time series </w:t>
      </w:r>
      <w:r w:rsidR="00200D8F">
        <w:t xml:space="preserve">both in terms of </w:t>
      </w:r>
      <w:r w:rsidR="006C0A76">
        <w:t xml:space="preserve">halibut catch per ton of groundfish and </w:t>
      </w:r>
      <w:r w:rsidR="00200D8F">
        <w:t xml:space="preserve">as </w:t>
      </w:r>
      <w:r w:rsidR="006C0A76">
        <w:t>halibut mortality</w:t>
      </w:r>
      <w:r w:rsidR="00200D8F">
        <w:t xml:space="preserve"> per ton of groundfish. The latter was included to help us see the degree to which </w:t>
      </w:r>
      <w:r w:rsidR="006C0A76">
        <w:t>deck sorting</w:t>
      </w:r>
      <w:r w:rsidR="00200D8F">
        <w:t xml:space="preserve"> may have mitigated effects on Amendment 80 fisheries. </w:t>
      </w:r>
      <w:r w:rsidR="00933343">
        <w:t xml:space="preserve"> All </w:t>
      </w:r>
      <w:r w:rsidR="005A0062">
        <w:t xml:space="preserve">catch </w:t>
      </w:r>
      <w:r w:rsidR="00933343">
        <w:t xml:space="preserve">data for this analysis were sourced from Steve Martel </w:t>
      </w:r>
      <w:r w:rsidR="005A0062">
        <w:t xml:space="preserve">of </w:t>
      </w:r>
      <w:r w:rsidR="00933343">
        <w:t xml:space="preserve">Sea State Incorporated who maintains the catch database for the A80 sector. </w:t>
      </w:r>
    </w:p>
    <w:p w14:paraId="0E7FDE01" w14:textId="1D75ED3B" w:rsidR="00933343" w:rsidRDefault="006C0A76" w:rsidP="009727E7">
      <w:r>
        <w:t xml:space="preserve">Our decision to focus </w:t>
      </w:r>
      <w:r w:rsidR="00200D8F">
        <w:t xml:space="preserve">on a single </w:t>
      </w:r>
      <w:r>
        <w:t xml:space="preserve">A80 </w:t>
      </w:r>
      <w:r w:rsidR="00200D8F">
        <w:t xml:space="preserve">target fishery </w:t>
      </w:r>
      <w:r>
        <w:t xml:space="preserve">(yellowfin sole) was due in part to the short timeframe we had to do this </w:t>
      </w:r>
      <w:r w:rsidR="0073773B">
        <w:t xml:space="preserve">data </w:t>
      </w:r>
      <w:r>
        <w:t>analysis</w:t>
      </w:r>
      <w:r w:rsidR="00554935">
        <w:t xml:space="preserve">.  More </w:t>
      </w:r>
      <w:r w:rsidR="0073773B">
        <w:t>importantly</w:t>
      </w:r>
      <w:r w:rsidR="00554935">
        <w:t xml:space="preserve">, we did this </w:t>
      </w:r>
      <w:r>
        <w:t xml:space="preserve">because we expected that pooling data from </w:t>
      </w:r>
      <w:r w:rsidR="0073773B">
        <w:t xml:space="preserve">multiple </w:t>
      </w:r>
      <w:r>
        <w:t xml:space="preserve">A80 </w:t>
      </w:r>
      <w:r w:rsidR="00554935">
        <w:t xml:space="preserve">flatfish </w:t>
      </w:r>
      <w:r>
        <w:t xml:space="preserve">fisheries </w:t>
      </w:r>
      <w:r w:rsidR="0073773B">
        <w:t xml:space="preserve">occurring in a wider range of depths </w:t>
      </w:r>
      <w:r>
        <w:t xml:space="preserve">might </w:t>
      </w:r>
      <w:r w:rsidR="00554935">
        <w:t xml:space="preserve">obscure </w:t>
      </w:r>
      <w:r>
        <w:t xml:space="preserve">potential effects of environmental conditions on catch rates.  </w:t>
      </w:r>
      <w:r w:rsidR="00933343">
        <w:t>Additionally, y</w:t>
      </w:r>
      <w:r>
        <w:t xml:space="preserve">ellowfin sole was </w:t>
      </w:r>
      <w:r w:rsidR="00554935">
        <w:t xml:space="preserve">selected </w:t>
      </w:r>
      <w:r>
        <w:t xml:space="preserve">because: </w:t>
      </w:r>
      <w:r w:rsidR="009727E7">
        <w:t xml:space="preserve">1) it is </w:t>
      </w:r>
      <w:r w:rsidR="00933343">
        <w:t xml:space="preserve">by far </w:t>
      </w:r>
      <w:r w:rsidR="009727E7">
        <w:t xml:space="preserve">the most important flatfish target fishery economically for the A80 sector; 2) </w:t>
      </w:r>
      <w:r w:rsidR="00554935">
        <w:t xml:space="preserve">A80 </w:t>
      </w:r>
      <w:r w:rsidR="009727E7">
        <w:t xml:space="preserve">captains have </w:t>
      </w:r>
      <w:r w:rsidR="005A0062">
        <w:t xml:space="preserve">relayed </w:t>
      </w:r>
      <w:r>
        <w:t xml:space="preserve">anecdotal observations in recent years that </w:t>
      </w:r>
      <w:r w:rsidR="009727E7">
        <w:t xml:space="preserve">yellowfin sole fishing </w:t>
      </w:r>
      <w:r w:rsidR="00554935">
        <w:t>and other flatfish targets</w:t>
      </w:r>
      <w:r w:rsidR="001505FB">
        <w:t xml:space="preserve"> are</w:t>
      </w:r>
      <w:r w:rsidR="006D33AE">
        <w:t xml:space="preserve"> </w:t>
      </w:r>
      <w:r w:rsidR="009727E7">
        <w:t>affected by southern extent of the ice edge; 3)</w:t>
      </w:r>
      <w:r w:rsidR="00600DC8">
        <w:t xml:space="preserve"> yellowfin sole accounts for the largest share of halibut mortality of A80 target species, and 4)</w:t>
      </w:r>
      <w:r w:rsidR="009727E7">
        <w:t xml:space="preserve"> A80 companies critically depend</w:t>
      </w:r>
      <w:r w:rsidR="00933343">
        <w:t xml:space="preserve"> </w:t>
      </w:r>
      <w:r w:rsidR="009727E7">
        <w:t>on catching yellowfin sole with low bycatch rates in the first part of the year (at or below 5 kg per ton of groundfish</w:t>
      </w:r>
      <w:r w:rsidR="006D33AE">
        <w:t xml:space="preserve"> is their general target for this</w:t>
      </w:r>
      <w:r w:rsidR="009727E7">
        <w:t>) to reserve sufficient halibut for other flatfish targets</w:t>
      </w:r>
      <w:r w:rsidR="00933343">
        <w:t xml:space="preserve"> later in the year</w:t>
      </w:r>
      <w:r w:rsidR="009727E7">
        <w:t xml:space="preserve">. </w:t>
      </w:r>
      <w:r w:rsidR="00933343">
        <w:t>Th</w:t>
      </w:r>
      <w:r w:rsidR="00600DC8">
        <w:t>e</w:t>
      </w:r>
      <w:r w:rsidR="00933343">
        <w:t xml:space="preserve"> target </w:t>
      </w:r>
      <w:r w:rsidR="006D33AE">
        <w:t xml:space="preserve">bycatch </w:t>
      </w:r>
      <w:r w:rsidR="00933343">
        <w:t xml:space="preserve">rate </w:t>
      </w:r>
      <w:r w:rsidR="006D33AE">
        <w:t xml:space="preserve">for the winter/spring yellowfin sole fishery </w:t>
      </w:r>
      <w:r w:rsidR="00933343">
        <w:t xml:space="preserve">of course reflects </w:t>
      </w:r>
      <w:r w:rsidR="00554935">
        <w:t xml:space="preserve">current PSC allowances and </w:t>
      </w:r>
      <w:r w:rsidR="00933343">
        <w:t>does not reflect what that rate would need to be looking forward under reduced caps</w:t>
      </w:r>
      <w:r w:rsidR="00554935">
        <w:t xml:space="preserve"> proposed under this action</w:t>
      </w:r>
      <w:r w:rsidR="00933343">
        <w:t>.</w:t>
      </w:r>
    </w:p>
    <w:p w14:paraId="5390D604" w14:textId="5248D068" w:rsidR="006F25AE" w:rsidRDefault="005A0062" w:rsidP="009727E7">
      <w:r>
        <w:lastRenderedPageBreak/>
        <w:t xml:space="preserve">To better understand effects on the </w:t>
      </w:r>
      <w:r w:rsidR="006C0A76">
        <w:t xml:space="preserve">yellowfin sole fishery </w:t>
      </w:r>
      <w:r>
        <w:t xml:space="preserve">we looked at the fishery </w:t>
      </w:r>
      <w:r w:rsidR="006C0A76">
        <w:t>in two ways</w:t>
      </w:r>
      <w:r w:rsidR="006D33AE">
        <w:t xml:space="preserve">: </w:t>
      </w:r>
      <w:r>
        <w:t xml:space="preserve">the </w:t>
      </w:r>
      <w:r w:rsidR="006D33AE">
        <w:t xml:space="preserve">winter/spring </w:t>
      </w:r>
      <w:r w:rsidR="00554935">
        <w:t xml:space="preserve">seasonal fishery and the </w:t>
      </w:r>
      <w:r w:rsidR="006D33AE">
        <w:t xml:space="preserve">annual </w:t>
      </w:r>
      <w:r w:rsidR="00554935">
        <w:t xml:space="preserve">fishery overall.  The first </w:t>
      </w:r>
      <w:r w:rsidR="006D33AE">
        <w:t xml:space="preserve">is </w:t>
      </w:r>
      <w:r w:rsidR="00554935">
        <w:t>t</w:t>
      </w:r>
      <w:r w:rsidR="006C0A76">
        <w:t>he “traditional</w:t>
      </w:r>
      <w:r w:rsidR="00554935">
        <w:t xml:space="preserve">” </w:t>
      </w:r>
      <w:r w:rsidR="00341DA1">
        <w:t>yellowfin sole fishery</w:t>
      </w:r>
      <w:r w:rsidR="006C0A76">
        <w:t xml:space="preserve"> </w:t>
      </w:r>
      <w:r w:rsidR="00341DA1">
        <w:t xml:space="preserve">which </w:t>
      </w:r>
      <w:r w:rsidR="006C0A76">
        <w:t xml:space="preserve">targets pre-spawning aggregations </w:t>
      </w:r>
      <w:r w:rsidR="00600DC8">
        <w:t xml:space="preserve">from </w:t>
      </w:r>
      <w:r w:rsidR="006C0A76">
        <w:t>March through May</w:t>
      </w:r>
      <w:r w:rsidR="00554935">
        <w:t xml:space="preserve">. </w:t>
      </w:r>
      <w:r>
        <w:t xml:space="preserve">We also wanted to look at the fishery </w:t>
      </w:r>
      <w:r w:rsidR="006D33AE">
        <w:t>on an annual basis</w:t>
      </w:r>
      <w:r w:rsidR="00600DC8">
        <w:t xml:space="preserve"> </w:t>
      </w:r>
      <w:r>
        <w:t xml:space="preserve">to see if any effects of </w:t>
      </w:r>
      <w:r w:rsidR="006D33AE">
        <w:t xml:space="preserve">ice edge extension or </w:t>
      </w:r>
      <w:r w:rsidR="00600DC8">
        <w:t xml:space="preserve">related </w:t>
      </w:r>
      <w:r w:rsidR="006D33AE">
        <w:t xml:space="preserve">seafloor temperatures in the </w:t>
      </w:r>
      <w:r>
        <w:t>winter/</w:t>
      </w:r>
      <w:r w:rsidR="006D33AE">
        <w:t xml:space="preserve">spring </w:t>
      </w:r>
      <w:r>
        <w:t xml:space="preserve">were identifiable for the annual fishery overall. </w:t>
      </w:r>
    </w:p>
    <w:p w14:paraId="6CDD094B" w14:textId="7B6211D8" w:rsidR="001241D5" w:rsidRDefault="005A0062" w:rsidP="009727E7">
      <w:r>
        <w:t xml:space="preserve">Figure </w:t>
      </w:r>
      <w:r w:rsidR="00341DA1">
        <w:t xml:space="preserve">1 </w:t>
      </w:r>
      <w:r w:rsidR="006F25AE">
        <w:t xml:space="preserve">presents the seasonal yellowfin sole fishery </w:t>
      </w:r>
      <w:r w:rsidR="00341DA1">
        <w:t xml:space="preserve">(March to May) </w:t>
      </w:r>
      <w:r w:rsidR="006F25AE">
        <w:t xml:space="preserve">target CPUE and halibut bycatch data 2010 to 2020 </w:t>
      </w:r>
      <w:r w:rsidR="00341DA1">
        <w:t xml:space="preserve">and </w:t>
      </w:r>
      <w:r>
        <w:t xml:space="preserve">Figure </w:t>
      </w:r>
      <w:r w:rsidR="00341DA1">
        <w:t xml:space="preserve">2 </w:t>
      </w:r>
      <w:r w:rsidR="006F25AE">
        <w:t>present</w:t>
      </w:r>
      <w:r>
        <w:t>s</w:t>
      </w:r>
      <w:r w:rsidR="006F25AE">
        <w:t xml:space="preserve"> the same for the </w:t>
      </w:r>
      <w:r w:rsidR="00341DA1">
        <w:t xml:space="preserve">full year. To help </w:t>
      </w:r>
      <w:r w:rsidR="006F25AE">
        <w:t>illustrate p</w:t>
      </w:r>
      <w:r w:rsidR="00341DA1">
        <w:t xml:space="preserve">atterns in the data we used the </w:t>
      </w:r>
      <w:r w:rsidR="006F25AE">
        <w:t>“</w:t>
      </w:r>
      <w:r w:rsidR="00341DA1">
        <w:t>conditional formatting</w:t>
      </w:r>
      <w:r w:rsidR="006F25AE">
        <w:t xml:space="preserve">” </w:t>
      </w:r>
      <w:r w:rsidR="00341DA1">
        <w:t xml:space="preserve">color scales function in MS Excel </w:t>
      </w:r>
      <w:r w:rsidR="006F25AE">
        <w:t xml:space="preserve">which ranks the trends in the data from </w:t>
      </w:r>
      <w:r w:rsidR="00341DA1">
        <w:t>large to small magnitude</w:t>
      </w:r>
      <w:r w:rsidR="006F25AE">
        <w:t xml:space="preserve"> with darker blue being the setting for larger magnitude</w:t>
      </w:r>
      <w:r w:rsidR="00341DA1">
        <w:t>.</w:t>
      </w:r>
      <w:r w:rsidR="00933343">
        <w:t xml:space="preserve">  </w:t>
      </w:r>
      <w:r w:rsidR="006F25AE">
        <w:t>Please n</w:t>
      </w:r>
      <w:r w:rsidR="00933343">
        <w:t xml:space="preserve">ote that we didn’t attempt any statistical analysis as time was short but have prioritized that for the near future. </w:t>
      </w:r>
    </w:p>
    <w:p w14:paraId="52D1CF96" w14:textId="77777777" w:rsidR="00023885" w:rsidRDefault="00023885" w:rsidP="001241D5"/>
    <w:p w14:paraId="4DC0633B" w14:textId="446787CE" w:rsidR="001241D5" w:rsidRDefault="001241D5" w:rsidP="001241D5">
      <w:r>
        <w:t>Figure 1:</w:t>
      </w:r>
      <w:r w:rsidR="0073773B">
        <w:t xml:space="preserve"> March thru May YFS Amendment 80 catch data</w:t>
      </w:r>
      <w:r>
        <w:t xml:space="preserve"> </w:t>
      </w:r>
      <w:r w:rsidR="0073773B">
        <w:t>2010-2020</w:t>
      </w:r>
    </w:p>
    <w:tbl>
      <w:tblPr>
        <w:tblW w:w="7709" w:type="dxa"/>
        <w:tblInd w:w="-360" w:type="dxa"/>
        <w:tblLook w:val="04A0" w:firstRow="1" w:lastRow="0" w:firstColumn="1" w:lastColumn="0" w:noHBand="0" w:noVBand="1"/>
      </w:tblPr>
      <w:tblGrid>
        <w:gridCol w:w="1639"/>
        <w:gridCol w:w="2206"/>
        <w:gridCol w:w="2123"/>
        <w:gridCol w:w="1828"/>
        <w:gridCol w:w="1804"/>
      </w:tblGrid>
      <w:tr w:rsidR="001241D5" w:rsidRPr="001241D5" w14:paraId="2126D545" w14:textId="77777777" w:rsidTr="0073773B">
        <w:trPr>
          <w:trHeight w:val="940"/>
        </w:trPr>
        <w:tc>
          <w:tcPr>
            <w:tcW w:w="1166" w:type="dxa"/>
            <w:tcBorders>
              <w:top w:val="nil"/>
              <w:left w:val="nil"/>
              <w:bottom w:val="nil"/>
              <w:right w:val="nil"/>
            </w:tcBorders>
            <w:shd w:val="clear" w:color="auto" w:fill="auto"/>
            <w:vAlign w:val="bottom"/>
            <w:hideMark/>
          </w:tcPr>
          <w:p w14:paraId="594B2C42" w14:textId="77777777" w:rsidR="001241D5" w:rsidRPr="001241D5" w:rsidRDefault="001241D5" w:rsidP="001241D5">
            <w:pPr>
              <w:spacing w:after="0" w:line="240" w:lineRule="auto"/>
              <w:rPr>
                <w:rFonts w:ascii="Arial" w:eastAsia="Times New Roman" w:hAnsi="Arial" w:cs="Arial"/>
                <w:color w:val="333333"/>
                <w:sz w:val="18"/>
                <w:szCs w:val="18"/>
              </w:rPr>
            </w:pPr>
            <w:r w:rsidRPr="001241D5">
              <w:rPr>
                <w:rFonts w:ascii="Arial" w:eastAsia="Times New Roman" w:hAnsi="Arial" w:cs="Arial"/>
                <w:color w:val="333333"/>
                <w:sz w:val="18"/>
                <w:szCs w:val="18"/>
              </w:rPr>
              <w:t>Year</w:t>
            </w:r>
          </w:p>
        </w:tc>
        <w:tc>
          <w:tcPr>
            <w:tcW w:w="1569" w:type="dxa"/>
            <w:tcBorders>
              <w:top w:val="nil"/>
              <w:left w:val="nil"/>
              <w:bottom w:val="nil"/>
              <w:right w:val="nil"/>
            </w:tcBorders>
            <w:shd w:val="clear" w:color="auto" w:fill="auto"/>
            <w:vAlign w:val="bottom"/>
            <w:hideMark/>
          </w:tcPr>
          <w:p w14:paraId="33EDCD4C" w14:textId="77777777" w:rsidR="001241D5" w:rsidRPr="001241D5" w:rsidRDefault="001241D5" w:rsidP="001241D5">
            <w:pPr>
              <w:spacing w:after="0" w:line="240" w:lineRule="auto"/>
              <w:jc w:val="center"/>
              <w:rPr>
                <w:rFonts w:ascii="Arial" w:eastAsia="Times New Roman" w:hAnsi="Arial" w:cs="Arial"/>
                <w:color w:val="666666"/>
                <w:sz w:val="18"/>
                <w:szCs w:val="18"/>
              </w:rPr>
            </w:pPr>
            <w:r w:rsidRPr="001241D5">
              <w:rPr>
                <w:rFonts w:ascii="Arial" w:eastAsia="Times New Roman" w:hAnsi="Arial" w:cs="Arial"/>
                <w:color w:val="666666"/>
                <w:sz w:val="18"/>
                <w:szCs w:val="18"/>
              </w:rPr>
              <w:t xml:space="preserve">Total </w:t>
            </w:r>
            <w:proofErr w:type="gramStart"/>
            <w:r w:rsidRPr="001241D5">
              <w:rPr>
                <w:rFonts w:ascii="Arial" w:eastAsia="Times New Roman" w:hAnsi="Arial" w:cs="Arial"/>
                <w:color w:val="666666"/>
                <w:sz w:val="18"/>
                <w:szCs w:val="18"/>
              </w:rPr>
              <w:t>Groundfish  CPUE</w:t>
            </w:r>
            <w:proofErr w:type="gramEnd"/>
            <w:r w:rsidRPr="001241D5">
              <w:rPr>
                <w:rFonts w:ascii="Arial" w:eastAsia="Times New Roman" w:hAnsi="Arial" w:cs="Arial"/>
                <w:color w:val="666666"/>
                <w:sz w:val="18"/>
                <w:szCs w:val="18"/>
              </w:rPr>
              <w:t xml:space="preserve"> (mt/</w:t>
            </w:r>
            <w:proofErr w:type="spellStart"/>
            <w:r w:rsidRPr="001241D5">
              <w:rPr>
                <w:rFonts w:ascii="Arial" w:eastAsia="Times New Roman" w:hAnsi="Arial" w:cs="Arial"/>
                <w:color w:val="666666"/>
                <w:sz w:val="18"/>
                <w:szCs w:val="18"/>
              </w:rPr>
              <w:t>hr</w:t>
            </w:r>
            <w:proofErr w:type="spellEnd"/>
            <w:r w:rsidRPr="001241D5">
              <w:rPr>
                <w:rFonts w:ascii="Arial" w:eastAsia="Times New Roman" w:hAnsi="Arial" w:cs="Arial"/>
                <w:color w:val="666666"/>
                <w:sz w:val="18"/>
                <w:szCs w:val="18"/>
              </w:rPr>
              <w:t>)</w:t>
            </w:r>
          </w:p>
        </w:tc>
        <w:tc>
          <w:tcPr>
            <w:tcW w:w="1510" w:type="dxa"/>
            <w:tcBorders>
              <w:top w:val="nil"/>
              <w:left w:val="nil"/>
              <w:bottom w:val="nil"/>
              <w:right w:val="nil"/>
            </w:tcBorders>
            <w:shd w:val="clear" w:color="auto" w:fill="auto"/>
            <w:vAlign w:val="bottom"/>
            <w:hideMark/>
          </w:tcPr>
          <w:p w14:paraId="44E9B6F9" w14:textId="77777777" w:rsidR="001241D5" w:rsidRPr="001241D5" w:rsidRDefault="001241D5" w:rsidP="001241D5">
            <w:pPr>
              <w:spacing w:after="0" w:line="240" w:lineRule="auto"/>
              <w:jc w:val="center"/>
              <w:rPr>
                <w:rFonts w:ascii="Arial" w:eastAsia="Times New Roman" w:hAnsi="Arial" w:cs="Arial"/>
                <w:color w:val="666666"/>
                <w:sz w:val="18"/>
                <w:szCs w:val="18"/>
              </w:rPr>
            </w:pPr>
            <w:r w:rsidRPr="001241D5">
              <w:rPr>
                <w:rFonts w:ascii="Arial" w:eastAsia="Times New Roman" w:hAnsi="Arial" w:cs="Arial"/>
                <w:color w:val="666666"/>
                <w:sz w:val="18"/>
                <w:szCs w:val="18"/>
              </w:rPr>
              <w:t>YFS ABC</w:t>
            </w:r>
          </w:p>
        </w:tc>
        <w:tc>
          <w:tcPr>
            <w:tcW w:w="1300" w:type="dxa"/>
            <w:tcBorders>
              <w:top w:val="nil"/>
              <w:left w:val="nil"/>
              <w:bottom w:val="nil"/>
              <w:right w:val="nil"/>
            </w:tcBorders>
            <w:shd w:val="clear" w:color="auto" w:fill="auto"/>
            <w:vAlign w:val="bottom"/>
            <w:hideMark/>
          </w:tcPr>
          <w:p w14:paraId="551D4A8B" w14:textId="77777777" w:rsidR="001241D5" w:rsidRPr="001241D5" w:rsidRDefault="001241D5" w:rsidP="001241D5">
            <w:pPr>
              <w:spacing w:after="0" w:line="240" w:lineRule="auto"/>
              <w:jc w:val="center"/>
              <w:rPr>
                <w:rFonts w:ascii="Arial" w:eastAsia="Times New Roman" w:hAnsi="Arial" w:cs="Arial"/>
                <w:color w:val="666666"/>
                <w:sz w:val="18"/>
                <w:szCs w:val="18"/>
              </w:rPr>
            </w:pPr>
            <w:r w:rsidRPr="001241D5">
              <w:rPr>
                <w:rFonts w:ascii="Arial" w:eastAsia="Times New Roman" w:hAnsi="Arial" w:cs="Arial"/>
                <w:color w:val="666666"/>
                <w:sz w:val="18"/>
                <w:szCs w:val="18"/>
              </w:rPr>
              <w:t>Halibut Catch Rate (kg/mt gf)</w:t>
            </w:r>
          </w:p>
        </w:tc>
        <w:tc>
          <w:tcPr>
            <w:tcW w:w="1804" w:type="dxa"/>
            <w:tcBorders>
              <w:top w:val="nil"/>
              <w:left w:val="nil"/>
              <w:bottom w:val="nil"/>
              <w:right w:val="nil"/>
            </w:tcBorders>
            <w:shd w:val="clear" w:color="auto" w:fill="auto"/>
            <w:vAlign w:val="bottom"/>
            <w:hideMark/>
          </w:tcPr>
          <w:p w14:paraId="5FC19966" w14:textId="77777777" w:rsidR="001241D5" w:rsidRPr="001241D5" w:rsidRDefault="001241D5" w:rsidP="001241D5">
            <w:pPr>
              <w:spacing w:after="0" w:line="240" w:lineRule="auto"/>
              <w:jc w:val="center"/>
              <w:rPr>
                <w:rFonts w:ascii="Arial" w:eastAsia="Times New Roman" w:hAnsi="Arial" w:cs="Arial"/>
                <w:color w:val="666666"/>
                <w:sz w:val="18"/>
                <w:szCs w:val="18"/>
              </w:rPr>
            </w:pPr>
            <w:r w:rsidRPr="001241D5">
              <w:rPr>
                <w:rFonts w:ascii="Arial" w:eastAsia="Times New Roman" w:hAnsi="Arial" w:cs="Arial"/>
                <w:color w:val="666666"/>
                <w:sz w:val="18"/>
                <w:szCs w:val="18"/>
              </w:rPr>
              <w:t>Halibut Mortality per ton (kg/mt gf)</w:t>
            </w:r>
          </w:p>
        </w:tc>
      </w:tr>
      <w:tr w:rsidR="001241D5" w:rsidRPr="001241D5" w14:paraId="5BC44A28" w14:textId="77777777" w:rsidTr="0073773B">
        <w:trPr>
          <w:trHeight w:val="290"/>
        </w:trPr>
        <w:tc>
          <w:tcPr>
            <w:tcW w:w="1166" w:type="dxa"/>
            <w:tcBorders>
              <w:top w:val="nil"/>
              <w:left w:val="nil"/>
              <w:bottom w:val="nil"/>
              <w:right w:val="nil"/>
            </w:tcBorders>
            <w:shd w:val="clear" w:color="auto" w:fill="auto"/>
            <w:noWrap/>
            <w:hideMark/>
          </w:tcPr>
          <w:p w14:paraId="69D06B2A"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2010</w:t>
            </w:r>
          </w:p>
        </w:tc>
        <w:tc>
          <w:tcPr>
            <w:tcW w:w="1569" w:type="dxa"/>
            <w:tcBorders>
              <w:top w:val="nil"/>
              <w:left w:val="nil"/>
              <w:bottom w:val="nil"/>
              <w:right w:val="nil"/>
            </w:tcBorders>
            <w:shd w:val="clear" w:color="000000" w:fill="347FAB"/>
            <w:noWrap/>
            <w:vAlign w:val="center"/>
            <w:hideMark/>
          </w:tcPr>
          <w:p w14:paraId="7BAC25D0"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13.85</w:t>
            </w:r>
          </w:p>
        </w:tc>
        <w:tc>
          <w:tcPr>
            <w:tcW w:w="1510" w:type="dxa"/>
            <w:tcBorders>
              <w:top w:val="nil"/>
              <w:left w:val="nil"/>
              <w:bottom w:val="nil"/>
              <w:right w:val="nil"/>
            </w:tcBorders>
            <w:shd w:val="clear" w:color="000000" w:fill="3ACDD1"/>
            <w:noWrap/>
            <w:vAlign w:val="center"/>
            <w:hideMark/>
          </w:tcPr>
          <w:p w14:paraId="16338A8F"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219,000</w:t>
            </w:r>
          </w:p>
        </w:tc>
        <w:tc>
          <w:tcPr>
            <w:tcW w:w="1300" w:type="dxa"/>
            <w:tcBorders>
              <w:top w:val="nil"/>
              <w:left w:val="nil"/>
              <w:bottom w:val="nil"/>
              <w:right w:val="nil"/>
            </w:tcBorders>
            <w:shd w:val="clear" w:color="000000" w:fill="38B4C5"/>
            <w:noWrap/>
            <w:vAlign w:val="center"/>
            <w:hideMark/>
          </w:tcPr>
          <w:p w14:paraId="52575C4D"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5.46</w:t>
            </w:r>
          </w:p>
        </w:tc>
        <w:tc>
          <w:tcPr>
            <w:tcW w:w="1804" w:type="dxa"/>
            <w:tcBorders>
              <w:top w:val="nil"/>
              <w:left w:val="nil"/>
              <w:bottom w:val="nil"/>
              <w:right w:val="nil"/>
            </w:tcBorders>
            <w:shd w:val="clear" w:color="000000" w:fill="39C0CB"/>
            <w:noWrap/>
            <w:vAlign w:val="center"/>
            <w:hideMark/>
          </w:tcPr>
          <w:p w14:paraId="7C7CD354"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4.43</w:t>
            </w:r>
          </w:p>
        </w:tc>
      </w:tr>
      <w:tr w:rsidR="001241D5" w:rsidRPr="001241D5" w14:paraId="5C957743" w14:textId="77777777" w:rsidTr="0073773B">
        <w:trPr>
          <w:trHeight w:val="290"/>
        </w:trPr>
        <w:tc>
          <w:tcPr>
            <w:tcW w:w="1166" w:type="dxa"/>
            <w:tcBorders>
              <w:top w:val="nil"/>
              <w:left w:val="nil"/>
              <w:bottom w:val="nil"/>
              <w:right w:val="nil"/>
            </w:tcBorders>
            <w:shd w:val="clear" w:color="auto" w:fill="auto"/>
            <w:noWrap/>
            <w:hideMark/>
          </w:tcPr>
          <w:p w14:paraId="145DB820"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2011</w:t>
            </w:r>
          </w:p>
        </w:tc>
        <w:tc>
          <w:tcPr>
            <w:tcW w:w="1569" w:type="dxa"/>
            <w:tcBorders>
              <w:top w:val="nil"/>
              <w:left w:val="nil"/>
              <w:bottom w:val="nil"/>
              <w:right w:val="nil"/>
            </w:tcBorders>
            <w:shd w:val="clear" w:color="000000" w:fill="358BB1"/>
            <w:noWrap/>
            <w:vAlign w:val="center"/>
            <w:hideMark/>
          </w:tcPr>
          <w:p w14:paraId="6A6D6410"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12.89</w:t>
            </w:r>
          </w:p>
        </w:tc>
        <w:tc>
          <w:tcPr>
            <w:tcW w:w="1510" w:type="dxa"/>
            <w:tcBorders>
              <w:top w:val="nil"/>
              <w:left w:val="nil"/>
              <w:bottom w:val="nil"/>
              <w:right w:val="nil"/>
            </w:tcBorders>
            <w:shd w:val="clear" w:color="000000" w:fill="37ADC2"/>
            <w:noWrap/>
            <w:vAlign w:val="center"/>
            <w:hideMark/>
          </w:tcPr>
          <w:p w14:paraId="01A49BBF"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239,000</w:t>
            </w:r>
          </w:p>
        </w:tc>
        <w:tc>
          <w:tcPr>
            <w:tcW w:w="1300" w:type="dxa"/>
            <w:tcBorders>
              <w:top w:val="nil"/>
              <w:left w:val="nil"/>
              <w:bottom w:val="nil"/>
              <w:right w:val="nil"/>
            </w:tcBorders>
            <w:shd w:val="clear" w:color="000000" w:fill="3BD8D7"/>
            <w:noWrap/>
            <w:vAlign w:val="center"/>
            <w:hideMark/>
          </w:tcPr>
          <w:p w14:paraId="22F7B160"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2.49</w:t>
            </w:r>
          </w:p>
        </w:tc>
        <w:tc>
          <w:tcPr>
            <w:tcW w:w="1804" w:type="dxa"/>
            <w:tcBorders>
              <w:top w:val="nil"/>
              <w:left w:val="nil"/>
              <w:bottom w:val="nil"/>
              <w:right w:val="nil"/>
            </w:tcBorders>
            <w:shd w:val="clear" w:color="000000" w:fill="3BDEDA"/>
            <w:noWrap/>
            <w:vAlign w:val="center"/>
            <w:hideMark/>
          </w:tcPr>
          <w:p w14:paraId="135C7231"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2.02</w:t>
            </w:r>
          </w:p>
        </w:tc>
      </w:tr>
      <w:tr w:rsidR="001241D5" w:rsidRPr="001241D5" w14:paraId="68943BB2" w14:textId="77777777" w:rsidTr="0073773B">
        <w:trPr>
          <w:trHeight w:val="290"/>
        </w:trPr>
        <w:tc>
          <w:tcPr>
            <w:tcW w:w="1166" w:type="dxa"/>
            <w:tcBorders>
              <w:top w:val="nil"/>
              <w:left w:val="nil"/>
              <w:bottom w:val="nil"/>
              <w:right w:val="nil"/>
            </w:tcBorders>
            <w:shd w:val="clear" w:color="auto" w:fill="auto"/>
            <w:noWrap/>
            <w:hideMark/>
          </w:tcPr>
          <w:p w14:paraId="6D0D2309"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2012</w:t>
            </w:r>
          </w:p>
        </w:tc>
        <w:tc>
          <w:tcPr>
            <w:tcW w:w="1569" w:type="dxa"/>
            <w:tcBorders>
              <w:top w:val="nil"/>
              <w:left w:val="nil"/>
              <w:bottom w:val="nil"/>
              <w:right w:val="nil"/>
            </w:tcBorders>
            <w:shd w:val="clear" w:color="000000" w:fill="305496"/>
            <w:noWrap/>
            <w:vAlign w:val="center"/>
            <w:hideMark/>
          </w:tcPr>
          <w:p w14:paraId="2C0602C3"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17.44</w:t>
            </w:r>
          </w:p>
        </w:tc>
        <w:tc>
          <w:tcPr>
            <w:tcW w:w="1510" w:type="dxa"/>
            <w:tcBorders>
              <w:top w:val="nil"/>
              <w:left w:val="nil"/>
              <w:bottom w:val="nil"/>
              <w:right w:val="nil"/>
            </w:tcBorders>
            <w:shd w:val="clear" w:color="000000" w:fill="3BE5DD"/>
            <w:noWrap/>
            <w:vAlign w:val="center"/>
            <w:hideMark/>
          </w:tcPr>
          <w:p w14:paraId="7DA4BB4B"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203,000</w:t>
            </w:r>
          </w:p>
        </w:tc>
        <w:tc>
          <w:tcPr>
            <w:tcW w:w="1300" w:type="dxa"/>
            <w:tcBorders>
              <w:top w:val="nil"/>
              <w:left w:val="nil"/>
              <w:bottom w:val="nil"/>
              <w:right w:val="nil"/>
            </w:tcBorders>
            <w:shd w:val="clear" w:color="000000" w:fill="3BE1DB"/>
            <w:noWrap/>
            <w:vAlign w:val="center"/>
            <w:hideMark/>
          </w:tcPr>
          <w:p w14:paraId="33B21EE3"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1.76</w:t>
            </w:r>
          </w:p>
        </w:tc>
        <w:tc>
          <w:tcPr>
            <w:tcW w:w="1804" w:type="dxa"/>
            <w:tcBorders>
              <w:top w:val="nil"/>
              <w:left w:val="nil"/>
              <w:bottom w:val="nil"/>
              <w:right w:val="nil"/>
            </w:tcBorders>
            <w:shd w:val="clear" w:color="000000" w:fill="3BE5DD"/>
            <w:noWrap/>
            <w:vAlign w:val="center"/>
            <w:hideMark/>
          </w:tcPr>
          <w:p w14:paraId="5357C102"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1.42</w:t>
            </w:r>
          </w:p>
        </w:tc>
      </w:tr>
      <w:tr w:rsidR="001241D5" w:rsidRPr="001241D5" w14:paraId="724C0B13" w14:textId="77777777" w:rsidTr="0073773B">
        <w:trPr>
          <w:trHeight w:val="290"/>
        </w:trPr>
        <w:tc>
          <w:tcPr>
            <w:tcW w:w="1166" w:type="dxa"/>
            <w:tcBorders>
              <w:top w:val="nil"/>
              <w:left w:val="nil"/>
              <w:bottom w:val="nil"/>
              <w:right w:val="nil"/>
            </w:tcBorders>
            <w:shd w:val="clear" w:color="auto" w:fill="auto"/>
            <w:noWrap/>
            <w:hideMark/>
          </w:tcPr>
          <w:p w14:paraId="19C310EE"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2013</w:t>
            </w:r>
          </w:p>
        </w:tc>
        <w:tc>
          <w:tcPr>
            <w:tcW w:w="1569" w:type="dxa"/>
            <w:tcBorders>
              <w:top w:val="nil"/>
              <w:left w:val="nil"/>
              <w:bottom w:val="nil"/>
              <w:right w:val="nil"/>
            </w:tcBorders>
            <w:shd w:val="clear" w:color="000000" w:fill="3375A6"/>
            <w:noWrap/>
            <w:vAlign w:val="center"/>
            <w:hideMark/>
          </w:tcPr>
          <w:p w14:paraId="6B6D3833"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14.71</w:t>
            </w:r>
          </w:p>
        </w:tc>
        <w:tc>
          <w:tcPr>
            <w:tcW w:w="1510" w:type="dxa"/>
            <w:tcBorders>
              <w:top w:val="nil"/>
              <w:left w:val="nil"/>
              <w:bottom w:val="nil"/>
              <w:right w:val="nil"/>
            </w:tcBorders>
            <w:shd w:val="clear" w:color="000000" w:fill="3BE1DB"/>
            <w:noWrap/>
            <w:vAlign w:val="center"/>
            <w:hideMark/>
          </w:tcPr>
          <w:p w14:paraId="5811F024"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206,000</w:t>
            </w:r>
          </w:p>
        </w:tc>
        <w:tc>
          <w:tcPr>
            <w:tcW w:w="1300" w:type="dxa"/>
            <w:tcBorders>
              <w:top w:val="nil"/>
              <w:left w:val="nil"/>
              <w:bottom w:val="nil"/>
              <w:right w:val="nil"/>
            </w:tcBorders>
            <w:shd w:val="clear" w:color="000000" w:fill="3ACFD2"/>
            <w:noWrap/>
            <w:vAlign w:val="center"/>
            <w:hideMark/>
          </w:tcPr>
          <w:p w14:paraId="43367968"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3.26</w:t>
            </w:r>
          </w:p>
        </w:tc>
        <w:tc>
          <w:tcPr>
            <w:tcW w:w="1804" w:type="dxa"/>
            <w:tcBorders>
              <w:top w:val="nil"/>
              <w:left w:val="nil"/>
              <w:bottom w:val="nil"/>
              <w:right w:val="nil"/>
            </w:tcBorders>
            <w:shd w:val="clear" w:color="000000" w:fill="3AD6D6"/>
            <w:noWrap/>
            <w:vAlign w:val="center"/>
            <w:hideMark/>
          </w:tcPr>
          <w:p w14:paraId="1BDC6CF1"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2.71</w:t>
            </w:r>
          </w:p>
        </w:tc>
      </w:tr>
      <w:tr w:rsidR="001241D5" w:rsidRPr="001241D5" w14:paraId="785D79E9" w14:textId="77777777" w:rsidTr="0073773B">
        <w:trPr>
          <w:trHeight w:val="290"/>
        </w:trPr>
        <w:tc>
          <w:tcPr>
            <w:tcW w:w="1166" w:type="dxa"/>
            <w:tcBorders>
              <w:top w:val="nil"/>
              <w:left w:val="nil"/>
              <w:bottom w:val="nil"/>
              <w:right w:val="nil"/>
            </w:tcBorders>
            <w:shd w:val="clear" w:color="auto" w:fill="auto"/>
            <w:noWrap/>
            <w:hideMark/>
          </w:tcPr>
          <w:p w14:paraId="6A51DA93"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2014</w:t>
            </w:r>
          </w:p>
        </w:tc>
        <w:tc>
          <w:tcPr>
            <w:tcW w:w="1569" w:type="dxa"/>
            <w:tcBorders>
              <w:top w:val="nil"/>
              <w:left w:val="nil"/>
              <w:bottom w:val="nil"/>
              <w:right w:val="nil"/>
            </w:tcBorders>
            <w:shd w:val="clear" w:color="000000" w:fill="369FBB"/>
            <w:noWrap/>
            <w:vAlign w:val="center"/>
            <w:hideMark/>
          </w:tcPr>
          <w:p w14:paraId="613B3136"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11.20</w:t>
            </w:r>
          </w:p>
        </w:tc>
        <w:tc>
          <w:tcPr>
            <w:tcW w:w="1510" w:type="dxa"/>
            <w:tcBorders>
              <w:top w:val="nil"/>
              <w:left w:val="nil"/>
              <w:bottom w:val="nil"/>
              <w:right w:val="nil"/>
            </w:tcBorders>
            <w:shd w:val="clear" w:color="000000" w:fill="37ADC2"/>
            <w:noWrap/>
            <w:vAlign w:val="center"/>
            <w:hideMark/>
          </w:tcPr>
          <w:p w14:paraId="36DBCF77"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239,000</w:t>
            </w:r>
          </w:p>
        </w:tc>
        <w:tc>
          <w:tcPr>
            <w:tcW w:w="1300" w:type="dxa"/>
            <w:tcBorders>
              <w:top w:val="nil"/>
              <w:left w:val="nil"/>
              <w:bottom w:val="nil"/>
              <w:right w:val="nil"/>
            </w:tcBorders>
            <w:shd w:val="clear" w:color="000000" w:fill="37AFC3"/>
            <w:noWrap/>
            <w:vAlign w:val="center"/>
            <w:hideMark/>
          </w:tcPr>
          <w:p w14:paraId="29B2E2D2"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5.87</w:t>
            </w:r>
          </w:p>
        </w:tc>
        <w:tc>
          <w:tcPr>
            <w:tcW w:w="1804" w:type="dxa"/>
            <w:tcBorders>
              <w:top w:val="nil"/>
              <w:left w:val="nil"/>
              <w:bottom w:val="nil"/>
              <w:right w:val="nil"/>
            </w:tcBorders>
            <w:shd w:val="clear" w:color="000000" w:fill="38BBC9"/>
            <w:noWrap/>
            <w:vAlign w:val="center"/>
            <w:hideMark/>
          </w:tcPr>
          <w:p w14:paraId="4EB45CEB"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4.87</w:t>
            </w:r>
          </w:p>
        </w:tc>
      </w:tr>
      <w:tr w:rsidR="001241D5" w:rsidRPr="001241D5" w14:paraId="5D6ECA76" w14:textId="77777777" w:rsidTr="0073773B">
        <w:trPr>
          <w:trHeight w:val="290"/>
        </w:trPr>
        <w:tc>
          <w:tcPr>
            <w:tcW w:w="1166" w:type="dxa"/>
            <w:tcBorders>
              <w:top w:val="nil"/>
              <w:left w:val="nil"/>
              <w:bottom w:val="nil"/>
              <w:right w:val="nil"/>
            </w:tcBorders>
            <w:shd w:val="clear" w:color="auto" w:fill="auto"/>
            <w:noWrap/>
            <w:hideMark/>
          </w:tcPr>
          <w:p w14:paraId="351AD7FB"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2015</w:t>
            </w:r>
          </w:p>
        </w:tc>
        <w:tc>
          <w:tcPr>
            <w:tcW w:w="1569" w:type="dxa"/>
            <w:tcBorders>
              <w:top w:val="nil"/>
              <w:left w:val="nil"/>
              <w:bottom w:val="nil"/>
              <w:right w:val="nil"/>
            </w:tcBorders>
            <w:shd w:val="clear" w:color="000000" w:fill="3ACED2"/>
            <w:noWrap/>
            <w:vAlign w:val="center"/>
            <w:hideMark/>
          </w:tcPr>
          <w:p w14:paraId="61DC873B"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7.22</w:t>
            </w:r>
          </w:p>
        </w:tc>
        <w:tc>
          <w:tcPr>
            <w:tcW w:w="1510" w:type="dxa"/>
            <w:tcBorders>
              <w:top w:val="nil"/>
              <w:left w:val="nil"/>
              <w:bottom w:val="nil"/>
              <w:right w:val="nil"/>
            </w:tcBorders>
            <w:shd w:val="clear" w:color="000000" w:fill="369FBB"/>
            <w:noWrap/>
            <w:vAlign w:val="center"/>
            <w:hideMark/>
          </w:tcPr>
          <w:p w14:paraId="643CD479"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248,000</w:t>
            </w:r>
          </w:p>
        </w:tc>
        <w:tc>
          <w:tcPr>
            <w:tcW w:w="1300" w:type="dxa"/>
            <w:tcBorders>
              <w:top w:val="nil"/>
              <w:left w:val="nil"/>
              <w:bottom w:val="nil"/>
              <w:right w:val="nil"/>
            </w:tcBorders>
            <w:shd w:val="clear" w:color="000000" w:fill="37B0C3"/>
            <w:noWrap/>
            <w:vAlign w:val="center"/>
            <w:hideMark/>
          </w:tcPr>
          <w:p w14:paraId="0CB01155"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5.79</w:t>
            </w:r>
          </w:p>
        </w:tc>
        <w:tc>
          <w:tcPr>
            <w:tcW w:w="1804" w:type="dxa"/>
            <w:tcBorders>
              <w:top w:val="nil"/>
              <w:left w:val="nil"/>
              <w:bottom w:val="nil"/>
              <w:right w:val="nil"/>
            </w:tcBorders>
            <w:shd w:val="clear" w:color="000000" w:fill="38BCC9"/>
            <w:noWrap/>
            <w:vAlign w:val="center"/>
            <w:hideMark/>
          </w:tcPr>
          <w:p w14:paraId="5995A885"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4.81</w:t>
            </w:r>
          </w:p>
        </w:tc>
      </w:tr>
      <w:tr w:rsidR="001241D5" w:rsidRPr="001241D5" w14:paraId="52B1209D" w14:textId="77777777" w:rsidTr="0073773B">
        <w:trPr>
          <w:trHeight w:val="290"/>
        </w:trPr>
        <w:tc>
          <w:tcPr>
            <w:tcW w:w="1166" w:type="dxa"/>
            <w:tcBorders>
              <w:top w:val="nil"/>
              <w:left w:val="nil"/>
              <w:bottom w:val="nil"/>
              <w:right w:val="nil"/>
            </w:tcBorders>
            <w:shd w:val="clear" w:color="auto" w:fill="auto"/>
            <w:noWrap/>
            <w:hideMark/>
          </w:tcPr>
          <w:p w14:paraId="7E59EA07"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2016</w:t>
            </w:r>
          </w:p>
        </w:tc>
        <w:tc>
          <w:tcPr>
            <w:tcW w:w="1569" w:type="dxa"/>
            <w:tcBorders>
              <w:top w:val="nil"/>
              <w:left w:val="nil"/>
              <w:bottom w:val="nil"/>
              <w:right w:val="nil"/>
            </w:tcBorders>
            <w:shd w:val="clear" w:color="000000" w:fill="3BDEDA"/>
            <w:noWrap/>
            <w:vAlign w:val="center"/>
            <w:hideMark/>
          </w:tcPr>
          <w:p w14:paraId="5A741497"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5.93</w:t>
            </w:r>
          </w:p>
        </w:tc>
        <w:tc>
          <w:tcPr>
            <w:tcW w:w="1510" w:type="dxa"/>
            <w:tcBorders>
              <w:top w:val="nil"/>
              <w:left w:val="nil"/>
              <w:bottom w:val="nil"/>
              <w:right w:val="nil"/>
            </w:tcBorders>
            <w:shd w:val="clear" w:color="000000" w:fill="3BD9D7"/>
            <w:noWrap/>
            <w:vAlign w:val="center"/>
            <w:hideMark/>
          </w:tcPr>
          <w:p w14:paraId="3246BD0C"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211,000</w:t>
            </w:r>
          </w:p>
        </w:tc>
        <w:tc>
          <w:tcPr>
            <w:tcW w:w="1300" w:type="dxa"/>
            <w:tcBorders>
              <w:top w:val="nil"/>
              <w:left w:val="nil"/>
              <w:bottom w:val="nil"/>
              <w:right w:val="nil"/>
            </w:tcBorders>
            <w:shd w:val="clear" w:color="000000" w:fill="37A7BF"/>
            <w:noWrap/>
            <w:vAlign w:val="center"/>
            <w:hideMark/>
          </w:tcPr>
          <w:p w14:paraId="5ECF472E"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6.49</w:t>
            </w:r>
          </w:p>
        </w:tc>
        <w:tc>
          <w:tcPr>
            <w:tcW w:w="1804" w:type="dxa"/>
            <w:tcBorders>
              <w:top w:val="nil"/>
              <w:left w:val="nil"/>
              <w:bottom w:val="nil"/>
              <w:right w:val="nil"/>
            </w:tcBorders>
            <w:shd w:val="clear" w:color="000000" w:fill="38B5C6"/>
            <w:noWrap/>
            <w:vAlign w:val="center"/>
            <w:hideMark/>
          </w:tcPr>
          <w:p w14:paraId="50EA9709"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5.31</w:t>
            </w:r>
          </w:p>
        </w:tc>
      </w:tr>
      <w:tr w:rsidR="001241D5" w:rsidRPr="001241D5" w14:paraId="6E6BF905" w14:textId="77777777" w:rsidTr="0073773B">
        <w:trPr>
          <w:trHeight w:val="290"/>
        </w:trPr>
        <w:tc>
          <w:tcPr>
            <w:tcW w:w="1166" w:type="dxa"/>
            <w:tcBorders>
              <w:top w:val="nil"/>
              <w:left w:val="nil"/>
              <w:bottom w:val="nil"/>
              <w:right w:val="nil"/>
            </w:tcBorders>
            <w:shd w:val="clear" w:color="auto" w:fill="auto"/>
            <w:noWrap/>
            <w:hideMark/>
          </w:tcPr>
          <w:p w14:paraId="703D19E6"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2017</w:t>
            </w:r>
          </w:p>
        </w:tc>
        <w:tc>
          <w:tcPr>
            <w:tcW w:w="1569" w:type="dxa"/>
            <w:tcBorders>
              <w:top w:val="nil"/>
              <w:left w:val="nil"/>
              <w:bottom w:val="nil"/>
              <w:right w:val="nil"/>
            </w:tcBorders>
            <w:shd w:val="clear" w:color="000000" w:fill="3ACED2"/>
            <w:noWrap/>
            <w:vAlign w:val="center"/>
            <w:hideMark/>
          </w:tcPr>
          <w:p w14:paraId="731777D9"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7.25</w:t>
            </w:r>
          </w:p>
        </w:tc>
        <w:tc>
          <w:tcPr>
            <w:tcW w:w="1510" w:type="dxa"/>
            <w:tcBorders>
              <w:top w:val="nil"/>
              <w:left w:val="nil"/>
              <w:bottom w:val="nil"/>
              <w:right w:val="nil"/>
            </w:tcBorders>
            <w:shd w:val="clear" w:color="000000" w:fill="358DB2"/>
            <w:noWrap/>
            <w:vAlign w:val="center"/>
            <w:hideMark/>
          </w:tcPr>
          <w:p w14:paraId="665DC43A"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260,000</w:t>
            </w:r>
          </w:p>
        </w:tc>
        <w:tc>
          <w:tcPr>
            <w:tcW w:w="1300" w:type="dxa"/>
            <w:tcBorders>
              <w:top w:val="nil"/>
              <w:left w:val="nil"/>
              <w:bottom w:val="nil"/>
              <w:right w:val="nil"/>
            </w:tcBorders>
            <w:shd w:val="clear" w:color="000000" w:fill="369DBA"/>
            <w:noWrap/>
            <w:vAlign w:val="center"/>
            <w:hideMark/>
          </w:tcPr>
          <w:p w14:paraId="363DE3C6"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7.27</w:t>
            </w:r>
          </w:p>
        </w:tc>
        <w:tc>
          <w:tcPr>
            <w:tcW w:w="1804" w:type="dxa"/>
            <w:tcBorders>
              <w:top w:val="nil"/>
              <w:left w:val="nil"/>
              <w:bottom w:val="nil"/>
              <w:right w:val="nil"/>
            </w:tcBorders>
            <w:shd w:val="clear" w:color="000000" w:fill="39C1CB"/>
            <w:noWrap/>
            <w:vAlign w:val="center"/>
            <w:hideMark/>
          </w:tcPr>
          <w:p w14:paraId="7F5802AF"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4.41</w:t>
            </w:r>
          </w:p>
        </w:tc>
      </w:tr>
      <w:tr w:rsidR="001241D5" w:rsidRPr="001241D5" w14:paraId="5B890BB6" w14:textId="77777777" w:rsidTr="0073773B">
        <w:trPr>
          <w:trHeight w:val="290"/>
        </w:trPr>
        <w:tc>
          <w:tcPr>
            <w:tcW w:w="1166" w:type="dxa"/>
            <w:tcBorders>
              <w:top w:val="nil"/>
              <w:left w:val="nil"/>
              <w:bottom w:val="nil"/>
              <w:right w:val="nil"/>
            </w:tcBorders>
            <w:shd w:val="clear" w:color="auto" w:fill="auto"/>
            <w:noWrap/>
            <w:hideMark/>
          </w:tcPr>
          <w:p w14:paraId="3F3D21FD"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2018</w:t>
            </w:r>
          </w:p>
        </w:tc>
        <w:tc>
          <w:tcPr>
            <w:tcW w:w="1569" w:type="dxa"/>
            <w:tcBorders>
              <w:top w:val="nil"/>
              <w:left w:val="nil"/>
              <w:bottom w:val="nil"/>
              <w:right w:val="nil"/>
            </w:tcBorders>
            <w:shd w:val="clear" w:color="000000" w:fill="3AD3D4"/>
            <w:noWrap/>
            <w:vAlign w:val="center"/>
            <w:hideMark/>
          </w:tcPr>
          <w:p w14:paraId="274DB36A"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6.87</w:t>
            </w:r>
          </w:p>
        </w:tc>
        <w:tc>
          <w:tcPr>
            <w:tcW w:w="1510" w:type="dxa"/>
            <w:tcBorders>
              <w:top w:val="nil"/>
              <w:left w:val="nil"/>
              <w:bottom w:val="nil"/>
              <w:right w:val="nil"/>
            </w:tcBorders>
            <w:shd w:val="clear" w:color="000000" w:fill="3372A5"/>
            <w:noWrap/>
            <w:vAlign w:val="center"/>
            <w:hideMark/>
          </w:tcPr>
          <w:p w14:paraId="6AE8AE71"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277,000</w:t>
            </w:r>
          </w:p>
        </w:tc>
        <w:tc>
          <w:tcPr>
            <w:tcW w:w="1300" w:type="dxa"/>
            <w:tcBorders>
              <w:top w:val="nil"/>
              <w:left w:val="nil"/>
              <w:bottom w:val="nil"/>
              <w:right w:val="nil"/>
            </w:tcBorders>
            <w:shd w:val="clear" w:color="000000" w:fill="3591B4"/>
            <w:noWrap/>
            <w:vAlign w:val="center"/>
            <w:hideMark/>
          </w:tcPr>
          <w:p w14:paraId="7B790315"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8.25</w:t>
            </w:r>
          </w:p>
        </w:tc>
        <w:tc>
          <w:tcPr>
            <w:tcW w:w="1804" w:type="dxa"/>
            <w:tcBorders>
              <w:top w:val="nil"/>
              <w:left w:val="nil"/>
              <w:bottom w:val="nil"/>
              <w:right w:val="nil"/>
            </w:tcBorders>
            <w:shd w:val="clear" w:color="000000" w:fill="38BCC9"/>
            <w:noWrap/>
            <w:vAlign w:val="center"/>
            <w:hideMark/>
          </w:tcPr>
          <w:p w14:paraId="6C783B55"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4.76</w:t>
            </w:r>
          </w:p>
        </w:tc>
      </w:tr>
      <w:tr w:rsidR="001241D5" w:rsidRPr="001241D5" w14:paraId="4854667A" w14:textId="77777777" w:rsidTr="0073773B">
        <w:trPr>
          <w:trHeight w:val="290"/>
        </w:trPr>
        <w:tc>
          <w:tcPr>
            <w:tcW w:w="1166" w:type="dxa"/>
            <w:tcBorders>
              <w:top w:val="nil"/>
              <w:left w:val="nil"/>
              <w:bottom w:val="nil"/>
              <w:right w:val="nil"/>
            </w:tcBorders>
            <w:shd w:val="clear" w:color="auto" w:fill="auto"/>
            <w:noWrap/>
            <w:hideMark/>
          </w:tcPr>
          <w:p w14:paraId="33932B3F"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2019</w:t>
            </w:r>
          </w:p>
        </w:tc>
        <w:tc>
          <w:tcPr>
            <w:tcW w:w="1569" w:type="dxa"/>
            <w:tcBorders>
              <w:top w:val="nil"/>
              <w:left w:val="nil"/>
              <w:bottom w:val="nil"/>
              <w:right w:val="nil"/>
            </w:tcBorders>
            <w:shd w:val="clear" w:color="000000" w:fill="3BE5DD"/>
            <w:noWrap/>
            <w:vAlign w:val="center"/>
            <w:hideMark/>
          </w:tcPr>
          <w:p w14:paraId="2FEED978"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5.29</w:t>
            </w:r>
          </w:p>
        </w:tc>
        <w:tc>
          <w:tcPr>
            <w:tcW w:w="1510" w:type="dxa"/>
            <w:tcBorders>
              <w:top w:val="nil"/>
              <w:left w:val="nil"/>
              <w:bottom w:val="nil"/>
              <w:right w:val="nil"/>
            </w:tcBorders>
            <w:shd w:val="clear" w:color="000000" w:fill="3488B0"/>
            <w:noWrap/>
            <w:vAlign w:val="center"/>
            <w:hideMark/>
          </w:tcPr>
          <w:p w14:paraId="7919924D"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263,000</w:t>
            </w:r>
          </w:p>
        </w:tc>
        <w:tc>
          <w:tcPr>
            <w:tcW w:w="1300" w:type="dxa"/>
            <w:tcBorders>
              <w:top w:val="nil"/>
              <w:left w:val="nil"/>
              <w:bottom w:val="nil"/>
              <w:right w:val="nil"/>
            </w:tcBorders>
            <w:shd w:val="clear" w:color="000000" w:fill="305496"/>
            <w:noWrap/>
            <w:vAlign w:val="center"/>
            <w:hideMark/>
          </w:tcPr>
          <w:p w14:paraId="650E9FA3"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13.18</w:t>
            </w:r>
          </w:p>
        </w:tc>
        <w:tc>
          <w:tcPr>
            <w:tcW w:w="1804" w:type="dxa"/>
            <w:tcBorders>
              <w:top w:val="nil"/>
              <w:left w:val="nil"/>
              <w:bottom w:val="nil"/>
              <w:right w:val="nil"/>
            </w:tcBorders>
            <w:shd w:val="clear" w:color="000000" w:fill="37A4BD"/>
            <w:noWrap/>
            <w:vAlign w:val="center"/>
            <w:hideMark/>
          </w:tcPr>
          <w:p w14:paraId="7D0F203B"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6.76</w:t>
            </w:r>
          </w:p>
        </w:tc>
      </w:tr>
      <w:tr w:rsidR="001241D5" w:rsidRPr="001241D5" w14:paraId="6032C99B" w14:textId="77777777" w:rsidTr="0073773B">
        <w:trPr>
          <w:trHeight w:val="290"/>
        </w:trPr>
        <w:tc>
          <w:tcPr>
            <w:tcW w:w="1166" w:type="dxa"/>
            <w:tcBorders>
              <w:top w:val="nil"/>
              <w:left w:val="nil"/>
              <w:bottom w:val="nil"/>
              <w:right w:val="nil"/>
            </w:tcBorders>
            <w:shd w:val="clear" w:color="auto" w:fill="auto"/>
            <w:noWrap/>
            <w:hideMark/>
          </w:tcPr>
          <w:p w14:paraId="68EC37A6" w14:textId="77777777" w:rsidR="001241D5" w:rsidRPr="001241D5" w:rsidRDefault="001241D5" w:rsidP="001241D5">
            <w:pPr>
              <w:spacing w:after="0" w:line="240" w:lineRule="auto"/>
              <w:rPr>
                <w:rFonts w:ascii="Arial" w:eastAsia="Times New Roman" w:hAnsi="Arial" w:cs="Arial"/>
                <w:color w:val="666666"/>
                <w:sz w:val="18"/>
                <w:szCs w:val="18"/>
              </w:rPr>
            </w:pPr>
            <w:r w:rsidRPr="001241D5">
              <w:rPr>
                <w:rFonts w:ascii="Arial" w:eastAsia="Times New Roman" w:hAnsi="Arial" w:cs="Arial"/>
                <w:color w:val="666666"/>
                <w:sz w:val="18"/>
                <w:szCs w:val="18"/>
              </w:rPr>
              <w:t>2020</w:t>
            </w:r>
          </w:p>
        </w:tc>
        <w:tc>
          <w:tcPr>
            <w:tcW w:w="1569" w:type="dxa"/>
            <w:tcBorders>
              <w:top w:val="nil"/>
              <w:left w:val="nil"/>
              <w:bottom w:val="nil"/>
              <w:right w:val="nil"/>
            </w:tcBorders>
            <w:shd w:val="clear" w:color="000000" w:fill="38BCC9"/>
            <w:noWrap/>
            <w:vAlign w:val="center"/>
            <w:hideMark/>
          </w:tcPr>
          <w:p w14:paraId="491FD9A2"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8.76</w:t>
            </w:r>
          </w:p>
        </w:tc>
        <w:tc>
          <w:tcPr>
            <w:tcW w:w="1510" w:type="dxa"/>
            <w:tcBorders>
              <w:top w:val="nil"/>
              <w:left w:val="nil"/>
              <w:bottom w:val="nil"/>
              <w:right w:val="nil"/>
            </w:tcBorders>
            <w:shd w:val="clear" w:color="000000" w:fill="305496"/>
            <w:noWrap/>
            <w:vAlign w:val="center"/>
            <w:hideMark/>
          </w:tcPr>
          <w:p w14:paraId="65ECFF21"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296,000</w:t>
            </w:r>
          </w:p>
        </w:tc>
        <w:tc>
          <w:tcPr>
            <w:tcW w:w="1300" w:type="dxa"/>
            <w:tcBorders>
              <w:top w:val="nil"/>
              <w:left w:val="nil"/>
              <w:bottom w:val="nil"/>
              <w:right w:val="nil"/>
            </w:tcBorders>
            <w:shd w:val="clear" w:color="000000" w:fill="38BDCA"/>
            <w:noWrap/>
            <w:vAlign w:val="center"/>
            <w:hideMark/>
          </w:tcPr>
          <w:p w14:paraId="500488AD"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4.68</w:t>
            </w:r>
          </w:p>
        </w:tc>
        <w:tc>
          <w:tcPr>
            <w:tcW w:w="1804" w:type="dxa"/>
            <w:tcBorders>
              <w:top w:val="nil"/>
              <w:left w:val="nil"/>
              <w:bottom w:val="nil"/>
              <w:right w:val="nil"/>
            </w:tcBorders>
            <w:shd w:val="clear" w:color="000000" w:fill="3AD5D5"/>
            <w:noWrap/>
            <w:vAlign w:val="center"/>
            <w:hideMark/>
          </w:tcPr>
          <w:p w14:paraId="58FC4012" w14:textId="77777777" w:rsidR="001241D5" w:rsidRPr="001241D5" w:rsidRDefault="001241D5" w:rsidP="001241D5">
            <w:pPr>
              <w:spacing w:after="0" w:line="240" w:lineRule="auto"/>
              <w:jc w:val="right"/>
              <w:rPr>
                <w:rFonts w:ascii="Arial" w:eastAsia="Times New Roman" w:hAnsi="Arial" w:cs="Arial"/>
                <w:b/>
                <w:bCs/>
                <w:sz w:val="18"/>
                <w:szCs w:val="18"/>
              </w:rPr>
            </w:pPr>
            <w:r w:rsidRPr="001241D5">
              <w:rPr>
                <w:rFonts w:ascii="Arial" w:eastAsia="Times New Roman" w:hAnsi="Arial" w:cs="Arial"/>
                <w:b/>
                <w:bCs/>
                <w:sz w:val="18"/>
                <w:szCs w:val="18"/>
              </w:rPr>
              <w:t>2.76</w:t>
            </w:r>
          </w:p>
        </w:tc>
      </w:tr>
      <w:tr w:rsidR="001241D5" w:rsidRPr="001241D5" w14:paraId="0742C7D3" w14:textId="77777777" w:rsidTr="0073773B">
        <w:trPr>
          <w:trHeight w:val="290"/>
        </w:trPr>
        <w:tc>
          <w:tcPr>
            <w:tcW w:w="1166" w:type="dxa"/>
            <w:tcBorders>
              <w:top w:val="nil"/>
              <w:left w:val="nil"/>
              <w:bottom w:val="nil"/>
              <w:right w:val="nil"/>
            </w:tcBorders>
            <w:shd w:val="clear" w:color="auto" w:fill="auto"/>
            <w:noWrap/>
            <w:vAlign w:val="bottom"/>
            <w:hideMark/>
          </w:tcPr>
          <w:p w14:paraId="176D1BB3" w14:textId="77777777" w:rsidR="001241D5" w:rsidRPr="001241D5" w:rsidRDefault="001241D5" w:rsidP="001241D5">
            <w:pPr>
              <w:spacing w:after="0" w:line="240" w:lineRule="auto"/>
              <w:jc w:val="right"/>
              <w:rPr>
                <w:rFonts w:ascii="Arial" w:eastAsia="Times New Roman" w:hAnsi="Arial" w:cs="Arial"/>
                <w:b/>
                <w:bCs/>
                <w:sz w:val="18"/>
                <w:szCs w:val="18"/>
              </w:rPr>
            </w:pPr>
          </w:p>
        </w:tc>
        <w:tc>
          <w:tcPr>
            <w:tcW w:w="1569" w:type="dxa"/>
            <w:tcBorders>
              <w:top w:val="nil"/>
              <w:left w:val="nil"/>
              <w:bottom w:val="nil"/>
              <w:right w:val="nil"/>
            </w:tcBorders>
            <w:shd w:val="clear" w:color="auto" w:fill="auto"/>
            <w:noWrap/>
            <w:vAlign w:val="bottom"/>
            <w:hideMark/>
          </w:tcPr>
          <w:p w14:paraId="4FCC5414"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510" w:type="dxa"/>
            <w:tcBorders>
              <w:top w:val="nil"/>
              <w:left w:val="nil"/>
              <w:bottom w:val="nil"/>
              <w:right w:val="nil"/>
            </w:tcBorders>
            <w:shd w:val="clear" w:color="auto" w:fill="auto"/>
            <w:noWrap/>
            <w:vAlign w:val="bottom"/>
            <w:hideMark/>
          </w:tcPr>
          <w:p w14:paraId="6CC269FD"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7969103C"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804" w:type="dxa"/>
            <w:tcBorders>
              <w:top w:val="nil"/>
              <w:left w:val="nil"/>
              <w:bottom w:val="nil"/>
              <w:right w:val="nil"/>
            </w:tcBorders>
            <w:shd w:val="clear" w:color="auto" w:fill="auto"/>
            <w:noWrap/>
            <w:vAlign w:val="bottom"/>
            <w:hideMark/>
          </w:tcPr>
          <w:p w14:paraId="4EA0BB6B" w14:textId="77777777" w:rsidR="001241D5" w:rsidRPr="001241D5" w:rsidRDefault="001241D5" w:rsidP="001241D5">
            <w:pPr>
              <w:spacing w:after="0" w:line="240" w:lineRule="auto"/>
              <w:rPr>
                <w:rFonts w:ascii="Times New Roman" w:eastAsia="Times New Roman" w:hAnsi="Times New Roman" w:cs="Times New Roman"/>
                <w:sz w:val="20"/>
                <w:szCs w:val="20"/>
              </w:rPr>
            </w:pPr>
          </w:p>
        </w:tc>
      </w:tr>
      <w:tr w:rsidR="001241D5" w:rsidRPr="001241D5" w14:paraId="30984EA2" w14:textId="77777777" w:rsidTr="0073773B">
        <w:trPr>
          <w:trHeight w:val="290"/>
        </w:trPr>
        <w:tc>
          <w:tcPr>
            <w:tcW w:w="1166" w:type="dxa"/>
            <w:tcBorders>
              <w:top w:val="nil"/>
              <w:left w:val="nil"/>
              <w:bottom w:val="nil"/>
              <w:right w:val="nil"/>
            </w:tcBorders>
            <w:shd w:val="clear" w:color="auto" w:fill="auto"/>
            <w:noWrap/>
            <w:vAlign w:val="bottom"/>
            <w:hideMark/>
          </w:tcPr>
          <w:p w14:paraId="27F895DD"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569" w:type="dxa"/>
            <w:tcBorders>
              <w:top w:val="nil"/>
              <w:left w:val="nil"/>
              <w:bottom w:val="nil"/>
              <w:right w:val="nil"/>
            </w:tcBorders>
            <w:shd w:val="clear" w:color="auto" w:fill="auto"/>
            <w:noWrap/>
            <w:vAlign w:val="bottom"/>
            <w:hideMark/>
          </w:tcPr>
          <w:p w14:paraId="0699F935"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510" w:type="dxa"/>
            <w:tcBorders>
              <w:top w:val="nil"/>
              <w:left w:val="nil"/>
              <w:bottom w:val="nil"/>
              <w:right w:val="nil"/>
            </w:tcBorders>
            <w:shd w:val="clear" w:color="auto" w:fill="auto"/>
            <w:noWrap/>
            <w:vAlign w:val="bottom"/>
            <w:hideMark/>
          </w:tcPr>
          <w:p w14:paraId="5BFA2963"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2712B194" w14:textId="77777777" w:rsidR="001241D5" w:rsidRPr="001241D5" w:rsidRDefault="001241D5" w:rsidP="001241D5">
            <w:pPr>
              <w:spacing w:after="0" w:line="240" w:lineRule="auto"/>
              <w:rPr>
                <w:rFonts w:ascii="Times New Roman" w:eastAsia="Times New Roman" w:hAnsi="Times New Roman" w:cs="Times New Roman"/>
                <w:sz w:val="20"/>
                <w:szCs w:val="20"/>
              </w:rPr>
            </w:pPr>
          </w:p>
        </w:tc>
        <w:tc>
          <w:tcPr>
            <w:tcW w:w="1804" w:type="dxa"/>
            <w:tcBorders>
              <w:top w:val="nil"/>
              <w:left w:val="nil"/>
              <w:bottom w:val="nil"/>
              <w:right w:val="nil"/>
            </w:tcBorders>
            <w:shd w:val="clear" w:color="auto" w:fill="auto"/>
            <w:noWrap/>
            <w:vAlign w:val="bottom"/>
            <w:hideMark/>
          </w:tcPr>
          <w:p w14:paraId="133342DA" w14:textId="77777777" w:rsidR="001241D5" w:rsidRPr="001241D5" w:rsidRDefault="001241D5" w:rsidP="001241D5">
            <w:pPr>
              <w:spacing w:after="0" w:line="240" w:lineRule="auto"/>
              <w:rPr>
                <w:rFonts w:ascii="Times New Roman" w:eastAsia="Times New Roman" w:hAnsi="Times New Roman" w:cs="Times New Roman"/>
                <w:sz w:val="20"/>
                <w:szCs w:val="20"/>
              </w:rPr>
            </w:pPr>
          </w:p>
        </w:tc>
      </w:tr>
      <w:tr w:rsidR="001241D5" w:rsidRPr="001241D5" w14:paraId="4261BA92" w14:textId="77777777" w:rsidTr="0073773B">
        <w:trPr>
          <w:trHeight w:val="290"/>
        </w:trPr>
        <w:tc>
          <w:tcPr>
            <w:tcW w:w="7349" w:type="dxa"/>
            <w:gridSpan w:val="5"/>
            <w:tcBorders>
              <w:top w:val="nil"/>
              <w:left w:val="nil"/>
              <w:bottom w:val="nil"/>
              <w:right w:val="nil"/>
            </w:tcBorders>
            <w:shd w:val="clear" w:color="auto" w:fill="auto"/>
            <w:noWrap/>
            <w:vAlign w:val="bottom"/>
            <w:hideMark/>
          </w:tcPr>
          <w:p w14:paraId="5E0D617C" w14:textId="77777777" w:rsidR="001241D5" w:rsidRPr="001241D5" w:rsidRDefault="001241D5" w:rsidP="001241D5">
            <w:pPr>
              <w:spacing w:after="0" w:line="240" w:lineRule="auto"/>
              <w:rPr>
                <w:rFonts w:ascii="Calibri" w:eastAsia="Times New Roman" w:hAnsi="Calibri" w:cs="Calibri"/>
              </w:rPr>
            </w:pPr>
            <w:r w:rsidRPr="001241D5">
              <w:rPr>
                <w:rFonts w:ascii="Calibri" w:eastAsia="Times New Roman" w:hAnsi="Calibri" w:cs="Calibri"/>
              </w:rPr>
              <w:t>*Information is Filtered by A80, Bering Sea only, Mar-May, and Target Species YFS</w:t>
            </w:r>
          </w:p>
        </w:tc>
      </w:tr>
      <w:tr w:rsidR="001241D5" w:rsidRPr="001241D5" w14:paraId="46E556C7" w14:textId="77777777" w:rsidTr="0073773B">
        <w:trPr>
          <w:trHeight w:val="290"/>
        </w:trPr>
        <w:tc>
          <w:tcPr>
            <w:tcW w:w="5545" w:type="dxa"/>
            <w:gridSpan w:val="4"/>
            <w:tcBorders>
              <w:top w:val="nil"/>
              <w:left w:val="nil"/>
              <w:bottom w:val="nil"/>
              <w:right w:val="nil"/>
            </w:tcBorders>
            <w:shd w:val="clear" w:color="auto" w:fill="auto"/>
            <w:noWrap/>
            <w:vAlign w:val="bottom"/>
            <w:hideMark/>
          </w:tcPr>
          <w:p w14:paraId="7FD24AEF" w14:textId="197B1A91" w:rsidR="001241D5" w:rsidRDefault="001241D5" w:rsidP="001241D5">
            <w:pPr>
              <w:spacing w:after="0" w:line="240" w:lineRule="auto"/>
              <w:rPr>
                <w:rFonts w:ascii="Calibri" w:eastAsia="Times New Roman" w:hAnsi="Calibri" w:cs="Calibri"/>
              </w:rPr>
            </w:pPr>
            <w:r w:rsidRPr="001241D5">
              <w:rPr>
                <w:rFonts w:ascii="Calibri" w:eastAsia="Times New Roman" w:hAnsi="Calibri" w:cs="Calibri"/>
              </w:rPr>
              <w:t xml:space="preserve">YFS CPUE: Yellowfin sole </w:t>
            </w:r>
            <w:r w:rsidR="00E623D9">
              <w:rPr>
                <w:rFonts w:ascii="Calibri" w:eastAsia="Times New Roman" w:hAnsi="Calibri" w:cs="Calibri"/>
              </w:rPr>
              <w:t>m</w:t>
            </w:r>
            <w:r w:rsidRPr="001241D5">
              <w:rPr>
                <w:rFonts w:ascii="Calibri" w:eastAsia="Times New Roman" w:hAnsi="Calibri" w:cs="Calibri"/>
              </w:rPr>
              <w:t>t/</w:t>
            </w:r>
            <w:proofErr w:type="spellStart"/>
            <w:r w:rsidR="00E623D9">
              <w:rPr>
                <w:rFonts w:ascii="Calibri" w:eastAsia="Times New Roman" w:hAnsi="Calibri" w:cs="Calibri"/>
              </w:rPr>
              <w:t>hr</w:t>
            </w:r>
            <w:proofErr w:type="spellEnd"/>
          </w:p>
          <w:p w14:paraId="05BD5930" w14:textId="5615A0F5" w:rsidR="0073773B" w:rsidRDefault="0073773B" w:rsidP="001241D5">
            <w:pPr>
              <w:spacing w:after="0" w:line="240" w:lineRule="auto"/>
              <w:rPr>
                <w:rFonts w:ascii="Calibri" w:eastAsia="Times New Roman" w:hAnsi="Calibri" w:cs="Calibri"/>
              </w:rPr>
            </w:pPr>
          </w:p>
          <w:p w14:paraId="16CCAD53" w14:textId="45220638" w:rsidR="00023885" w:rsidRDefault="00023885" w:rsidP="001241D5">
            <w:pPr>
              <w:spacing w:after="0" w:line="240" w:lineRule="auto"/>
              <w:rPr>
                <w:rFonts w:ascii="Calibri" w:eastAsia="Times New Roman" w:hAnsi="Calibri" w:cs="Calibri"/>
              </w:rPr>
            </w:pPr>
          </w:p>
          <w:p w14:paraId="45556D9B" w14:textId="795AB649" w:rsidR="00023885" w:rsidRDefault="00023885" w:rsidP="001241D5">
            <w:pPr>
              <w:spacing w:after="0" w:line="240" w:lineRule="auto"/>
              <w:rPr>
                <w:rFonts w:ascii="Calibri" w:eastAsia="Times New Roman" w:hAnsi="Calibri" w:cs="Calibri"/>
              </w:rPr>
            </w:pPr>
          </w:p>
          <w:p w14:paraId="28100CB3" w14:textId="0AC40460" w:rsidR="00023885" w:rsidRDefault="00023885" w:rsidP="001241D5">
            <w:pPr>
              <w:spacing w:after="0" w:line="240" w:lineRule="auto"/>
              <w:rPr>
                <w:rFonts w:ascii="Calibri" w:eastAsia="Times New Roman" w:hAnsi="Calibri" w:cs="Calibri"/>
              </w:rPr>
            </w:pPr>
          </w:p>
          <w:p w14:paraId="1CE88615" w14:textId="1F6C97BE" w:rsidR="00023885" w:rsidRDefault="00023885" w:rsidP="001241D5">
            <w:pPr>
              <w:spacing w:after="0" w:line="240" w:lineRule="auto"/>
              <w:rPr>
                <w:rFonts w:ascii="Calibri" w:eastAsia="Times New Roman" w:hAnsi="Calibri" w:cs="Calibri"/>
              </w:rPr>
            </w:pPr>
          </w:p>
          <w:p w14:paraId="24060BC6" w14:textId="16FE63CE" w:rsidR="00023885" w:rsidRDefault="00023885" w:rsidP="001241D5">
            <w:pPr>
              <w:spacing w:after="0" w:line="240" w:lineRule="auto"/>
              <w:rPr>
                <w:rFonts w:ascii="Calibri" w:eastAsia="Times New Roman" w:hAnsi="Calibri" w:cs="Calibri"/>
              </w:rPr>
            </w:pPr>
          </w:p>
          <w:p w14:paraId="38478424" w14:textId="2AA53CA9" w:rsidR="00023885" w:rsidRDefault="00023885" w:rsidP="001241D5">
            <w:pPr>
              <w:spacing w:after="0" w:line="240" w:lineRule="auto"/>
              <w:rPr>
                <w:rFonts w:ascii="Calibri" w:eastAsia="Times New Roman" w:hAnsi="Calibri" w:cs="Calibri"/>
              </w:rPr>
            </w:pPr>
          </w:p>
          <w:p w14:paraId="2014E23C" w14:textId="5C37CC2C" w:rsidR="00023885" w:rsidRDefault="00023885" w:rsidP="001241D5">
            <w:pPr>
              <w:spacing w:after="0" w:line="240" w:lineRule="auto"/>
              <w:rPr>
                <w:rFonts w:ascii="Calibri" w:eastAsia="Times New Roman" w:hAnsi="Calibri" w:cs="Calibri"/>
              </w:rPr>
            </w:pPr>
          </w:p>
          <w:p w14:paraId="63A08C8C" w14:textId="213CCB86" w:rsidR="00023885" w:rsidRDefault="00023885" w:rsidP="001241D5">
            <w:pPr>
              <w:spacing w:after="0" w:line="240" w:lineRule="auto"/>
              <w:rPr>
                <w:rFonts w:ascii="Calibri" w:eastAsia="Times New Roman" w:hAnsi="Calibri" w:cs="Calibri"/>
              </w:rPr>
            </w:pPr>
          </w:p>
          <w:p w14:paraId="3458A667" w14:textId="47F48546" w:rsidR="00023885" w:rsidRDefault="00023885" w:rsidP="001241D5">
            <w:pPr>
              <w:spacing w:after="0" w:line="240" w:lineRule="auto"/>
              <w:rPr>
                <w:rFonts w:ascii="Calibri" w:eastAsia="Times New Roman" w:hAnsi="Calibri" w:cs="Calibri"/>
              </w:rPr>
            </w:pPr>
          </w:p>
          <w:p w14:paraId="0AA9AFB1" w14:textId="2AC5C3F0" w:rsidR="00023885" w:rsidRDefault="00023885" w:rsidP="001241D5">
            <w:pPr>
              <w:spacing w:after="0" w:line="240" w:lineRule="auto"/>
              <w:rPr>
                <w:rFonts w:ascii="Calibri" w:eastAsia="Times New Roman" w:hAnsi="Calibri" w:cs="Calibri"/>
              </w:rPr>
            </w:pPr>
          </w:p>
          <w:p w14:paraId="7FFA8F39" w14:textId="4A557105" w:rsidR="00023885" w:rsidRDefault="00023885" w:rsidP="001241D5">
            <w:pPr>
              <w:spacing w:after="0" w:line="240" w:lineRule="auto"/>
              <w:rPr>
                <w:rFonts w:ascii="Calibri" w:eastAsia="Times New Roman" w:hAnsi="Calibri" w:cs="Calibri"/>
              </w:rPr>
            </w:pPr>
          </w:p>
          <w:p w14:paraId="4ADDBBA3" w14:textId="3774287E" w:rsidR="00023885" w:rsidRDefault="00023885" w:rsidP="001241D5">
            <w:pPr>
              <w:spacing w:after="0" w:line="240" w:lineRule="auto"/>
              <w:rPr>
                <w:rFonts w:ascii="Calibri" w:eastAsia="Times New Roman" w:hAnsi="Calibri" w:cs="Calibri"/>
              </w:rPr>
            </w:pPr>
          </w:p>
          <w:p w14:paraId="7E42402A" w14:textId="77777777" w:rsidR="00023885" w:rsidRDefault="00023885" w:rsidP="001241D5">
            <w:pPr>
              <w:spacing w:after="0" w:line="240" w:lineRule="auto"/>
              <w:rPr>
                <w:rFonts w:ascii="Calibri" w:eastAsia="Times New Roman" w:hAnsi="Calibri" w:cs="Calibri"/>
              </w:rPr>
            </w:pPr>
          </w:p>
          <w:p w14:paraId="0F7C4F0D" w14:textId="2044CA11" w:rsidR="0073773B" w:rsidRDefault="0073773B" w:rsidP="001241D5">
            <w:pPr>
              <w:spacing w:after="0" w:line="240" w:lineRule="auto"/>
              <w:rPr>
                <w:rFonts w:ascii="Calibri" w:eastAsia="Times New Roman" w:hAnsi="Calibri" w:cs="Calibri"/>
              </w:rPr>
            </w:pPr>
            <w:r>
              <w:rPr>
                <w:rFonts w:ascii="Calibri" w:eastAsia="Times New Roman" w:hAnsi="Calibri" w:cs="Calibri"/>
              </w:rPr>
              <w:t xml:space="preserve">Figure 2. Annual YFS Amendment 80 </w:t>
            </w:r>
            <w:r w:rsidR="001F3012">
              <w:rPr>
                <w:rFonts w:ascii="Calibri" w:eastAsia="Times New Roman" w:hAnsi="Calibri" w:cs="Calibri"/>
              </w:rPr>
              <w:t xml:space="preserve">catch </w:t>
            </w:r>
            <w:r>
              <w:rPr>
                <w:rFonts w:ascii="Calibri" w:eastAsia="Times New Roman" w:hAnsi="Calibri" w:cs="Calibri"/>
              </w:rPr>
              <w:t>data 2010-2020</w:t>
            </w:r>
          </w:p>
          <w:p w14:paraId="40671B1F" w14:textId="77777777" w:rsidR="0073773B" w:rsidRDefault="0073773B" w:rsidP="001241D5">
            <w:pPr>
              <w:spacing w:after="0" w:line="240" w:lineRule="auto"/>
              <w:rPr>
                <w:rFonts w:ascii="Calibri" w:eastAsia="Times New Roman" w:hAnsi="Calibri" w:cs="Calibri"/>
              </w:rPr>
            </w:pPr>
          </w:p>
          <w:tbl>
            <w:tblPr>
              <w:tblW w:w="7575" w:type="dxa"/>
              <w:tblLook w:val="04A0" w:firstRow="1" w:lastRow="0" w:firstColumn="1" w:lastColumn="0" w:noHBand="0" w:noVBand="1"/>
            </w:tblPr>
            <w:tblGrid>
              <w:gridCol w:w="1297"/>
              <w:gridCol w:w="1744"/>
              <w:gridCol w:w="1530"/>
              <w:gridCol w:w="1446"/>
              <w:gridCol w:w="1558"/>
            </w:tblGrid>
            <w:tr w:rsidR="0073773B" w:rsidRPr="0073773B" w14:paraId="1ED46633" w14:textId="77777777" w:rsidTr="0073773B">
              <w:trPr>
                <w:trHeight w:val="940"/>
              </w:trPr>
              <w:tc>
                <w:tcPr>
                  <w:tcW w:w="1297" w:type="dxa"/>
                  <w:tcBorders>
                    <w:top w:val="single" w:sz="4" w:space="0" w:color="auto"/>
                    <w:left w:val="single" w:sz="4" w:space="0" w:color="auto"/>
                    <w:bottom w:val="nil"/>
                    <w:right w:val="nil"/>
                  </w:tcBorders>
                  <w:shd w:val="clear" w:color="auto" w:fill="auto"/>
                  <w:vAlign w:val="bottom"/>
                  <w:hideMark/>
                </w:tcPr>
                <w:p w14:paraId="14D82FF7" w14:textId="77777777" w:rsidR="0073773B" w:rsidRPr="0073773B" w:rsidRDefault="0073773B" w:rsidP="0073773B">
                  <w:pPr>
                    <w:spacing w:after="0" w:line="240" w:lineRule="auto"/>
                    <w:rPr>
                      <w:rFonts w:ascii="Arial" w:eastAsia="Times New Roman" w:hAnsi="Arial" w:cs="Arial"/>
                      <w:color w:val="333333"/>
                      <w:sz w:val="18"/>
                      <w:szCs w:val="18"/>
                    </w:rPr>
                  </w:pPr>
                  <w:r w:rsidRPr="0073773B">
                    <w:rPr>
                      <w:rFonts w:ascii="Arial" w:eastAsia="Times New Roman" w:hAnsi="Arial" w:cs="Arial"/>
                      <w:color w:val="333333"/>
                      <w:sz w:val="18"/>
                      <w:szCs w:val="18"/>
                    </w:rPr>
                    <w:t>Year</w:t>
                  </w:r>
                </w:p>
              </w:tc>
              <w:tc>
                <w:tcPr>
                  <w:tcW w:w="1744" w:type="dxa"/>
                  <w:tcBorders>
                    <w:top w:val="single" w:sz="4" w:space="0" w:color="auto"/>
                    <w:left w:val="nil"/>
                    <w:bottom w:val="nil"/>
                    <w:right w:val="nil"/>
                  </w:tcBorders>
                  <w:shd w:val="clear" w:color="auto" w:fill="auto"/>
                  <w:vAlign w:val="bottom"/>
                  <w:hideMark/>
                </w:tcPr>
                <w:p w14:paraId="44B4D3CC" w14:textId="77777777" w:rsidR="0073773B" w:rsidRPr="0073773B" w:rsidRDefault="0073773B" w:rsidP="0073773B">
                  <w:pPr>
                    <w:spacing w:after="0" w:line="240" w:lineRule="auto"/>
                    <w:jc w:val="center"/>
                    <w:rPr>
                      <w:rFonts w:ascii="Arial" w:eastAsia="Times New Roman" w:hAnsi="Arial" w:cs="Arial"/>
                      <w:color w:val="666666"/>
                      <w:sz w:val="18"/>
                      <w:szCs w:val="18"/>
                    </w:rPr>
                  </w:pPr>
                  <w:r w:rsidRPr="0073773B">
                    <w:rPr>
                      <w:rFonts w:ascii="Arial" w:eastAsia="Times New Roman" w:hAnsi="Arial" w:cs="Arial"/>
                      <w:color w:val="666666"/>
                      <w:sz w:val="18"/>
                      <w:szCs w:val="18"/>
                    </w:rPr>
                    <w:t>Groundfish CPUE in YFS (mt/</w:t>
                  </w:r>
                  <w:proofErr w:type="spellStart"/>
                  <w:r w:rsidRPr="0073773B">
                    <w:rPr>
                      <w:rFonts w:ascii="Arial" w:eastAsia="Times New Roman" w:hAnsi="Arial" w:cs="Arial"/>
                      <w:color w:val="666666"/>
                      <w:sz w:val="18"/>
                      <w:szCs w:val="18"/>
                    </w:rPr>
                    <w:t>hr</w:t>
                  </w:r>
                  <w:proofErr w:type="spellEnd"/>
                  <w:r w:rsidRPr="0073773B">
                    <w:rPr>
                      <w:rFonts w:ascii="Arial" w:eastAsia="Times New Roman" w:hAnsi="Arial" w:cs="Arial"/>
                      <w:color w:val="666666"/>
                      <w:sz w:val="18"/>
                      <w:szCs w:val="18"/>
                    </w:rPr>
                    <w:t>)</w:t>
                  </w:r>
                </w:p>
              </w:tc>
              <w:tc>
                <w:tcPr>
                  <w:tcW w:w="1530" w:type="dxa"/>
                  <w:tcBorders>
                    <w:top w:val="single" w:sz="4" w:space="0" w:color="auto"/>
                    <w:left w:val="nil"/>
                    <w:bottom w:val="nil"/>
                    <w:right w:val="single" w:sz="4" w:space="0" w:color="auto"/>
                  </w:tcBorders>
                  <w:shd w:val="clear" w:color="auto" w:fill="auto"/>
                  <w:vAlign w:val="bottom"/>
                  <w:hideMark/>
                </w:tcPr>
                <w:p w14:paraId="682E145F" w14:textId="77777777" w:rsidR="0073773B" w:rsidRPr="0073773B" w:rsidRDefault="0073773B" w:rsidP="0073773B">
                  <w:pPr>
                    <w:spacing w:after="0" w:line="240" w:lineRule="auto"/>
                    <w:jc w:val="center"/>
                    <w:rPr>
                      <w:rFonts w:ascii="Arial" w:eastAsia="Times New Roman" w:hAnsi="Arial" w:cs="Arial"/>
                      <w:color w:val="666666"/>
                      <w:sz w:val="18"/>
                      <w:szCs w:val="18"/>
                    </w:rPr>
                  </w:pPr>
                  <w:r w:rsidRPr="0073773B">
                    <w:rPr>
                      <w:rFonts w:ascii="Arial" w:eastAsia="Times New Roman" w:hAnsi="Arial" w:cs="Arial"/>
                      <w:color w:val="666666"/>
                      <w:sz w:val="18"/>
                      <w:szCs w:val="18"/>
                    </w:rPr>
                    <w:t>YFS ABC</w:t>
                  </w:r>
                </w:p>
              </w:tc>
              <w:tc>
                <w:tcPr>
                  <w:tcW w:w="1446" w:type="dxa"/>
                  <w:tcBorders>
                    <w:top w:val="single" w:sz="4" w:space="0" w:color="auto"/>
                    <w:left w:val="nil"/>
                    <w:bottom w:val="nil"/>
                    <w:right w:val="nil"/>
                  </w:tcBorders>
                  <w:shd w:val="clear" w:color="auto" w:fill="auto"/>
                  <w:vAlign w:val="bottom"/>
                  <w:hideMark/>
                </w:tcPr>
                <w:p w14:paraId="4AD0637E" w14:textId="77777777" w:rsidR="0073773B" w:rsidRPr="0073773B" w:rsidRDefault="0073773B" w:rsidP="0073773B">
                  <w:pPr>
                    <w:spacing w:after="0" w:line="240" w:lineRule="auto"/>
                    <w:jc w:val="center"/>
                    <w:rPr>
                      <w:rFonts w:ascii="Arial" w:eastAsia="Times New Roman" w:hAnsi="Arial" w:cs="Arial"/>
                      <w:color w:val="666666"/>
                      <w:sz w:val="18"/>
                      <w:szCs w:val="18"/>
                    </w:rPr>
                  </w:pPr>
                  <w:r w:rsidRPr="0073773B">
                    <w:rPr>
                      <w:rFonts w:ascii="Arial" w:eastAsia="Times New Roman" w:hAnsi="Arial" w:cs="Arial"/>
                      <w:color w:val="666666"/>
                      <w:sz w:val="18"/>
                      <w:szCs w:val="18"/>
                    </w:rPr>
                    <w:t>Halibut Catch Rate (kg/mt gf)</w:t>
                  </w:r>
                </w:p>
              </w:tc>
              <w:tc>
                <w:tcPr>
                  <w:tcW w:w="1558" w:type="dxa"/>
                  <w:tcBorders>
                    <w:top w:val="single" w:sz="4" w:space="0" w:color="auto"/>
                    <w:left w:val="nil"/>
                    <w:bottom w:val="nil"/>
                    <w:right w:val="nil"/>
                  </w:tcBorders>
                  <w:shd w:val="clear" w:color="auto" w:fill="auto"/>
                  <w:vAlign w:val="bottom"/>
                  <w:hideMark/>
                </w:tcPr>
                <w:p w14:paraId="3785B097" w14:textId="77777777" w:rsidR="0073773B" w:rsidRPr="0073773B" w:rsidRDefault="0073773B" w:rsidP="0073773B">
                  <w:pPr>
                    <w:spacing w:after="0" w:line="240" w:lineRule="auto"/>
                    <w:jc w:val="center"/>
                    <w:rPr>
                      <w:rFonts w:ascii="Arial" w:eastAsia="Times New Roman" w:hAnsi="Arial" w:cs="Arial"/>
                      <w:color w:val="666666"/>
                      <w:sz w:val="18"/>
                      <w:szCs w:val="18"/>
                    </w:rPr>
                  </w:pPr>
                  <w:r w:rsidRPr="0073773B">
                    <w:rPr>
                      <w:rFonts w:ascii="Arial" w:eastAsia="Times New Roman" w:hAnsi="Arial" w:cs="Arial"/>
                      <w:color w:val="666666"/>
                      <w:sz w:val="18"/>
                      <w:szCs w:val="18"/>
                    </w:rPr>
                    <w:t>Halibut Mortality per ton (kg/mt gf)</w:t>
                  </w:r>
                </w:p>
              </w:tc>
            </w:tr>
            <w:tr w:rsidR="0073773B" w:rsidRPr="0073773B" w14:paraId="32DF0A5D" w14:textId="77777777" w:rsidTr="0073773B">
              <w:trPr>
                <w:trHeight w:val="290"/>
              </w:trPr>
              <w:tc>
                <w:tcPr>
                  <w:tcW w:w="1297" w:type="dxa"/>
                  <w:tcBorders>
                    <w:top w:val="nil"/>
                    <w:left w:val="single" w:sz="4" w:space="0" w:color="auto"/>
                    <w:bottom w:val="nil"/>
                    <w:right w:val="nil"/>
                  </w:tcBorders>
                  <w:shd w:val="clear" w:color="auto" w:fill="auto"/>
                  <w:noWrap/>
                  <w:hideMark/>
                </w:tcPr>
                <w:p w14:paraId="55618818"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2010</w:t>
                  </w:r>
                </w:p>
              </w:tc>
              <w:tc>
                <w:tcPr>
                  <w:tcW w:w="1744" w:type="dxa"/>
                  <w:tcBorders>
                    <w:top w:val="nil"/>
                    <w:left w:val="nil"/>
                    <w:bottom w:val="nil"/>
                    <w:right w:val="nil"/>
                  </w:tcBorders>
                  <w:shd w:val="clear" w:color="000000" w:fill="3489B0"/>
                  <w:noWrap/>
                  <w:vAlign w:val="center"/>
                  <w:hideMark/>
                </w:tcPr>
                <w:p w14:paraId="19AEEB32"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9.66</w:t>
                  </w:r>
                </w:p>
              </w:tc>
              <w:tc>
                <w:tcPr>
                  <w:tcW w:w="1530" w:type="dxa"/>
                  <w:tcBorders>
                    <w:top w:val="nil"/>
                    <w:left w:val="nil"/>
                    <w:bottom w:val="nil"/>
                    <w:right w:val="single" w:sz="4" w:space="0" w:color="auto"/>
                  </w:tcBorders>
                  <w:shd w:val="clear" w:color="000000" w:fill="3ACDD1"/>
                  <w:noWrap/>
                  <w:vAlign w:val="center"/>
                  <w:hideMark/>
                </w:tcPr>
                <w:p w14:paraId="668194E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219,000</w:t>
                  </w:r>
                </w:p>
              </w:tc>
              <w:tc>
                <w:tcPr>
                  <w:tcW w:w="1446" w:type="dxa"/>
                  <w:tcBorders>
                    <w:top w:val="nil"/>
                    <w:left w:val="nil"/>
                    <w:bottom w:val="nil"/>
                    <w:right w:val="nil"/>
                  </w:tcBorders>
                  <w:shd w:val="clear" w:color="000000" w:fill="369DBA"/>
                  <w:noWrap/>
                  <w:vAlign w:val="center"/>
                  <w:hideMark/>
                </w:tcPr>
                <w:p w14:paraId="143A8DE2"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8.36</w:t>
                  </w:r>
                </w:p>
              </w:tc>
              <w:tc>
                <w:tcPr>
                  <w:tcW w:w="1558" w:type="dxa"/>
                  <w:tcBorders>
                    <w:top w:val="nil"/>
                    <w:left w:val="nil"/>
                    <w:bottom w:val="nil"/>
                    <w:right w:val="nil"/>
                  </w:tcBorders>
                  <w:shd w:val="clear" w:color="000000" w:fill="38B6C6"/>
                  <w:noWrap/>
                  <w:vAlign w:val="center"/>
                  <w:hideMark/>
                </w:tcPr>
                <w:p w14:paraId="2561C56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6.77</w:t>
                  </w:r>
                </w:p>
              </w:tc>
            </w:tr>
            <w:tr w:rsidR="0073773B" w:rsidRPr="0073773B" w14:paraId="37CCAFA2" w14:textId="77777777" w:rsidTr="0073773B">
              <w:trPr>
                <w:trHeight w:val="290"/>
              </w:trPr>
              <w:tc>
                <w:tcPr>
                  <w:tcW w:w="1297" w:type="dxa"/>
                  <w:tcBorders>
                    <w:top w:val="nil"/>
                    <w:left w:val="single" w:sz="4" w:space="0" w:color="auto"/>
                    <w:bottom w:val="nil"/>
                    <w:right w:val="nil"/>
                  </w:tcBorders>
                  <w:shd w:val="clear" w:color="auto" w:fill="auto"/>
                  <w:noWrap/>
                  <w:hideMark/>
                </w:tcPr>
                <w:p w14:paraId="319D549F"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2011</w:t>
                  </w:r>
                </w:p>
              </w:tc>
              <w:tc>
                <w:tcPr>
                  <w:tcW w:w="1744" w:type="dxa"/>
                  <w:tcBorders>
                    <w:top w:val="nil"/>
                    <w:left w:val="nil"/>
                    <w:bottom w:val="nil"/>
                    <w:right w:val="nil"/>
                  </w:tcBorders>
                  <w:shd w:val="clear" w:color="000000" w:fill="369EBA"/>
                  <w:noWrap/>
                  <w:vAlign w:val="center"/>
                  <w:hideMark/>
                </w:tcPr>
                <w:p w14:paraId="7BC4327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8.33</w:t>
                  </w:r>
                </w:p>
              </w:tc>
              <w:tc>
                <w:tcPr>
                  <w:tcW w:w="1530" w:type="dxa"/>
                  <w:tcBorders>
                    <w:top w:val="nil"/>
                    <w:left w:val="nil"/>
                    <w:bottom w:val="nil"/>
                    <w:right w:val="single" w:sz="4" w:space="0" w:color="auto"/>
                  </w:tcBorders>
                  <w:shd w:val="clear" w:color="000000" w:fill="37ADC2"/>
                  <w:noWrap/>
                  <w:vAlign w:val="center"/>
                  <w:hideMark/>
                </w:tcPr>
                <w:p w14:paraId="30D23111"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239,000</w:t>
                  </w:r>
                </w:p>
              </w:tc>
              <w:tc>
                <w:tcPr>
                  <w:tcW w:w="1446" w:type="dxa"/>
                  <w:tcBorders>
                    <w:top w:val="nil"/>
                    <w:left w:val="nil"/>
                    <w:bottom w:val="nil"/>
                    <w:right w:val="nil"/>
                  </w:tcBorders>
                  <w:shd w:val="clear" w:color="000000" w:fill="38BDCA"/>
                  <w:noWrap/>
                  <w:vAlign w:val="center"/>
                  <w:hideMark/>
                </w:tcPr>
                <w:p w14:paraId="0AB127A1"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6.36</w:t>
                  </w:r>
                </w:p>
              </w:tc>
              <w:tc>
                <w:tcPr>
                  <w:tcW w:w="1558" w:type="dxa"/>
                  <w:tcBorders>
                    <w:top w:val="nil"/>
                    <w:left w:val="nil"/>
                    <w:bottom w:val="nil"/>
                    <w:right w:val="nil"/>
                  </w:tcBorders>
                  <w:shd w:val="clear" w:color="000000" w:fill="3AD0D3"/>
                  <w:noWrap/>
                  <w:vAlign w:val="center"/>
                  <w:hideMark/>
                </w:tcPr>
                <w:p w14:paraId="494A05C8"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5.15</w:t>
                  </w:r>
                </w:p>
              </w:tc>
            </w:tr>
            <w:tr w:rsidR="0073773B" w:rsidRPr="0073773B" w14:paraId="484F9C73" w14:textId="77777777" w:rsidTr="0073773B">
              <w:trPr>
                <w:trHeight w:val="290"/>
              </w:trPr>
              <w:tc>
                <w:tcPr>
                  <w:tcW w:w="1297" w:type="dxa"/>
                  <w:tcBorders>
                    <w:top w:val="nil"/>
                    <w:left w:val="single" w:sz="4" w:space="0" w:color="auto"/>
                    <w:bottom w:val="nil"/>
                    <w:right w:val="nil"/>
                  </w:tcBorders>
                  <w:shd w:val="clear" w:color="auto" w:fill="auto"/>
                  <w:noWrap/>
                  <w:hideMark/>
                </w:tcPr>
                <w:p w14:paraId="427ABBDC"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2012</w:t>
                  </w:r>
                </w:p>
              </w:tc>
              <w:tc>
                <w:tcPr>
                  <w:tcW w:w="1744" w:type="dxa"/>
                  <w:tcBorders>
                    <w:top w:val="nil"/>
                    <w:left w:val="nil"/>
                    <w:bottom w:val="nil"/>
                    <w:right w:val="nil"/>
                  </w:tcBorders>
                  <w:shd w:val="clear" w:color="000000" w:fill="3592B5"/>
                  <w:noWrap/>
                  <w:vAlign w:val="center"/>
                  <w:hideMark/>
                </w:tcPr>
                <w:p w14:paraId="7985B0D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9.07</w:t>
                  </w:r>
                </w:p>
              </w:tc>
              <w:tc>
                <w:tcPr>
                  <w:tcW w:w="1530" w:type="dxa"/>
                  <w:tcBorders>
                    <w:top w:val="nil"/>
                    <w:left w:val="nil"/>
                    <w:bottom w:val="nil"/>
                    <w:right w:val="single" w:sz="4" w:space="0" w:color="auto"/>
                  </w:tcBorders>
                  <w:shd w:val="clear" w:color="000000" w:fill="3BE5DD"/>
                  <w:noWrap/>
                  <w:vAlign w:val="center"/>
                  <w:hideMark/>
                </w:tcPr>
                <w:p w14:paraId="18DF65EE"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203,000</w:t>
                  </w:r>
                </w:p>
              </w:tc>
              <w:tc>
                <w:tcPr>
                  <w:tcW w:w="1446" w:type="dxa"/>
                  <w:tcBorders>
                    <w:top w:val="nil"/>
                    <w:left w:val="nil"/>
                    <w:bottom w:val="nil"/>
                    <w:right w:val="nil"/>
                  </w:tcBorders>
                  <w:shd w:val="clear" w:color="000000" w:fill="38BCC9"/>
                  <w:noWrap/>
                  <w:vAlign w:val="center"/>
                  <w:hideMark/>
                </w:tcPr>
                <w:p w14:paraId="4D562C4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6.44</w:t>
                  </w:r>
                </w:p>
              </w:tc>
              <w:tc>
                <w:tcPr>
                  <w:tcW w:w="1558" w:type="dxa"/>
                  <w:tcBorders>
                    <w:top w:val="nil"/>
                    <w:left w:val="nil"/>
                    <w:bottom w:val="nil"/>
                    <w:right w:val="nil"/>
                  </w:tcBorders>
                  <w:shd w:val="clear" w:color="000000" w:fill="3ACFD2"/>
                  <w:noWrap/>
                  <w:vAlign w:val="center"/>
                  <w:hideMark/>
                </w:tcPr>
                <w:p w14:paraId="7DEEAC2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5.22</w:t>
                  </w:r>
                </w:p>
              </w:tc>
            </w:tr>
            <w:tr w:rsidR="0073773B" w:rsidRPr="0073773B" w14:paraId="05DACD05" w14:textId="77777777" w:rsidTr="0073773B">
              <w:trPr>
                <w:trHeight w:val="290"/>
              </w:trPr>
              <w:tc>
                <w:tcPr>
                  <w:tcW w:w="1297" w:type="dxa"/>
                  <w:tcBorders>
                    <w:top w:val="nil"/>
                    <w:left w:val="single" w:sz="4" w:space="0" w:color="auto"/>
                    <w:bottom w:val="nil"/>
                    <w:right w:val="nil"/>
                  </w:tcBorders>
                  <w:shd w:val="clear" w:color="auto" w:fill="auto"/>
                  <w:noWrap/>
                  <w:hideMark/>
                </w:tcPr>
                <w:p w14:paraId="3131D5D9"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2013</w:t>
                  </w:r>
                </w:p>
              </w:tc>
              <w:tc>
                <w:tcPr>
                  <w:tcW w:w="1744" w:type="dxa"/>
                  <w:tcBorders>
                    <w:top w:val="nil"/>
                    <w:left w:val="nil"/>
                    <w:bottom w:val="nil"/>
                    <w:right w:val="nil"/>
                  </w:tcBorders>
                  <w:shd w:val="clear" w:color="000000" w:fill="3591B4"/>
                  <w:noWrap/>
                  <w:vAlign w:val="center"/>
                  <w:hideMark/>
                </w:tcPr>
                <w:p w14:paraId="5FE5B927"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9.14</w:t>
                  </w:r>
                </w:p>
              </w:tc>
              <w:tc>
                <w:tcPr>
                  <w:tcW w:w="1530" w:type="dxa"/>
                  <w:tcBorders>
                    <w:top w:val="nil"/>
                    <w:left w:val="nil"/>
                    <w:bottom w:val="nil"/>
                    <w:right w:val="single" w:sz="4" w:space="0" w:color="auto"/>
                  </w:tcBorders>
                  <w:shd w:val="clear" w:color="000000" w:fill="3BE1DB"/>
                  <w:noWrap/>
                  <w:vAlign w:val="center"/>
                  <w:hideMark/>
                </w:tcPr>
                <w:p w14:paraId="0AFCE66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206,000</w:t>
                  </w:r>
                </w:p>
              </w:tc>
              <w:tc>
                <w:tcPr>
                  <w:tcW w:w="1446" w:type="dxa"/>
                  <w:tcBorders>
                    <w:top w:val="nil"/>
                    <w:left w:val="nil"/>
                    <w:bottom w:val="nil"/>
                    <w:right w:val="nil"/>
                  </w:tcBorders>
                  <w:shd w:val="clear" w:color="000000" w:fill="37B1C4"/>
                  <w:noWrap/>
                  <w:vAlign w:val="center"/>
                  <w:hideMark/>
                </w:tcPr>
                <w:p w14:paraId="23200A6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7.14</w:t>
                  </w:r>
                </w:p>
              </w:tc>
              <w:tc>
                <w:tcPr>
                  <w:tcW w:w="1558" w:type="dxa"/>
                  <w:tcBorders>
                    <w:top w:val="nil"/>
                    <w:left w:val="nil"/>
                    <w:bottom w:val="nil"/>
                    <w:right w:val="nil"/>
                  </w:tcBorders>
                  <w:shd w:val="clear" w:color="000000" w:fill="39C4CD"/>
                  <w:noWrap/>
                  <w:vAlign w:val="center"/>
                  <w:hideMark/>
                </w:tcPr>
                <w:p w14:paraId="1F3D1852"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5.93</w:t>
                  </w:r>
                </w:p>
              </w:tc>
            </w:tr>
            <w:tr w:rsidR="0073773B" w:rsidRPr="0073773B" w14:paraId="367BECDA" w14:textId="77777777" w:rsidTr="0073773B">
              <w:trPr>
                <w:trHeight w:val="290"/>
              </w:trPr>
              <w:tc>
                <w:tcPr>
                  <w:tcW w:w="1297" w:type="dxa"/>
                  <w:tcBorders>
                    <w:top w:val="nil"/>
                    <w:left w:val="single" w:sz="4" w:space="0" w:color="auto"/>
                    <w:bottom w:val="nil"/>
                    <w:right w:val="nil"/>
                  </w:tcBorders>
                  <w:shd w:val="clear" w:color="auto" w:fill="auto"/>
                  <w:noWrap/>
                  <w:hideMark/>
                </w:tcPr>
                <w:p w14:paraId="35F7FA61"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2014</w:t>
                  </w:r>
                </w:p>
              </w:tc>
              <w:tc>
                <w:tcPr>
                  <w:tcW w:w="1744" w:type="dxa"/>
                  <w:tcBorders>
                    <w:top w:val="nil"/>
                    <w:left w:val="nil"/>
                    <w:bottom w:val="nil"/>
                    <w:right w:val="nil"/>
                  </w:tcBorders>
                  <w:shd w:val="clear" w:color="000000" w:fill="3592B5"/>
                  <w:noWrap/>
                  <w:vAlign w:val="center"/>
                  <w:hideMark/>
                </w:tcPr>
                <w:p w14:paraId="054D329C"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9.10</w:t>
                  </w:r>
                </w:p>
              </w:tc>
              <w:tc>
                <w:tcPr>
                  <w:tcW w:w="1530" w:type="dxa"/>
                  <w:tcBorders>
                    <w:top w:val="nil"/>
                    <w:left w:val="nil"/>
                    <w:bottom w:val="nil"/>
                    <w:right w:val="single" w:sz="4" w:space="0" w:color="auto"/>
                  </w:tcBorders>
                  <w:shd w:val="clear" w:color="000000" w:fill="37ADC2"/>
                  <w:noWrap/>
                  <w:vAlign w:val="center"/>
                  <w:hideMark/>
                </w:tcPr>
                <w:p w14:paraId="7D9B3634"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239,000</w:t>
                  </w:r>
                </w:p>
              </w:tc>
              <w:tc>
                <w:tcPr>
                  <w:tcW w:w="1446" w:type="dxa"/>
                  <w:tcBorders>
                    <w:top w:val="nil"/>
                    <w:left w:val="nil"/>
                    <w:bottom w:val="nil"/>
                    <w:right w:val="nil"/>
                  </w:tcBorders>
                  <w:shd w:val="clear" w:color="000000" w:fill="369FBB"/>
                  <w:noWrap/>
                  <w:vAlign w:val="center"/>
                  <w:hideMark/>
                </w:tcPr>
                <w:p w14:paraId="467B572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8.27</w:t>
                  </w:r>
                </w:p>
              </w:tc>
              <w:tc>
                <w:tcPr>
                  <w:tcW w:w="1558" w:type="dxa"/>
                  <w:tcBorders>
                    <w:top w:val="nil"/>
                    <w:left w:val="nil"/>
                    <w:bottom w:val="nil"/>
                    <w:right w:val="nil"/>
                  </w:tcBorders>
                  <w:shd w:val="clear" w:color="000000" w:fill="38B5C6"/>
                  <w:noWrap/>
                  <w:vAlign w:val="center"/>
                  <w:hideMark/>
                </w:tcPr>
                <w:p w14:paraId="04CC8E4E"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6.87</w:t>
                  </w:r>
                </w:p>
              </w:tc>
            </w:tr>
            <w:tr w:rsidR="0073773B" w:rsidRPr="0073773B" w14:paraId="14F192D7" w14:textId="77777777" w:rsidTr="0073773B">
              <w:trPr>
                <w:trHeight w:val="290"/>
              </w:trPr>
              <w:tc>
                <w:tcPr>
                  <w:tcW w:w="1297" w:type="dxa"/>
                  <w:tcBorders>
                    <w:top w:val="nil"/>
                    <w:left w:val="single" w:sz="4" w:space="0" w:color="auto"/>
                    <w:bottom w:val="nil"/>
                    <w:right w:val="nil"/>
                  </w:tcBorders>
                  <w:shd w:val="clear" w:color="auto" w:fill="auto"/>
                  <w:noWrap/>
                  <w:hideMark/>
                </w:tcPr>
                <w:p w14:paraId="4B3A289B"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2015</w:t>
                  </w:r>
                </w:p>
              </w:tc>
              <w:tc>
                <w:tcPr>
                  <w:tcW w:w="1744" w:type="dxa"/>
                  <w:tcBorders>
                    <w:top w:val="nil"/>
                    <w:left w:val="nil"/>
                    <w:bottom w:val="nil"/>
                    <w:right w:val="nil"/>
                  </w:tcBorders>
                  <w:shd w:val="clear" w:color="000000" w:fill="38B9C8"/>
                  <w:noWrap/>
                  <w:vAlign w:val="center"/>
                  <w:hideMark/>
                </w:tcPr>
                <w:p w14:paraId="1134B21B"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6.59</w:t>
                  </w:r>
                </w:p>
              </w:tc>
              <w:tc>
                <w:tcPr>
                  <w:tcW w:w="1530" w:type="dxa"/>
                  <w:tcBorders>
                    <w:top w:val="nil"/>
                    <w:left w:val="nil"/>
                    <w:bottom w:val="nil"/>
                    <w:right w:val="single" w:sz="4" w:space="0" w:color="auto"/>
                  </w:tcBorders>
                  <w:shd w:val="clear" w:color="000000" w:fill="369FBB"/>
                  <w:noWrap/>
                  <w:vAlign w:val="center"/>
                  <w:hideMark/>
                </w:tcPr>
                <w:p w14:paraId="2DA16996"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248,000</w:t>
                  </w:r>
                </w:p>
              </w:tc>
              <w:tc>
                <w:tcPr>
                  <w:tcW w:w="1446" w:type="dxa"/>
                  <w:tcBorders>
                    <w:top w:val="nil"/>
                    <w:left w:val="nil"/>
                    <w:bottom w:val="nil"/>
                    <w:right w:val="nil"/>
                  </w:tcBorders>
                  <w:shd w:val="clear" w:color="000000" w:fill="3ACCD1"/>
                  <w:noWrap/>
                  <w:vAlign w:val="center"/>
                  <w:hideMark/>
                </w:tcPr>
                <w:p w14:paraId="245C66AD"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5.41</w:t>
                  </w:r>
                </w:p>
              </w:tc>
              <w:tc>
                <w:tcPr>
                  <w:tcW w:w="1558" w:type="dxa"/>
                  <w:tcBorders>
                    <w:top w:val="nil"/>
                    <w:left w:val="nil"/>
                    <w:bottom w:val="nil"/>
                    <w:right w:val="nil"/>
                  </w:tcBorders>
                  <w:shd w:val="clear" w:color="000000" w:fill="3ACDD2"/>
                  <w:noWrap/>
                  <w:vAlign w:val="center"/>
                  <w:hideMark/>
                </w:tcPr>
                <w:p w14:paraId="07DBC3C2"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5.33</w:t>
                  </w:r>
                </w:p>
              </w:tc>
            </w:tr>
            <w:tr w:rsidR="0073773B" w:rsidRPr="0073773B" w14:paraId="19C4473A" w14:textId="77777777" w:rsidTr="0073773B">
              <w:trPr>
                <w:trHeight w:val="290"/>
              </w:trPr>
              <w:tc>
                <w:tcPr>
                  <w:tcW w:w="1297" w:type="dxa"/>
                  <w:tcBorders>
                    <w:top w:val="nil"/>
                    <w:left w:val="single" w:sz="4" w:space="0" w:color="auto"/>
                    <w:bottom w:val="nil"/>
                    <w:right w:val="nil"/>
                  </w:tcBorders>
                  <w:shd w:val="clear" w:color="auto" w:fill="auto"/>
                  <w:noWrap/>
                  <w:hideMark/>
                </w:tcPr>
                <w:p w14:paraId="129AFFC6"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2016</w:t>
                  </w:r>
                </w:p>
              </w:tc>
              <w:tc>
                <w:tcPr>
                  <w:tcW w:w="1744" w:type="dxa"/>
                  <w:tcBorders>
                    <w:top w:val="nil"/>
                    <w:left w:val="nil"/>
                    <w:bottom w:val="nil"/>
                    <w:right w:val="nil"/>
                  </w:tcBorders>
                  <w:shd w:val="clear" w:color="000000" w:fill="39C8CF"/>
                  <w:noWrap/>
                  <w:vAlign w:val="center"/>
                  <w:hideMark/>
                </w:tcPr>
                <w:p w14:paraId="5F531536"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5.67</w:t>
                  </w:r>
                </w:p>
              </w:tc>
              <w:tc>
                <w:tcPr>
                  <w:tcW w:w="1530" w:type="dxa"/>
                  <w:tcBorders>
                    <w:top w:val="nil"/>
                    <w:left w:val="nil"/>
                    <w:bottom w:val="nil"/>
                    <w:right w:val="single" w:sz="4" w:space="0" w:color="auto"/>
                  </w:tcBorders>
                  <w:shd w:val="clear" w:color="000000" w:fill="3BD9D7"/>
                  <w:noWrap/>
                  <w:vAlign w:val="center"/>
                  <w:hideMark/>
                </w:tcPr>
                <w:p w14:paraId="1161A0FF"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211,000</w:t>
                  </w:r>
                </w:p>
              </w:tc>
              <w:tc>
                <w:tcPr>
                  <w:tcW w:w="1446" w:type="dxa"/>
                  <w:tcBorders>
                    <w:top w:val="nil"/>
                    <w:left w:val="nil"/>
                    <w:bottom w:val="nil"/>
                    <w:right w:val="nil"/>
                  </w:tcBorders>
                  <w:shd w:val="clear" w:color="000000" w:fill="38B6C6"/>
                  <w:noWrap/>
                  <w:vAlign w:val="center"/>
                  <w:hideMark/>
                </w:tcPr>
                <w:p w14:paraId="696A0B16"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6.81</w:t>
                  </w:r>
                </w:p>
              </w:tc>
              <w:tc>
                <w:tcPr>
                  <w:tcW w:w="1558" w:type="dxa"/>
                  <w:tcBorders>
                    <w:top w:val="nil"/>
                    <w:left w:val="nil"/>
                    <w:bottom w:val="nil"/>
                    <w:right w:val="nil"/>
                  </w:tcBorders>
                  <w:shd w:val="clear" w:color="000000" w:fill="3AD8D7"/>
                  <w:noWrap/>
                  <w:vAlign w:val="center"/>
                  <w:hideMark/>
                </w:tcPr>
                <w:p w14:paraId="24382A87"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4.67</w:t>
                  </w:r>
                </w:p>
              </w:tc>
            </w:tr>
            <w:tr w:rsidR="0073773B" w:rsidRPr="0073773B" w14:paraId="76104408" w14:textId="77777777" w:rsidTr="0073773B">
              <w:trPr>
                <w:trHeight w:val="290"/>
              </w:trPr>
              <w:tc>
                <w:tcPr>
                  <w:tcW w:w="1297" w:type="dxa"/>
                  <w:tcBorders>
                    <w:top w:val="nil"/>
                    <w:left w:val="single" w:sz="4" w:space="0" w:color="auto"/>
                    <w:bottom w:val="nil"/>
                    <w:right w:val="nil"/>
                  </w:tcBorders>
                  <w:shd w:val="clear" w:color="auto" w:fill="auto"/>
                  <w:noWrap/>
                  <w:hideMark/>
                </w:tcPr>
                <w:p w14:paraId="19ED28CE"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2017</w:t>
                  </w:r>
                </w:p>
              </w:tc>
              <w:tc>
                <w:tcPr>
                  <w:tcW w:w="1744" w:type="dxa"/>
                  <w:tcBorders>
                    <w:top w:val="nil"/>
                    <w:left w:val="nil"/>
                    <w:bottom w:val="nil"/>
                    <w:right w:val="nil"/>
                  </w:tcBorders>
                  <w:shd w:val="clear" w:color="000000" w:fill="39C0CB"/>
                  <w:noWrap/>
                  <w:vAlign w:val="center"/>
                  <w:hideMark/>
                </w:tcPr>
                <w:p w14:paraId="3A432B2C"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6.15</w:t>
                  </w:r>
                </w:p>
              </w:tc>
              <w:tc>
                <w:tcPr>
                  <w:tcW w:w="1530" w:type="dxa"/>
                  <w:tcBorders>
                    <w:top w:val="nil"/>
                    <w:left w:val="nil"/>
                    <w:bottom w:val="nil"/>
                    <w:right w:val="single" w:sz="4" w:space="0" w:color="auto"/>
                  </w:tcBorders>
                  <w:shd w:val="clear" w:color="000000" w:fill="358DB2"/>
                  <w:noWrap/>
                  <w:vAlign w:val="center"/>
                  <w:hideMark/>
                </w:tcPr>
                <w:p w14:paraId="3DDC03A3"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260,000</w:t>
                  </w:r>
                </w:p>
              </w:tc>
              <w:tc>
                <w:tcPr>
                  <w:tcW w:w="1446" w:type="dxa"/>
                  <w:tcBorders>
                    <w:top w:val="nil"/>
                    <w:left w:val="nil"/>
                    <w:bottom w:val="nil"/>
                    <w:right w:val="nil"/>
                  </w:tcBorders>
                  <w:shd w:val="clear" w:color="000000" w:fill="37AEC2"/>
                  <w:noWrap/>
                  <w:vAlign w:val="center"/>
                  <w:hideMark/>
                </w:tcPr>
                <w:p w14:paraId="3C845716"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7.29</w:t>
                  </w:r>
                </w:p>
              </w:tc>
              <w:tc>
                <w:tcPr>
                  <w:tcW w:w="1558" w:type="dxa"/>
                  <w:tcBorders>
                    <w:top w:val="nil"/>
                    <w:left w:val="nil"/>
                    <w:bottom w:val="nil"/>
                    <w:right w:val="nil"/>
                  </w:tcBorders>
                  <w:shd w:val="clear" w:color="000000" w:fill="3BD9D8"/>
                  <w:noWrap/>
                  <w:vAlign w:val="center"/>
                  <w:hideMark/>
                </w:tcPr>
                <w:p w14:paraId="3C0DBCC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4.56</w:t>
                  </w:r>
                </w:p>
              </w:tc>
            </w:tr>
            <w:tr w:rsidR="0073773B" w:rsidRPr="0073773B" w14:paraId="1AF1EB2F" w14:textId="77777777" w:rsidTr="0073773B">
              <w:trPr>
                <w:trHeight w:val="290"/>
              </w:trPr>
              <w:tc>
                <w:tcPr>
                  <w:tcW w:w="1297" w:type="dxa"/>
                  <w:tcBorders>
                    <w:top w:val="nil"/>
                    <w:left w:val="single" w:sz="4" w:space="0" w:color="auto"/>
                    <w:bottom w:val="nil"/>
                    <w:right w:val="nil"/>
                  </w:tcBorders>
                  <w:shd w:val="clear" w:color="auto" w:fill="auto"/>
                  <w:noWrap/>
                  <w:hideMark/>
                </w:tcPr>
                <w:p w14:paraId="690EDF04"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2018</w:t>
                  </w:r>
                </w:p>
              </w:tc>
              <w:tc>
                <w:tcPr>
                  <w:tcW w:w="1744" w:type="dxa"/>
                  <w:tcBorders>
                    <w:top w:val="nil"/>
                    <w:left w:val="nil"/>
                    <w:bottom w:val="nil"/>
                    <w:right w:val="nil"/>
                  </w:tcBorders>
                  <w:shd w:val="clear" w:color="000000" w:fill="3ACCD1"/>
                  <w:noWrap/>
                  <w:vAlign w:val="center"/>
                  <w:hideMark/>
                </w:tcPr>
                <w:p w14:paraId="7A8E7CE2"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5.42</w:t>
                  </w:r>
                </w:p>
              </w:tc>
              <w:tc>
                <w:tcPr>
                  <w:tcW w:w="1530" w:type="dxa"/>
                  <w:tcBorders>
                    <w:top w:val="nil"/>
                    <w:left w:val="nil"/>
                    <w:bottom w:val="nil"/>
                    <w:right w:val="single" w:sz="4" w:space="0" w:color="auto"/>
                  </w:tcBorders>
                  <w:shd w:val="clear" w:color="000000" w:fill="3372A5"/>
                  <w:noWrap/>
                  <w:vAlign w:val="center"/>
                  <w:hideMark/>
                </w:tcPr>
                <w:p w14:paraId="4759E18A"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277,000</w:t>
                  </w:r>
                </w:p>
              </w:tc>
              <w:tc>
                <w:tcPr>
                  <w:tcW w:w="1446" w:type="dxa"/>
                  <w:tcBorders>
                    <w:top w:val="nil"/>
                    <w:left w:val="nil"/>
                    <w:bottom w:val="nil"/>
                    <w:right w:val="nil"/>
                  </w:tcBorders>
                  <w:shd w:val="clear" w:color="000000" w:fill="3486AF"/>
                  <w:noWrap/>
                  <w:vAlign w:val="center"/>
                  <w:hideMark/>
                </w:tcPr>
                <w:p w14:paraId="5E2E334A"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9.85</w:t>
                  </w:r>
                </w:p>
              </w:tc>
              <w:tc>
                <w:tcPr>
                  <w:tcW w:w="1558" w:type="dxa"/>
                  <w:tcBorders>
                    <w:top w:val="nil"/>
                    <w:left w:val="nil"/>
                    <w:bottom w:val="nil"/>
                    <w:right w:val="nil"/>
                  </w:tcBorders>
                  <w:shd w:val="clear" w:color="000000" w:fill="3ACFD3"/>
                  <w:noWrap/>
                  <w:vAlign w:val="center"/>
                  <w:hideMark/>
                </w:tcPr>
                <w:p w14:paraId="2D7274A7"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5.20</w:t>
                  </w:r>
                </w:p>
              </w:tc>
            </w:tr>
            <w:tr w:rsidR="0073773B" w:rsidRPr="0073773B" w14:paraId="3BD03884" w14:textId="77777777" w:rsidTr="0073773B">
              <w:trPr>
                <w:trHeight w:val="290"/>
              </w:trPr>
              <w:tc>
                <w:tcPr>
                  <w:tcW w:w="1297" w:type="dxa"/>
                  <w:tcBorders>
                    <w:top w:val="nil"/>
                    <w:left w:val="single" w:sz="4" w:space="0" w:color="auto"/>
                    <w:bottom w:val="nil"/>
                    <w:right w:val="nil"/>
                  </w:tcBorders>
                  <w:shd w:val="clear" w:color="auto" w:fill="auto"/>
                  <w:noWrap/>
                  <w:hideMark/>
                </w:tcPr>
                <w:p w14:paraId="4DD82C9C"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2019</w:t>
                  </w:r>
                </w:p>
              </w:tc>
              <w:tc>
                <w:tcPr>
                  <w:tcW w:w="1744" w:type="dxa"/>
                  <w:tcBorders>
                    <w:top w:val="nil"/>
                    <w:left w:val="nil"/>
                    <w:bottom w:val="nil"/>
                    <w:right w:val="nil"/>
                  </w:tcBorders>
                  <w:shd w:val="clear" w:color="000000" w:fill="3AD5D6"/>
                  <w:noWrap/>
                  <w:vAlign w:val="center"/>
                  <w:hideMark/>
                </w:tcPr>
                <w:p w14:paraId="793441E6"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4.81</w:t>
                  </w:r>
                </w:p>
              </w:tc>
              <w:tc>
                <w:tcPr>
                  <w:tcW w:w="1530" w:type="dxa"/>
                  <w:tcBorders>
                    <w:top w:val="nil"/>
                    <w:left w:val="nil"/>
                    <w:bottom w:val="nil"/>
                    <w:right w:val="single" w:sz="4" w:space="0" w:color="auto"/>
                  </w:tcBorders>
                  <w:shd w:val="clear" w:color="000000" w:fill="3488B0"/>
                  <w:noWrap/>
                  <w:vAlign w:val="center"/>
                  <w:hideMark/>
                </w:tcPr>
                <w:p w14:paraId="64D0FD9A"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263,000</w:t>
                  </w:r>
                </w:p>
              </w:tc>
              <w:tc>
                <w:tcPr>
                  <w:tcW w:w="1446" w:type="dxa"/>
                  <w:tcBorders>
                    <w:top w:val="nil"/>
                    <w:left w:val="nil"/>
                    <w:bottom w:val="nil"/>
                    <w:right w:val="nil"/>
                  </w:tcBorders>
                  <w:shd w:val="clear" w:color="000000" w:fill="305496"/>
                  <w:noWrap/>
                  <w:vAlign w:val="center"/>
                  <w:hideMark/>
                </w:tcPr>
                <w:p w14:paraId="409DF043"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12.98</w:t>
                  </w:r>
                </w:p>
              </w:tc>
              <w:tc>
                <w:tcPr>
                  <w:tcW w:w="1558" w:type="dxa"/>
                  <w:tcBorders>
                    <w:top w:val="nil"/>
                    <w:left w:val="nil"/>
                    <w:bottom w:val="nil"/>
                    <w:right w:val="nil"/>
                  </w:tcBorders>
                  <w:shd w:val="clear" w:color="000000" w:fill="39BECA"/>
                  <w:noWrap/>
                  <w:vAlign w:val="center"/>
                  <w:hideMark/>
                </w:tcPr>
                <w:p w14:paraId="061702B9"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6.29</w:t>
                  </w:r>
                </w:p>
              </w:tc>
            </w:tr>
            <w:tr w:rsidR="0073773B" w:rsidRPr="0073773B" w14:paraId="1CCAA419" w14:textId="77777777" w:rsidTr="0073773B">
              <w:trPr>
                <w:trHeight w:val="290"/>
              </w:trPr>
              <w:tc>
                <w:tcPr>
                  <w:tcW w:w="1297" w:type="dxa"/>
                  <w:tcBorders>
                    <w:top w:val="nil"/>
                    <w:left w:val="single" w:sz="4" w:space="0" w:color="auto"/>
                    <w:bottom w:val="single" w:sz="4" w:space="0" w:color="auto"/>
                    <w:right w:val="nil"/>
                  </w:tcBorders>
                  <w:shd w:val="clear" w:color="auto" w:fill="auto"/>
                  <w:noWrap/>
                  <w:hideMark/>
                </w:tcPr>
                <w:p w14:paraId="3E14FA78" w14:textId="77777777" w:rsidR="0073773B" w:rsidRPr="0073773B" w:rsidRDefault="0073773B" w:rsidP="0073773B">
                  <w:pPr>
                    <w:spacing w:after="0" w:line="240" w:lineRule="auto"/>
                    <w:rPr>
                      <w:rFonts w:ascii="Arial" w:eastAsia="Times New Roman" w:hAnsi="Arial" w:cs="Arial"/>
                      <w:color w:val="666666"/>
                      <w:sz w:val="18"/>
                      <w:szCs w:val="18"/>
                    </w:rPr>
                  </w:pPr>
                  <w:r w:rsidRPr="0073773B">
                    <w:rPr>
                      <w:rFonts w:ascii="Arial" w:eastAsia="Times New Roman" w:hAnsi="Arial" w:cs="Arial"/>
                      <w:color w:val="666666"/>
                      <w:sz w:val="18"/>
                      <w:szCs w:val="18"/>
                    </w:rPr>
                    <w:t>2020</w:t>
                  </w:r>
                </w:p>
              </w:tc>
              <w:tc>
                <w:tcPr>
                  <w:tcW w:w="1744" w:type="dxa"/>
                  <w:tcBorders>
                    <w:top w:val="nil"/>
                    <w:left w:val="nil"/>
                    <w:bottom w:val="nil"/>
                    <w:right w:val="nil"/>
                  </w:tcBorders>
                  <w:shd w:val="clear" w:color="000000" w:fill="38BDCA"/>
                  <w:noWrap/>
                  <w:vAlign w:val="center"/>
                  <w:hideMark/>
                </w:tcPr>
                <w:p w14:paraId="45D99141"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6.38</w:t>
                  </w:r>
                </w:p>
              </w:tc>
              <w:tc>
                <w:tcPr>
                  <w:tcW w:w="1530" w:type="dxa"/>
                  <w:tcBorders>
                    <w:top w:val="nil"/>
                    <w:left w:val="nil"/>
                    <w:bottom w:val="single" w:sz="4" w:space="0" w:color="auto"/>
                    <w:right w:val="single" w:sz="4" w:space="0" w:color="auto"/>
                  </w:tcBorders>
                  <w:shd w:val="clear" w:color="000000" w:fill="305496"/>
                  <w:noWrap/>
                  <w:vAlign w:val="center"/>
                  <w:hideMark/>
                </w:tcPr>
                <w:p w14:paraId="46A64547"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296,000</w:t>
                  </w:r>
                </w:p>
              </w:tc>
              <w:tc>
                <w:tcPr>
                  <w:tcW w:w="1446" w:type="dxa"/>
                  <w:tcBorders>
                    <w:top w:val="nil"/>
                    <w:left w:val="nil"/>
                    <w:bottom w:val="single" w:sz="4" w:space="0" w:color="auto"/>
                    <w:right w:val="nil"/>
                  </w:tcBorders>
                  <w:shd w:val="clear" w:color="000000" w:fill="38BCC9"/>
                  <w:noWrap/>
                  <w:vAlign w:val="center"/>
                  <w:hideMark/>
                </w:tcPr>
                <w:p w14:paraId="73BC8663"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6.45</w:t>
                  </w:r>
                </w:p>
              </w:tc>
              <w:tc>
                <w:tcPr>
                  <w:tcW w:w="1558" w:type="dxa"/>
                  <w:tcBorders>
                    <w:top w:val="nil"/>
                    <w:left w:val="nil"/>
                    <w:bottom w:val="single" w:sz="4" w:space="0" w:color="auto"/>
                    <w:right w:val="nil"/>
                  </w:tcBorders>
                  <w:shd w:val="clear" w:color="000000" w:fill="3BE5DD"/>
                  <w:noWrap/>
                  <w:vAlign w:val="center"/>
                  <w:hideMark/>
                </w:tcPr>
                <w:p w14:paraId="227C7CC0" w14:textId="77777777" w:rsidR="0073773B" w:rsidRPr="0073773B" w:rsidRDefault="0073773B" w:rsidP="0073773B">
                  <w:pPr>
                    <w:spacing w:after="0" w:line="240" w:lineRule="auto"/>
                    <w:jc w:val="right"/>
                    <w:rPr>
                      <w:rFonts w:ascii="Arial" w:eastAsia="Times New Roman" w:hAnsi="Arial" w:cs="Arial"/>
                      <w:b/>
                      <w:bCs/>
                      <w:sz w:val="18"/>
                      <w:szCs w:val="18"/>
                    </w:rPr>
                  </w:pPr>
                  <w:r w:rsidRPr="0073773B">
                    <w:rPr>
                      <w:rFonts w:ascii="Arial" w:eastAsia="Times New Roman" w:hAnsi="Arial" w:cs="Arial"/>
                      <w:b/>
                      <w:bCs/>
                      <w:sz w:val="18"/>
                      <w:szCs w:val="18"/>
                    </w:rPr>
                    <w:t>3.79</w:t>
                  </w:r>
                </w:p>
              </w:tc>
            </w:tr>
            <w:tr w:rsidR="0073773B" w:rsidRPr="0073773B" w14:paraId="0C634A7F" w14:textId="77777777" w:rsidTr="0073773B">
              <w:trPr>
                <w:trHeight w:val="290"/>
              </w:trPr>
              <w:tc>
                <w:tcPr>
                  <w:tcW w:w="1297" w:type="dxa"/>
                  <w:tcBorders>
                    <w:top w:val="nil"/>
                    <w:left w:val="nil"/>
                    <w:bottom w:val="nil"/>
                    <w:right w:val="nil"/>
                  </w:tcBorders>
                  <w:shd w:val="clear" w:color="auto" w:fill="auto"/>
                  <w:noWrap/>
                  <w:vAlign w:val="bottom"/>
                  <w:hideMark/>
                </w:tcPr>
                <w:p w14:paraId="25061E76" w14:textId="77777777" w:rsidR="0073773B" w:rsidRPr="0073773B" w:rsidRDefault="0073773B" w:rsidP="0073773B">
                  <w:pPr>
                    <w:spacing w:after="0" w:line="240" w:lineRule="auto"/>
                    <w:jc w:val="right"/>
                    <w:rPr>
                      <w:rFonts w:ascii="Arial" w:eastAsia="Times New Roman" w:hAnsi="Arial" w:cs="Arial"/>
                      <w:b/>
                      <w:bCs/>
                      <w:sz w:val="18"/>
                      <w:szCs w:val="18"/>
                    </w:rPr>
                  </w:pPr>
                </w:p>
              </w:tc>
              <w:tc>
                <w:tcPr>
                  <w:tcW w:w="1744" w:type="dxa"/>
                  <w:tcBorders>
                    <w:top w:val="nil"/>
                    <w:left w:val="nil"/>
                    <w:bottom w:val="nil"/>
                    <w:right w:val="nil"/>
                  </w:tcBorders>
                  <w:shd w:val="clear" w:color="auto" w:fill="auto"/>
                  <w:noWrap/>
                  <w:vAlign w:val="bottom"/>
                  <w:hideMark/>
                </w:tcPr>
                <w:p w14:paraId="76CB645D" w14:textId="77777777" w:rsidR="0073773B" w:rsidRPr="0073773B" w:rsidRDefault="0073773B" w:rsidP="0073773B">
                  <w:pPr>
                    <w:spacing w:after="0" w:line="240" w:lineRule="auto"/>
                    <w:rPr>
                      <w:rFonts w:ascii="Times New Roman" w:eastAsia="Times New Roman" w:hAnsi="Times New Roman" w:cs="Times New Roman"/>
                      <w:sz w:val="20"/>
                      <w:szCs w:val="20"/>
                    </w:rPr>
                  </w:pPr>
                </w:p>
              </w:tc>
              <w:tc>
                <w:tcPr>
                  <w:tcW w:w="1530" w:type="dxa"/>
                  <w:tcBorders>
                    <w:top w:val="nil"/>
                    <w:left w:val="nil"/>
                    <w:bottom w:val="nil"/>
                    <w:right w:val="nil"/>
                  </w:tcBorders>
                  <w:shd w:val="clear" w:color="auto" w:fill="auto"/>
                  <w:noWrap/>
                  <w:vAlign w:val="bottom"/>
                  <w:hideMark/>
                </w:tcPr>
                <w:p w14:paraId="73D63945" w14:textId="77777777" w:rsidR="0073773B" w:rsidRPr="0073773B" w:rsidRDefault="0073773B" w:rsidP="0073773B">
                  <w:pPr>
                    <w:spacing w:after="0" w:line="240" w:lineRule="auto"/>
                    <w:rPr>
                      <w:rFonts w:ascii="Times New Roman" w:eastAsia="Times New Roman" w:hAnsi="Times New Roman" w:cs="Times New Roman"/>
                      <w:sz w:val="20"/>
                      <w:szCs w:val="20"/>
                    </w:rPr>
                  </w:pPr>
                </w:p>
              </w:tc>
              <w:tc>
                <w:tcPr>
                  <w:tcW w:w="1446" w:type="dxa"/>
                  <w:tcBorders>
                    <w:top w:val="nil"/>
                    <w:left w:val="nil"/>
                    <w:bottom w:val="nil"/>
                    <w:right w:val="nil"/>
                  </w:tcBorders>
                  <w:shd w:val="clear" w:color="auto" w:fill="auto"/>
                  <w:noWrap/>
                  <w:vAlign w:val="bottom"/>
                  <w:hideMark/>
                </w:tcPr>
                <w:p w14:paraId="7C600512" w14:textId="77777777" w:rsidR="0073773B" w:rsidRPr="0073773B" w:rsidRDefault="0073773B" w:rsidP="0073773B">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noWrap/>
                  <w:vAlign w:val="bottom"/>
                  <w:hideMark/>
                </w:tcPr>
                <w:p w14:paraId="0AAF913B" w14:textId="77777777" w:rsidR="0073773B" w:rsidRPr="0073773B" w:rsidRDefault="0073773B" w:rsidP="0073773B">
                  <w:pPr>
                    <w:spacing w:after="0" w:line="240" w:lineRule="auto"/>
                    <w:rPr>
                      <w:rFonts w:ascii="Times New Roman" w:eastAsia="Times New Roman" w:hAnsi="Times New Roman" w:cs="Times New Roman"/>
                      <w:sz w:val="20"/>
                      <w:szCs w:val="20"/>
                    </w:rPr>
                  </w:pPr>
                </w:p>
              </w:tc>
            </w:tr>
            <w:tr w:rsidR="0073773B" w:rsidRPr="0073773B" w14:paraId="68100CB3" w14:textId="77777777" w:rsidTr="0073773B">
              <w:trPr>
                <w:trHeight w:val="300"/>
              </w:trPr>
              <w:tc>
                <w:tcPr>
                  <w:tcW w:w="7575" w:type="dxa"/>
                  <w:gridSpan w:val="5"/>
                  <w:tcBorders>
                    <w:top w:val="nil"/>
                    <w:left w:val="nil"/>
                    <w:bottom w:val="nil"/>
                    <w:right w:val="nil"/>
                  </w:tcBorders>
                  <w:shd w:val="clear" w:color="auto" w:fill="auto"/>
                  <w:noWrap/>
                  <w:vAlign w:val="bottom"/>
                  <w:hideMark/>
                </w:tcPr>
                <w:p w14:paraId="582D973E" w14:textId="77777777" w:rsidR="0073773B" w:rsidRPr="0073773B" w:rsidRDefault="0073773B" w:rsidP="0073773B">
                  <w:pPr>
                    <w:spacing w:after="0" w:line="240" w:lineRule="auto"/>
                    <w:rPr>
                      <w:rFonts w:ascii="Calibri" w:eastAsia="Times New Roman" w:hAnsi="Calibri" w:cs="Calibri"/>
                    </w:rPr>
                  </w:pPr>
                  <w:r w:rsidRPr="0073773B">
                    <w:rPr>
                      <w:rFonts w:ascii="Calibri" w:eastAsia="Times New Roman" w:hAnsi="Calibri" w:cs="Calibri"/>
                    </w:rPr>
                    <w:t xml:space="preserve">*Information is Filtered by A80, Bering Sea only, </w:t>
                  </w:r>
                  <w:r w:rsidRPr="00831CBF">
                    <w:rPr>
                      <w:rFonts w:ascii="Calibri" w:eastAsia="Times New Roman" w:hAnsi="Calibri" w:cs="Calibri"/>
                    </w:rPr>
                    <w:t>ALL Months</w:t>
                  </w:r>
                  <w:r w:rsidRPr="0073773B">
                    <w:rPr>
                      <w:rFonts w:ascii="Calibri" w:eastAsia="Times New Roman" w:hAnsi="Calibri" w:cs="Calibri"/>
                    </w:rPr>
                    <w:t>, and Target Species YFS</w:t>
                  </w:r>
                </w:p>
              </w:tc>
            </w:tr>
            <w:tr w:rsidR="0073773B" w:rsidRPr="0073773B" w14:paraId="5E44566E" w14:textId="77777777" w:rsidTr="0073773B">
              <w:trPr>
                <w:trHeight w:val="290"/>
              </w:trPr>
              <w:tc>
                <w:tcPr>
                  <w:tcW w:w="7575" w:type="dxa"/>
                  <w:gridSpan w:val="5"/>
                  <w:tcBorders>
                    <w:top w:val="nil"/>
                    <w:left w:val="nil"/>
                    <w:bottom w:val="nil"/>
                    <w:right w:val="nil"/>
                  </w:tcBorders>
                  <w:shd w:val="clear" w:color="auto" w:fill="auto"/>
                  <w:noWrap/>
                  <w:vAlign w:val="bottom"/>
                  <w:hideMark/>
                </w:tcPr>
                <w:p w14:paraId="4AC40D70" w14:textId="77777777" w:rsidR="0073773B" w:rsidRPr="0073773B" w:rsidRDefault="0073773B" w:rsidP="0073773B">
                  <w:pPr>
                    <w:spacing w:after="0" w:line="240" w:lineRule="auto"/>
                    <w:rPr>
                      <w:rFonts w:ascii="Calibri" w:eastAsia="Times New Roman" w:hAnsi="Calibri" w:cs="Calibri"/>
                    </w:rPr>
                  </w:pPr>
                  <w:r w:rsidRPr="0073773B">
                    <w:rPr>
                      <w:rFonts w:ascii="Calibri" w:eastAsia="Times New Roman" w:hAnsi="Calibri" w:cs="Calibri"/>
                    </w:rPr>
                    <w:t>*Halibut Catch Rate is halibut pre-mortality info (halibut catch)</w:t>
                  </w:r>
                </w:p>
              </w:tc>
            </w:tr>
          </w:tbl>
          <w:p w14:paraId="3A3F5BCA" w14:textId="4191BFEA" w:rsidR="0073773B" w:rsidRPr="001241D5" w:rsidRDefault="0073773B" w:rsidP="001241D5">
            <w:pPr>
              <w:spacing w:after="0" w:line="240" w:lineRule="auto"/>
              <w:rPr>
                <w:rFonts w:ascii="Calibri" w:eastAsia="Times New Roman" w:hAnsi="Calibri" w:cs="Calibri"/>
              </w:rPr>
            </w:pPr>
          </w:p>
        </w:tc>
        <w:tc>
          <w:tcPr>
            <w:tcW w:w="1804" w:type="dxa"/>
            <w:tcBorders>
              <w:top w:val="nil"/>
              <w:left w:val="nil"/>
              <w:bottom w:val="nil"/>
              <w:right w:val="nil"/>
            </w:tcBorders>
            <w:shd w:val="clear" w:color="auto" w:fill="auto"/>
            <w:noWrap/>
            <w:vAlign w:val="bottom"/>
            <w:hideMark/>
          </w:tcPr>
          <w:p w14:paraId="2BB12BAD" w14:textId="77777777" w:rsidR="001241D5" w:rsidRPr="001241D5" w:rsidRDefault="001241D5" w:rsidP="001241D5">
            <w:pPr>
              <w:spacing w:after="0" w:line="240" w:lineRule="auto"/>
              <w:rPr>
                <w:rFonts w:ascii="Calibri" w:eastAsia="Times New Roman" w:hAnsi="Calibri" w:cs="Calibri"/>
              </w:rPr>
            </w:pPr>
          </w:p>
        </w:tc>
      </w:tr>
      <w:tr w:rsidR="00341DA1" w:rsidRPr="00341DA1" w14:paraId="5D7453D1" w14:textId="77777777" w:rsidTr="0073773B">
        <w:trPr>
          <w:trHeight w:val="290"/>
        </w:trPr>
        <w:tc>
          <w:tcPr>
            <w:tcW w:w="7709" w:type="dxa"/>
            <w:gridSpan w:val="5"/>
            <w:tcBorders>
              <w:top w:val="nil"/>
              <w:left w:val="nil"/>
              <w:bottom w:val="nil"/>
              <w:right w:val="nil"/>
            </w:tcBorders>
            <w:shd w:val="clear" w:color="auto" w:fill="auto"/>
            <w:noWrap/>
            <w:vAlign w:val="bottom"/>
          </w:tcPr>
          <w:p w14:paraId="1E45239F" w14:textId="5058628F" w:rsidR="001F3012" w:rsidRPr="00341DA1" w:rsidRDefault="001F3012" w:rsidP="0073773B">
            <w:pPr>
              <w:rPr>
                <w:rFonts w:ascii="Calibri" w:eastAsia="Times New Roman" w:hAnsi="Calibri" w:cs="Calibri"/>
              </w:rPr>
            </w:pPr>
          </w:p>
        </w:tc>
      </w:tr>
    </w:tbl>
    <w:p w14:paraId="59EE823B" w14:textId="617FBC08" w:rsidR="009E6A51" w:rsidRPr="009E6A51" w:rsidRDefault="00831CBF" w:rsidP="009727E7">
      <w:pPr>
        <w:rPr>
          <w:u w:val="single"/>
        </w:rPr>
      </w:pPr>
      <w:r>
        <w:rPr>
          <w:u w:val="single"/>
        </w:rPr>
        <w:t>I</w:t>
      </w:r>
      <w:r w:rsidR="009E6A51" w:rsidRPr="009E6A51">
        <w:rPr>
          <w:u w:val="single"/>
        </w:rPr>
        <w:t xml:space="preserve">nterpretation of data in </w:t>
      </w:r>
      <w:r w:rsidR="00F5387C">
        <w:rPr>
          <w:u w:val="single"/>
        </w:rPr>
        <w:t xml:space="preserve">Figures </w:t>
      </w:r>
      <w:r w:rsidR="009E6A51" w:rsidRPr="009E6A51">
        <w:rPr>
          <w:u w:val="single"/>
        </w:rPr>
        <w:t xml:space="preserve">1 and 2: </w:t>
      </w:r>
    </w:p>
    <w:p w14:paraId="488D4F22" w14:textId="5C4C2F24" w:rsidR="009E6A51" w:rsidRDefault="00A63CE9" w:rsidP="009727E7">
      <w:r>
        <w:t>Just as ABM analysts have been careful to point out</w:t>
      </w:r>
      <w:r w:rsidR="00831CBF">
        <w:t xml:space="preserve"> with their work</w:t>
      </w:r>
      <w:r>
        <w:t>, disentangling effects of changing environmental conditions from differences in economic and fishery regulations</w:t>
      </w:r>
      <w:r w:rsidR="00831CBF">
        <w:t xml:space="preserve"> can</w:t>
      </w:r>
      <w:r>
        <w:t>not a</w:t>
      </w:r>
      <w:r w:rsidR="00831CBF">
        <w:t>lways be definitive</w:t>
      </w:r>
      <w:r>
        <w:t xml:space="preserve">.  </w:t>
      </w:r>
      <w:r w:rsidR="009E6A51">
        <w:t>For this reason</w:t>
      </w:r>
      <w:r w:rsidR="00831CBF">
        <w:t>,</w:t>
      </w:r>
      <w:r w:rsidR="009E6A51">
        <w:t xml:space="preserve"> we present our interpretation based on </w:t>
      </w:r>
      <w:r w:rsidR="006816E4">
        <w:t xml:space="preserve">information we obtained from A80 captains, many of whom have been fishing flatfish for 30 years or more and </w:t>
      </w:r>
      <w:r w:rsidR="00831CBF">
        <w:t>our re</w:t>
      </w:r>
      <w:r w:rsidR="006816E4">
        <w:t xml:space="preserve">view of the </w:t>
      </w:r>
      <w:r w:rsidR="00831CBF">
        <w:t>science</w:t>
      </w:r>
      <w:r w:rsidR="006816E4">
        <w:t xml:space="preserve"> from the papers discussed already.</w:t>
      </w:r>
      <w:r w:rsidR="00831CBF">
        <w:t xml:space="preserve">  We</w:t>
      </w:r>
      <w:r w:rsidR="009E6A51">
        <w:t xml:space="preserve"> have </w:t>
      </w:r>
      <w:r w:rsidR="00831CBF">
        <w:t xml:space="preserve">also </w:t>
      </w:r>
      <w:r w:rsidR="009E6A51">
        <w:t xml:space="preserve">included our reasoning </w:t>
      </w:r>
      <w:r w:rsidR="00831CBF">
        <w:t xml:space="preserve">for what </w:t>
      </w:r>
      <w:r w:rsidR="009E6A51">
        <w:t xml:space="preserve">we feel best represents the weight of evidence.  </w:t>
      </w:r>
    </w:p>
    <w:p w14:paraId="20B35AE5" w14:textId="47FE89E1" w:rsidR="009E6A51" w:rsidRDefault="009E6A51" w:rsidP="009727E7">
      <w:r>
        <w:t>I</w:t>
      </w:r>
      <w:r w:rsidR="00A63CE9">
        <w:t xml:space="preserve">n looking at the data in the </w:t>
      </w:r>
      <w:r w:rsidR="00F5387C">
        <w:t>figures</w:t>
      </w:r>
      <w:r w:rsidR="00A63CE9">
        <w:t xml:space="preserve"> a few things are clear.  </w:t>
      </w:r>
      <w:r>
        <w:t xml:space="preserve">First, </w:t>
      </w:r>
      <w:r w:rsidR="00A63CE9">
        <w:t xml:space="preserve">starting in 2015, </w:t>
      </w:r>
      <w:r>
        <w:t xml:space="preserve">it is obvious that </w:t>
      </w:r>
      <w:r w:rsidR="00831CBF">
        <w:t>yellowfin sole</w:t>
      </w:r>
      <w:r w:rsidR="00A63CE9">
        <w:t xml:space="preserve"> CPUE</w:t>
      </w:r>
      <w:r w:rsidR="009727E7">
        <w:t xml:space="preserve"> </w:t>
      </w:r>
      <w:r w:rsidR="00A63CE9">
        <w:t xml:space="preserve">is considerably </w:t>
      </w:r>
      <w:r>
        <w:t xml:space="preserve">lower, </w:t>
      </w:r>
      <w:r w:rsidR="00F5387C">
        <w:t xml:space="preserve">generally about half of what it was in the earlier years, </w:t>
      </w:r>
      <w:r>
        <w:t xml:space="preserve">particularly </w:t>
      </w:r>
      <w:r w:rsidR="00A63CE9">
        <w:t>in the traditional seasonal yellowfin sole fishery (March-May)</w:t>
      </w:r>
      <w:r w:rsidR="00F5387C">
        <w:t>.  B</w:t>
      </w:r>
      <w:r>
        <w:t>ut</w:t>
      </w:r>
      <w:r w:rsidR="00831CBF">
        <w:t xml:space="preserve"> this is clear</w:t>
      </w:r>
      <w:r>
        <w:t xml:space="preserve"> in </w:t>
      </w:r>
      <w:r w:rsidR="00A63CE9">
        <w:t xml:space="preserve">the annual </w:t>
      </w:r>
      <w:r>
        <w:t xml:space="preserve">fishery </w:t>
      </w:r>
      <w:r w:rsidR="00831CBF">
        <w:t xml:space="preserve">data </w:t>
      </w:r>
      <w:r w:rsidR="00A63CE9">
        <w:t>as well.</w:t>
      </w:r>
      <w:r w:rsidR="00F5387C">
        <w:t xml:space="preserve"> </w:t>
      </w:r>
      <w:r w:rsidR="00A63CE9">
        <w:t xml:space="preserve">  </w:t>
      </w:r>
    </w:p>
    <w:p w14:paraId="1A3045F6" w14:textId="6FEB1F58" w:rsidR="00831CBF" w:rsidRDefault="009727E7" w:rsidP="009727E7">
      <w:r>
        <w:t xml:space="preserve">To </w:t>
      </w:r>
      <w:r w:rsidR="009E6A51">
        <w:t xml:space="preserve">examine possible explanations, we first looked to see if </w:t>
      </w:r>
      <w:r w:rsidR="00F5387C">
        <w:t xml:space="preserve">this </w:t>
      </w:r>
      <w:r w:rsidR="009E6A51">
        <w:t xml:space="preserve">was due to </w:t>
      </w:r>
      <w:r w:rsidR="00A63CE9">
        <w:t>a decline in yellowfin sole abundance</w:t>
      </w:r>
      <w:r w:rsidR="00F5387C">
        <w:t xml:space="preserve"> and to examine this, we added a</w:t>
      </w:r>
      <w:r w:rsidR="00831CBF">
        <w:t>nnual</w:t>
      </w:r>
      <w:r w:rsidR="009E6A51">
        <w:t xml:space="preserve"> YFS ABCs </w:t>
      </w:r>
      <w:r w:rsidR="00F5387C">
        <w:t xml:space="preserve">to the data </w:t>
      </w:r>
      <w:r w:rsidR="00831CBF">
        <w:t>in the</w:t>
      </w:r>
      <w:r w:rsidR="009E6A51">
        <w:t xml:space="preserve"> </w:t>
      </w:r>
      <w:r w:rsidR="00F5387C">
        <w:t>figures</w:t>
      </w:r>
      <w:r w:rsidR="009E6A51">
        <w:t>.</w:t>
      </w:r>
      <w:r w:rsidR="00831CBF">
        <w:t xml:space="preserve"> Based on ABCs</w:t>
      </w:r>
      <w:r w:rsidR="00092A3E">
        <w:t>,</w:t>
      </w:r>
      <w:r w:rsidR="00831CBF">
        <w:t xml:space="preserve"> </w:t>
      </w:r>
      <w:r w:rsidR="009E6A51">
        <w:t xml:space="preserve">YFS </w:t>
      </w:r>
      <w:r w:rsidR="00A63CE9">
        <w:t>abundance has generally been increasing over this time period</w:t>
      </w:r>
      <w:r w:rsidR="00831CBF">
        <w:t xml:space="preserve">.  </w:t>
      </w:r>
      <w:r w:rsidR="00023885">
        <w:t>A</w:t>
      </w:r>
      <w:r w:rsidR="00A63CE9">
        <w:t>ll else equal, CPUE should have increased</w:t>
      </w:r>
      <w:r w:rsidR="009E6A51">
        <w:t xml:space="preserve"> over this period</w:t>
      </w:r>
      <w:r w:rsidR="00831CBF">
        <w:t xml:space="preserve"> but the opposite is true</w:t>
      </w:r>
      <w:r w:rsidR="00A63CE9">
        <w:t xml:space="preserve">.  </w:t>
      </w:r>
    </w:p>
    <w:p w14:paraId="364B18E9" w14:textId="598857CC" w:rsidR="00A86E56" w:rsidRDefault="009E6A51" w:rsidP="009727E7">
      <w:r>
        <w:t>Next, we asked captains about gear changes that might explain this trend.  They explained that starting in 2012 A</w:t>
      </w:r>
      <w:r w:rsidR="00F41021">
        <w:t>mendment</w:t>
      </w:r>
      <w:r>
        <w:t xml:space="preserve"> 80 vessel</w:t>
      </w:r>
      <w:r w:rsidR="00A86E56">
        <w:t xml:space="preserve">s </w:t>
      </w:r>
      <w:r w:rsidR="00831CBF">
        <w:t xml:space="preserve">began switching to </w:t>
      </w:r>
      <w:r w:rsidR="00F41021">
        <w:t>use of pelagic trawl doors</w:t>
      </w:r>
      <w:r w:rsidR="00A63CE9">
        <w:t xml:space="preserve"> </w:t>
      </w:r>
      <w:r w:rsidR="00831CBF">
        <w:t xml:space="preserve">that should, all else equal, </w:t>
      </w:r>
      <w:r w:rsidR="00A63CE9">
        <w:t>catch flatfish more efficientl</w:t>
      </w:r>
      <w:r w:rsidR="006816E4">
        <w:t>y</w:t>
      </w:r>
      <w:r w:rsidR="00831CBF">
        <w:t>.  B</w:t>
      </w:r>
      <w:r w:rsidR="00A86E56">
        <w:t>y 2016</w:t>
      </w:r>
      <w:r w:rsidR="00831CBF">
        <w:t xml:space="preserve">, </w:t>
      </w:r>
      <w:r w:rsidR="00A86E56">
        <w:t>all of the sector’s vessels had made this shift</w:t>
      </w:r>
      <w:r w:rsidR="00831CBF">
        <w:t xml:space="preserve"> according to feedback from captains</w:t>
      </w:r>
      <w:r>
        <w:t>.  Th</w:t>
      </w:r>
      <w:r w:rsidR="00831CBF">
        <w:t xml:space="preserve">e modification </w:t>
      </w:r>
      <w:r w:rsidR="00F41021">
        <w:t>reduces</w:t>
      </w:r>
      <w:r w:rsidR="00831CBF">
        <w:t xml:space="preserve"> fuel costs</w:t>
      </w:r>
      <w:r w:rsidR="00F41021">
        <w:t xml:space="preserve"> and </w:t>
      </w:r>
      <w:r>
        <w:t>increase</w:t>
      </w:r>
      <w:r w:rsidR="00F41021">
        <w:t>s</w:t>
      </w:r>
      <w:r>
        <w:t xml:space="preserve"> net spread</w:t>
      </w:r>
      <w:r w:rsidR="00831CBF">
        <w:t xml:space="preserve">, </w:t>
      </w:r>
      <w:r w:rsidR="00F5387C">
        <w:t xml:space="preserve">according to </w:t>
      </w:r>
      <w:r w:rsidR="00F5387C">
        <w:lastRenderedPageBreak/>
        <w:t xml:space="preserve">captains, </w:t>
      </w:r>
      <w:r w:rsidR="00831CBF">
        <w:t xml:space="preserve">allowing boats to </w:t>
      </w:r>
      <w:r w:rsidR="00A86E56">
        <w:t xml:space="preserve">sweep a larger area </w:t>
      </w:r>
      <w:r w:rsidR="00F41021">
        <w:t xml:space="preserve">with </w:t>
      </w:r>
      <w:r w:rsidR="00A86E56">
        <w:t xml:space="preserve">additional </w:t>
      </w:r>
      <w:r w:rsidR="00A63CE9">
        <w:t>sections of</w:t>
      </w:r>
      <w:r w:rsidR="00D978A0">
        <w:t xml:space="preserve"> elevated</w:t>
      </w:r>
      <w:r w:rsidR="00A63CE9">
        <w:t xml:space="preserve"> trawl sweeps. This alone also should have increased yellowfin sole CPUE</w:t>
      </w:r>
      <w:r w:rsidR="00831CBF">
        <w:t xml:space="preserve"> but once again the data in the tables do not show this</w:t>
      </w:r>
      <w:r w:rsidR="00A63CE9">
        <w:t xml:space="preserve">.  </w:t>
      </w:r>
    </w:p>
    <w:p w14:paraId="0F99A7F0" w14:textId="62A7779C" w:rsidR="00AE4D56" w:rsidRDefault="00AE4D56" w:rsidP="009727E7">
      <w:r>
        <w:t xml:space="preserve">Further discussions with captains </w:t>
      </w:r>
      <w:r w:rsidR="00F41021">
        <w:t xml:space="preserve">suggested that changes in </w:t>
      </w:r>
      <w:r w:rsidR="00A86E56">
        <w:t xml:space="preserve">seafloor </w:t>
      </w:r>
      <w:r>
        <w:t>temperature</w:t>
      </w:r>
      <w:r w:rsidR="00F41021">
        <w:t xml:space="preserve"> may</w:t>
      </w:r>
      <w:r w:rsidR="00A86E56">
        <w:t xml:space="preserve"> explain </w:t>
      </w:r>
      <w:r w:rsidR="00F41021">
        <w:t xml:space="preserve">changing </w:t>
      </w:r>
      <w:r w:rsidR="00A86E56">
        <w:t xml:space="preserve">YFS catch rates, particularly for the </w:t>
      </w:r>
      <w:r w:rsidR="00F41021">
        <w:t xml:space="preserve">spring </w:t>
      </w:r>
      <w:r>
        <w:t>yellowfin sole fishery (March-May)</w:t>
      </w:r>
      <w:r w:rsidR="00A86E56">
        <w:t xml:space="preserve">.  Captains </w:t>
      </w:r>
      <w:r w:rsidR="00F41021">
        <w:t>believe the degree of seasonal extension south of the ice edge</w:t>
      </w:r>
      <w:r w:rsidR="00F41021" w:rsidDel="00F41021">
        <w:t xml:space="preserve"> </w:t>
      </w:r>
      <w:r w:rsidR="00F41021">
        <w:t xml:space="preserve">is </w:t>
      </w:r>
      <w:r w:rsidR="00A86E56">
        <w:t xml:space="preserve">the biggest determinant of </w:t>
      </w:r>
      <w:r w:rsidR="00F41021">
        <w:t xml:space="preserve">annual </w:t>
      </w:r>
      <w:r w:rsidR="00A86E56">
        <w:t>YFS CPUE</w:t>
      </w:r>
      <w:r w:rsidR="00F41021">
        <w:t>.</w:t>
      </w:r>
      <w:r w:rsidR="00A86E56">
        <w:t xml:space="preserve">  </w:t>
      </w:r>
      <w:r w:rsidR="00F41021">
        <w:t>Captains say, i</w:t>
      </w:r>
      <w:r w:rsidR="00A86E56">
        <w:t>f the</w:t>
      </w:r>
      <w:r w:rsidR="00831CBF">
        <w:t xml:space="preserve">re is a good strong </w:t>
      </w:r>
      <w:r>
        <w:t xml:space="preserve">ice edge </w:t>
      </w:r>
      <w:r w:rsidR="00831CBF">
        <w:t xml:space="preserve">and it </w:t>
      </w:r>
      <w:r>
        <w:t xml:space="preserve">extends </w:t>
      </w:r>
      <w:r w:rsidR="00831CBF">
        <w:t xml:space="preserve">into waters </w:t>
      </w:r>
      <w:r w:rsidR="00F41021">
        <w:t xml:space="preserve">where </w:t>
      </w:r>
      <w:r w:rsidR="00831CBF">
        <w:t>they can fish yellowfin sole</w:t>
      </w:r>
      <w:r w:rsidR="00F41021">
        <w:t>,</w:t>
      </w:r>
      <w:r w:rsidR="00831CBF">
        <w:t xml:space="preserve"> then the </w:t>
      </w:r>
      <w:r>
        <w:t xml:space="preserve">yellowfin sole </w:t>
      </w:r>
      <w:r w:rsidR="00831CBF">
        <w:t xml:space="preserve">will </w:t>
      </w:r>
      <w:r w:rsidR="00A86E56">
        <w:t>tend to be “</w:t>
      </w:r>
      <w:r>
        <w:t>school</w:t>
      </w:r>
      <w:r w:rsidR="00A86E56">
        <w:t xml:space="preserve">ed” more </w:t>
      </w:r>
      <w:r>
        <w:t>densely</w:t>
      </w:r>
      <w:r w:rsidR="00831CBF">
        <w:t>.  A</w:t>
      </w:r>
      <w:r w:rsidR="00A86E56">
        <w:t>nd</w:t>
      </w:r>
      <w:r w:rsidR="00B40D62">
        <w:t xml:space="preserve"> when</w:t>
      </w:r>
      <w:r w:rsidR="00A86E56">
        <w:t xml:space="preserve"> there is no ice edge</w:t>
      </w:r>
      <w:r w:rsidR="00F41021">
        <w:t>,</w:t>
      </w:r>
      <w:r w:rsidR="00A86E56">
        <w:t xml:space="preserve"> or </w:t>
      </w:r>
      <w:r w:rsidR="00B40D62">
        <w:t xml:space="preserve">if </w:t>
      </w:r>
      <w:r w:rsidR="00A86E56">
        <w:t>it occurs too far north</w:t>
      </w:r>
      <w:r w:rsidR="00B40D62">
        <w:t>,</w:t>
      </w:r>
      <w:r w:rsidR="00A86E56">
        <w:t xml:space="preserve"> </w:t>
      </w:r>
      <w:r w:rsidR="00B40D62">
        <w:t xml:space="preserve">fishing will be slower. </w:t>
      </w:r>
      <w:r w:rsidR="00A86E56">
        <w:t xml:space="preserve">  </w:t>
      </w:r>
      <w:r>
        <w:t xml:space="preserve"> </w:t>
      </w:r>
    </w:p>
    <w:p w14:paraId="2DA3C3B2" w14:textId="056D67F7" w:rsidR="00787F5C" w:rsidRDefault="00AE4D56" w:rsidP="009727E7">
      <w:r>
        <w:t xml:space="preserve">To examine </w:t>
      </w:r>
      <w:r w:rsidR="00B40D62">
        <w:t xml:space="preserve">effects of annual </w:t>
      </w:r>
      <w:r>
        <w:t>temperature and ice condition</w:t>
      </w:r>
      <w:r w:rsidR="00B40D62">
        <w:t xml:space="preserve"> data on our time series of CPUE, </w:t>
      </w:r>
      <w:r>
        <w:t xml:space="preserve">we </w:t>
      </w:r>
      <w:r w:rsidR="00B40D62">
        <w:t xml:space="preserve">examined seafloor </w:t>
      </w:r>
      <w:r>
        <w:t xml:space="preserve">temperatures </w:t>
      </w:r>
      <w:r w:rsidR="00B40D62">
        <w:t xml:space="preserve">reported in the </w:t>
      </w:r>
      <w:r>
        <w:t xml:space="preserve">annual </w:t>
      </w:r>
      <w:r w:rsidR="00B40D62">
        <w:t xml:space="preserve">NMFS </w:t>
      </w:r>
      <w:r>
        <w:t>bottom trawl surveys</w:t>
      </w:r>
      <w:r w:rsidR="00A86E56">
        <w:t xml:space="preserve">.  </w:t>
      </w:r>
      <w:r w:rsidR="00B40D62">
        <w:t xml:space="preserve">One caveat is that annual timing of the </w:t>
      </w:r>
      <w:r w:rsidR="00F5387C">
        <w:t xml:space="preserve">trawl </w:t>
      </w:r>
      <w:r w:rsidR="00B40D62">
        <w:t xml:space="preserve">survey is not always consistent </w:t>
      </w:r>
      <w:r w:rsidR="00F41021">
        <w:t xml:space="preserve">and may affect </w:t>
      </w:r>
      <w:r w:rsidR="00B40D62">
        <w:t xml:space="preserve">temperature trends over these years.  That said, </w:t>
      </w:r>
      <w:r w:rsidR="00A86E56">
        <w:t xml:space="preserve">seafloor temperatures </w:t>
      </w:r>
      <w:r w:rsidR="00023885">
        <w:t xml:space="preserve">have </w:t>
      </w:r>
      <w:r w:rsidR="00F5387C">
        <w:t xml:space="preserve">pretty steadily </w:t>
      </w:r>
      <w:r w:rsidR="006C62E7">
        <w:t>increase</w:t>
      </w:r>
      <w:r w:rsidR="00023885">
        <w:t>d</w:t>
      </w:r>
      <w:r w:rsidR="006C62E7">
        <w:t xml:space="preserve"> over time</w:t>
      </w:r>
      <w:r w:rsidR="00A86E56">
        <w:t xml:space="preserve"> in the area where the YFS fish</w:t>
      </w:r>
      <w:r w:rsidR="00B40D62">
        <w:t xml:space="preserve">ing occurs. And </w:t>
      </w:r>
      <w:r w:rsidR="000F14E7">
        <w:t xml:space="preserve">the </w:t>
      </w:r>
      <w:r w:rsidR="00A86E56">
        <w:t>NMFS trawl survey ha</w:t>
      </w:r>
      <w:r w:rsidR="006C62E7">
        <w:t>s</w:t>
      </w:r>
      <w:r w:rsidR="00A86E56">
        <w:t xml:space="preserve"> tended to </w:t>
      </w:r>
      <w:r w:rsidR="00B40D62">
        <w:t xml:space="preserve">find </w:t>
      </w:r>
      <w:r w:rsidR="00F5387C">
        <w:t xml:space="preserve">anomalously </w:t>
      </w:r>
      <w:r w:rsidR="00A86E56">
        <w:t>warmer</w:t>
      </w:r>
      <w:r w:rsidR="006C62E7">
        <w:t xml:space="preserve"> </w:t>
      </w:r>
      <w:r w:rsidR="00F5387C">
        <w:t xml:space="preserve">bottom </w:t>
      </w:r>
      <w:r w:rsidR="006C62E7">
        <w:t>temperatures</w:t>
      </w:r>
      <w:r w:rsidR="00A86E56">
        <w:t xml:space="preserve"> from </w:t>
      </w:r>
      <w:r>
        <w:t>2015</w:t>
      </w:r>
      <w:r w:rsidR="00A86E56">
        <w:t xml:space="preserve"> through 2019</w:t>
      </w:r>
      <w:r w:rsidR="009F3E5D">
        <w:t xml:space="preserve"> (relative to the longer-term average in the survey)</w:t>
      </w:r>
      <w:r w:rsidR="006C62E7">
        <w:t>,</w:t>
      </w:r>
      <w:r w:rsidR="00B40D62">
        <w:t xml:space="preserve"> with </w:t>
      </w:r>
      <w:r>
        <w:t xml:space="preserve">2019 </w:t>
      </w:r>
      <w:r w:rsidR="00B40D62">
        <w:t xml:space="preserve">being the highest bottom temperatures </w:t>
      </w:r>
      <w:r w:rsidR="00A86E56">
        <w:t xml:space="preserve">recorded </w:t>
      </w:r>
      <w:r w:rsidR="00B40D62">
        <w:t>on the Bering Sea</w:t>
      </w:r>
      <w:r>
        <w:t xml:space="preserve"> shelf (</w:t>
      </w:r>
      <w:r w:rsidR="006C62E7">
        <w:t>in places greater than</w:t>
      </w:r>
      <w:r>
        <w:t xml:space="preserve"> 9</w:t>
      </w:r>
      <w:r w:rsidR="006C62E7">
        <w:rPr>
          <w:rFonts w:cstheme="minorHAnsi"/>
        </w:rPr>
        <w:t>°</w:t>
      </w:r>
      <w:r>
        <w:t xml:space="preserve"> C</w:t>
      </w:r>
      <w:r w:rsidR="00023885">
        <w:t>)</w:t>
      </w:r>
      <w:r>
        <w:t xml:space="preserve">.  </w:t>
      </w:r>
    </w:p>
    <w:p w14:paraId="1DBAA376" w14:textId="0ED3930C" w:rsidR="00B40D62" w:rsidRDefault="00AE4D56" w:rsidP="009727E7">
      <w:r>
        <w:t>Unfortunately, there was no 2020 NMFS trawl survey</w:t>
      </w:r>
      <w:r w:rsidR="00B40D62">
        <w:t xml:space="preserve"> to look at in conjunction with the improved YFS CPUEs seen in 2020</w:t>
      </w:r>
      <w:r w:rsidR="006C62E7">
        <w:t xml:space="preserve">; however, </w:t>
      </w:r>
      <w:r>
        <w:t>AKSC captains confirmed that bottom temperatures last spring and summer were considerably lower</w:t>
      </w:r>
      <w:r w:rsidR="006C62E7">
        <w:t xml:space="preserve"> </w:t>
      </w:r>
      <w:r w:rsidR="00F5387C">
        <w:t xml:space="preserve">than in 2019 where they fish yellowfin sole </w:t>
      </w:r>
      <w:r w:rsidR="006C62E7">
        <w:t xml:space="preserve">based on </w:t>
      </w:r>
      <w:r w:rsidR="00B40D62">
        <w:t xml:space="preserve">thermal readings on their net sounders. </w:t>
      </w:r>
      <w:r w:rsidR="006C62E7">
        <w:t xml:space="preserve">Although these sounders are </w:t>
      </w:r>
      <w:r w:rsidR="00B40D62">
        <w:t xml:space="preserve">not calibrated </w:t>
      </w:r>
      <w:r w:rsidR="006C62E7">
        <w:t xml:space="preserve">across </w:t>
      </w:r>
      <w:r w:rsidR="00B40D62">
        <w:t>boats</w:t>
      </w:r>
      <w:r w:rsidR="00023885">
        <w:t>,</w:t>
      </w:r>
      <w:r w:rsidR="00B40D62">
        <w:t xml:space="preserve"> </w:t>
      </w:r>
      <w:r w:rsidR="006C62E7">
        <w:t xml:space="preserve">they provide a </w:t>
      </w:r>
      <w:r w:rsidR="00B40D62">
        <w:t xml:space="preserve">reasonably accurate </w:t>
      </w:r>
      <w:r w:rsidR="006C62E7">
        <w:t xml:space="preserve">record </w:t>
      </w:r>
      <w:r w:rsidR="00B40D62">
        <w:t xml:space="preserve">for a given vessel across time.  </w:t>
      </w:r>
    </w:p>
    <w:p w14:paraId="7FC837DD" w14:textId="6236250C" w:rsidR="00AE4D56" w:rsidRDefault="00AE4D56" w:rsidP="009727E7">
      <w:r>
        <w:t xml:space="preserve">Moreover, </w:t>
      </w:r>
      <w:r w:rsidR="000F14E7">
        <w:t xml:space="preserve">A80 </w:t>
      </w:r>
      <w:r>
        <w:t xml:space="preserve">captains noted that </w:t>
      </w:r>
      <w:r w:rsidR="00787F5C">
        <w:t xml:space="preserve">in 2020 </w:t>
      </w:r>
      <w:r w:rsidR="00C85C73">
        <w:t xml:space="preserve">they </w:t>
      </w:r>
      <w:r w:rsidR="006C62E7">
        <w:t xml:space="preserve">found </w:t>
      </w:r>
      <w:r w:rsidR="00F5387C">
        <w:t>defin</w:t>
      </w:r>
      <w:r w:rsidR="000F14E7">
        <w:t>ed</w:t>
      </w:r>
      <w:r w:rsidR="00F5387C">
        <w:t xml:space="preserve"> </w:t>
      </w:r>
      <w:r w:rsidR="00C85C73">
        <w:t>pockets of cool water where flatfish were schooled up</w:t>
      </w:r>
      <w:r w:rsidR="00787F5C">
        <w:t xml:space="preserve">.  </w:t>
      </w:r>
      <w:r w:rsidR="006816E4">
        <w:t xml:space="preserve">These, they reported, were </w:t>
      </w:r>
      <w:r w:rsidR="00787F5C">
        <w:t>much harder to find</w:t>
      </w:r>
      <w:r w:rsidR="00C85C73">
        <w:t xml:space="preserve"> </w:t>
      </w:r>
      <w:r w:rsidR="00787F5C">
        <w:t>in 201</w:t>
      </w:r>
      <w:r w:rsidR="00E4022A">
        <w:t>5</w:t>
      </w:r>
      <w:r w:rsidR="006816E4">
        <w:t>-</w:t>
      </w:r>
      <w:r w:rsidR="00787F5C">
        <w:t>201</w:t>
      </w:r>
      <w:r w:rsidR="006816E4">
        <w:t xml:space="preserve">8 and </w:t>
      </w:r>
      <w:r w:rsidR="006C62E7">
        <w:t xml:space="preserve">were effectively </w:t>
      </w:r>
      <w:r w:rsidR="00787F5C">
        <w:t xml:space="preserve">non-existent in 2019. </w:t>
      </w:r>
      <w:r w:rsidR="006816E4">
        <w:t xml:space="preserve"> </w:t>
      </w:r>
      <w:r w:rsidR="006C62E7">
        <w:t>O</w:t>
      </w:r>
      <w:r w:rsidR="006816E4">
        <w:t>ur member vessels</w:t>
      </w:r>
      <w:r w:rsidR="006C62E7">
        <w:t xml:space="preserve"> reported that </w:t>
      </w:r>
      <w:r w:rsidR="00787F5C">
        <w:t>2019 was for them a “perfect storm” of poor fishing conditions</w:t>
      </w:r>
      <w:r w:rsidR="006816E4">
        <w:t>.  N</w:t>
      </w:r>
      <w:r w:rsidR="00787F5C">
        <w:t xml:space="preserve">ot only were bottom temperatures anomalously warmer than any seen </w:t>
      </w:r>
      <w:r w:rsidR="006C62E7">
        <w:t xml:space="preserve">before, </w:t>
      </w:r>
      <w:r w:rsidR="00787F5C">
        <w:t>but the waters were nearly uniformly warm.</w:t>
      </w:r>
      <w:r w:rsidR="006C62E7">
        <w:rPr>
          <w:rStyle w:val="FootnoteReference"/>
        </w:rPr>
        <w:footnoteReference w:id="1"/>
      </w:r>
      <w:r w:rsidR="00787F5C">
        <w:t xml:space="preserve"> </w:t>
      </w:r>
    </w:p>
    <w:p w14:paraId="5ED2C37D" w14:textId="4E41885E" w:rsidR="00F5387C" w:rsidRDefault="00C85C73" w:rsidP="009727E7">
      <w:r>
        <w:t xml:space="preserve">Circling back to the scientific papers </w:t>
      </w:r>
      <w:r w:rsidR="00122531">
        <w:t xml:space="preserve">on </w:t>
      </w:r>
      <w:r>
        <w:t xml:space="preserve">groundfish </w:t>
      </w:r>
      <w:r w:rsidR="00122531">
        <w:t xml:space="preserve">species </w:t>
      </w:r>
      <w:r w:rsidR="00E9437C">
        <w:t xml:space="preserve">and how climate change is predicted to affect </w:t>
      </w:r>
      <w:r>
        <w:t xml:space="preserve">spatial distribution of the </w:t>
      </w:r>
      <w:r w:rsidR="00E9437C">
        <w:t xml:space="preserve">groundfish </w:t>
      </w:r>
      <w:r>
        <w:t>stock</w:t>
      </w:r>
      <w:r w:rsidR="00E9437C">
        <w:t xml:space="preserve">s, our </w:t>
      </w:r>
      <w:r w:rsidR="00F5387C">
        <w:t xml:space="preserve">CPUE </w:t>
      </w:r>
      <w:r w:rsidR="00E9437C">
        <w:t xml:space="preserve">data appear to be consistent with the finding that </w:t>
      </w:r>
      <w:r w:rsidR="006816E4">
        <w:t xml:space="preserve">flatfish </w:t>
      </w:r>
      <w:r w:rsidR="00E9437C">
        <w:t>stocks may shift northward or become more spread out due to higher utilization of deeper depths to mitigate temperature change</w:t>
      </w:r>
      <w:r>
        <w:t xml:space="preserve">.  </w:t>
      </w:r>
      <w:r w:rsidR="00462CFB">
        <w:t>In this regard</w:t>
      </w:r>
      <w:r w:rsidR="00E9437C">
        <w:t>,</w:t>
      </w:r>
      <w:r w:rsidR="00462CFB">
        <w:t xml:space="preserve"> we note that based on the NMFS trawl survey, 2019 had the highest estimated fraction of the yellowfin sole survey abundance in the northern Bering Sea (NBS) relative to other years </w:t>
      </w:r>
      <w:r w:rsidR="000F14E7">
        <w:t xml:space="preserve">when </w:t>
      </w:r>
      <w:r w:rsidR="00462CFB">
        <w:t xml:space="preserve">the trawl survey </w:t>
      </w:r>
      <w:r w:rsidR="006816E4">
        <w:t xml:space="preserve">extended to </w:t>
      </w:r>
      <w:r w:rsidR="00462CFB">
        <w:t xml:space="preserve">the NBS (Stevenson and </w:t>
      </w:r>
      <w:proofErr w:type="spellStart"/>
      <w:r w:rsidR="00462CFB">
        <w:t>Lauth</w:t>
      </w:r>
      <w:proofErr w:type="spellEnd"/>
      <w:r w:rsidR="00462CFB">
        <w:t xml:space="preserve">, 2019).  </w:t>
      </w:r>
    </w:p>
    <w:p w14:paraId="360ACFA4" w14:textId="71B960FA" w:rsidR="00C85C73" w:rsidRDefault="00462CFB" w:rsidP="009727E7">
      <w:r>
        <w:lastRenderedPageBreak/>
        <w:t>Seasonal migration north out into the NBS is particularly problematic for maintenance of CPUEs in the yellowfin sole fishery because A</w:t>
      </w:r>
      <w:r w:rsidR="00E4022A">
        <w:t>6</w:t>
      </w:r>
      <w:r>
        <w:t>80 and other non-pelagic trawl</w:t>
      </w:r>
      <w:r w:rsidR="006816E4">
        <w:t xml:space="preserve"> fisherie</w:t>
      </w:r>
      <w:r>
        <w:t>s are prohibited from fishing in the NBS.</w:t>
      </w:r>
      <w:r w:rsidR="009708CD">
        <w:t xml:space="preserve">  If conditions seen in 2019 </w:t>
      </w:r>
      <w:r w:rsidR="000F14E7">
        <w:t xml:space="preserve">become the new normal </w:t>
      </w:r>
      <w:r w:rsidR="00E4022A">
        <w:t xml:space="preserve">or warming even increases over 2019 levels </w:t>
      </w:r>
      <w:r w:rsidR="009708CD">
        <w:t xml:space="preserve">the closure of the NBS could be an even greater factor to consider for evaluation of effects of climate change on the A80 sector. </w:t>
      </w:r>
      <w:r>
        <w:t xml:space="preserve"> </w:t>
      </w:r>
    </w:p>
    <w:p w14:paraId="29ADF271" w14:textId="5528246C" w:rsidR="00CE4B95" w:rsidRPr="00CE4B95" w:rsidRDefault="00CE4B95" w:rsidP="009727E7">
      <w:pPr>
        <w:rPr>
          <w:u w:val="single"/>
        </w:rPr>
      </w:pPr>
      <w:r>
        <w:rPr>
          <w:u w:val="single"/>
        </w:rPr>
        <w:t>Inferences on r</w:t>
      </w:r>
      <w:r w:rsidRPr="00CE4B95">
        <w:rPr>
          <w:u w:val="single"/>
        </w:rPr>
        <w:t>elationship between environmental conditions</w:t>
      </w:r>
      <w:r>
        <w:rPr>
          <w:u w:val="single"/>
        </w:rPr>
        <w:t>/flatfish</w:t>
      </w:r>
      <w:r w:rsidRPr="00CE4B95">
        <w:rPr>
          <w:u w:val="single"/>
        </w:rPr>
        <w:t xml:space="preserve"> CPUE</w:t>
      </w:r>
      <w:r>
        <w:rPr>
          <w:u w:val="single"/>
        </w:rPr>
        <w:t>s</w:t>
      </w:r>
      <w:r w:rsidRPr="00CE4B95">
        <w:rPr>
          <w:u w:val="single"/>
        </w:rPr>
        <w:t xml:space="preserve"> and halibut catch and mortality rates:</w:t>
      </w:r>
    </w:p>
    <w:p w14:paraId="2E09CF7A" w14:textId="46C4BF05" w:rsidR="009708CD" w:rsidRDefault="003C0FEA" w:rsidP="009727E7">
      <w:r>
        <w:t xml:space="preserve">Turning to data </w:t>
      </w:r>
      <w:r w:rsidR="005114B3">
        <w:t xml:space="preserve">in the figures for </w:t>
      </w:r>
      <w:r>
        <w:t>halibut catch rates and mortality per ton of groundfish, like with the yellowfin sole catch rate data we cannot assign causality to patterns</w:t>
      </w:r>
      <w:r w:rsidR="00122531">
        <w:t xml:space="preserve"> seen in the halibut bycatch data</w:t>
      </w:r>
      <w:r>
        <w:t xml:space="preserve">.  </w:t>
      </w:r>
      <w:r w:rsidR="00122531">
        <w:t xml:space="preserve">Both </w:t>
      </w:r>
      <w:r w:rsidR="005114B3">
        <w:t xml:space="preserve">figures </w:t>
      </w:r>
      <w:r w:rsidR="009708CD">
        <w:t xml:space="preserve">do </w:t>
      </w:r>
      <w:r w:rsidR="00122531">
        <w:t>show that halibut catch rates per ton of groundfish in the yellowfin fishery have been higher in the 2015-2019 period</w:t>
      </w:r>
      <w:r w:rsidR="003E166B">
        <w:t xml:space="preserve">, the period with warmer bottom temperatures.  </w:t>
      </w:r>
      <w:r w:rsidR="00CE4B95">
        <w:t xml:space="preserve">And the most dramatic example of this is 2019 with unprecedented halibut catch rates.  </w:t>
      </w:r>
      <w:r w:rsidR="003E166B">
        <w:t xml:space="preserve">This is considerably more apparent in the March through May seasonal yellowfin sole fishery (Table 1) which </w:t>
      </w:r>
      <w:r w:rsidR="000F14E7">
        <w:t xml:space="preserve">A80 </w:t>
      </w:r>
      <w:r w:rsidR="003E166B">
        <w:t xml:space="preserve">captains felt was not a surprising result given their experiences with how densely schooled yellowfin sole </w:t>
      </w:r>
      <w:r w:rsidR="00023885">
        <w:t>c</w:t>
      </w:r>
      <w:r w:rsidR="003E166B">
        <w:t>a</w:t>
      </w:r>
      <w:r w:rsidR="00023885">
        <w:t xml:space="preserve">n be in some years </w:t>
      </w:r>
      <w:r w:rsidR="003E166B">
        <w:t xml:space="preserve">during winter spring and how they feel bottom temperatures affect schooling.  </w:t>
      </w:r>
    </w:p>
    <w:p w14:paraId="088EFCFE" w14:textId="0C7C733F" w:rsidR="003E166B" w:rsidRDefault="003E166B" w:rsidP="009727E7">
      <w:r>
        <w:t xml:space="preserve">Of </w:t>
      </w:r>
      <w:r w:rsidR="009708CD">
        <w:t xml:space="preserve">particular </w:t>
      </w:r>
      <w:r>
        <w:t xml:space="preserve">note is that 2019 stands way out in terms of a high bycatch encounter rate year with bycatch rates nearly double those of the colder years and considerably higher than other warm years.  We have already noted </w:t>
      </w:r>
      <w:r w:rsidR="009708CD">
        <w:t xml:space="preserve">and the ABM analysis does mention </w:t>
      </w:r>
      <w:r>
        <w:t xml:space="preserve">that 2019 had anomalously high bottom temperatures.  </w:t>
      </w:r>
      <w:r w:rsidR="00CE4B95">
        <w:t xml:space="preserve">In this regard the data support the notion that warming seafloor temperatures spread out yellowfin or move them out of the </w:t>
      </w:r>
      <w:r w:rsidR="00C11AD0">
        <w:t xml:space="preserve">yellowfin fishing grounds leading to more and longer </w:t>
      </w:r>
      <w:r w:rsidR="00CE4B95">
        <w:t>tow</w:t>
      </w:r>
      <w:r w:rsidR="00C11AD0">
        <w:t>s</w:t>
      </w:r>
      <w:r w:rsidR="00E4022A">
        <w:t>.</w:t>
      </w:r>
      <w:r w:rsidR="00CE4B95">
        <w:t xml:space="preserve"> Th</w:t>
      </w:r>
      <w:r w:rsidR="00C11AD0">
        <w:t>e</w:t>
      </w:r>
      <w:r w:rsidR="00CE4B95">
        <w:t xml:space="preserve"> </w:t>
      </w:r>
      <w:r w:rsidR="00C11AD0">
        <w:t xml:space="preserve">increase in </w:t>
      </w:r>
      <w:r w:rsidR="00CE4B95">
        <w:t xml:space="preserve">halibut catch rates per ton of groundfish suggests that halibut do not </w:t>
      </w:r>
      <w:r w:rsidR="00C11AD0">
        <w:t xml:space="preserve">disperse </w:t>
      </w:r>
      <w:r w:rsidR="00CE4B95">
        <w:t xml:space="preserve">or move out of </w:t>
      </w:r>
      <w:r w:rsidR="00C11AD0">
        <w:t xml:space="preserve">warm water </w:t>
      </w:r>
      <w:r w:rsidR="00CE4B95">
        <w:t>area</w:t>
      </w:r>
      <w:r w:rsidR="00C11AD0">
        <w:t>s</w:t>
      </w:r>
      <w:r w:rsidR="00CE4B95">
        <w:t xml:space="preserve"> as much </w:t>
      </w:r>
      <w:r w:rsidR="00C11AD0">
        <w:t xml:space="preserve">as yellowfin sole, </w:t>
      </w:r>
      <w:r w:rsidR="00CE4B95">
        <w:t xml:space="preserve">but no systematic data </w:t>
      </w:r>
      <w:r w:rsidR="00C11AD0">
        <w:t xml:space="preserve">are available </w:t>
      </w:r>
      <w:r w:rsidR="00CE4B95">
        <w:t xml:space="preserve">to evaluate </w:t>
      </w:r>
      <w:r w:rsidR="00C11AD0">
        <w:t>those tendencies</w:t>
      </w:r>
      <w:r w:rsidR="00CE4B95">
        <w:t xml:space="preserve">.  </w:t>
      </w:r>
    </w:p>
    <w:p w14:paraId="61404DCD" w14:textId="1D5DE239" w:rsidR="005114B3" w:rsidRDefault="001505FB" w:rsidP="001505FB">
      <w:r w:rsidRPr="00E65C4C">
        <w:t xml:space="preserve">Some stakeholders have asserted that deck sorting allows the A80 sector to fish with higher halibut encounter rates by reducing mortality rates. While true at the margin, the gains from deck sorting are not without limitation and have been fully realized in the most recent years. </w:t>
      </w:r>
      <w:r w:rsidR="002B37CF">
        <w:t xml:space="preserve"> Environmental conditions may be a driver behind halibut encounter rates, but every effort is made to both reduce encounters and mortality through deck sorting.</w:t>
      </w:r>
    </w:p>
    <w:p w14:paraId="693AF330" w14:textId="2380B0F1" w:rsidR="00CD1690" w:rsidRDefault="001505FB" w:rsidP="009727E7">
      <w:r w:rsidRPr="00E65C4C">
        <w:t>A careful look at the data and the history of halibut bycatch management suggest</w:t>
      </w:r>
      <w:r w:rsidR="00023885">
        <w:t>s</w:t>
      </w:r>
      <w:r w:rsidRPr="00E65C4C">
        <w:t xml:space="preserve"> that the unprecedented high halibut bycatch in the yellowfin sole fishery in 2019 did not result for vessels simply deciding that those rates were tolerable. </w:t>
      </w:r>
      <w:r w:rsidR="005114B3">
        <w:t>Halibut e</w:t>
      </w:r>
      <w:r w:rsidRPr="00E65C4C">
        <w:t>ncounter rates in 2019 were considerably higher than any other year.  Prior to 2015, there</w:t>
      </w:r>
      <w:r w:rsidR="00E4022A">
        <w:t xml:space="preserve"> were fewer incentives for</w:t>
      </w:r>
      <w:r w:rsidRPr="00E65C4C">
        <w:t xml:space="preserve"> A80 fleet to achieve low rates of bycatch.  This means that if conditions like 2019 had occurred in that period more boats would have stayed in those areas achieving high encounter rates similar to those seen in 2019.   Considering the realized halibut mortality (actual usage shown in the far-right columns of Table 1&amp;2) we see that even with deck sorting vessels were unable to achieve the target rate used for the seasonal yellowfin sole fishing (Table 1 shows close to 7 kg of halibut mortality per ton of groundfish which is well over the 5 kg per mt rate vessels </w:t>
      </w:r>
      <w:r w:rsidR="002B37CF">
        <w:t>try to achieve</w:t>
      </w:r>
      <w:r w:rsidRPr="00E65C4C">
        <w:t>).</w:t>
      </w:r>
      <w:r w:rsidR="002B37CF">
        <w:t xml:space="preserve">  </w:t>
      </w:r>
      <w:r w:rsidR="00C11AD0">
        <w:t xml:space="preserve">The </w:t>
      </w:r>
      <w:r w:rsidR="00DB1501">
        <w:t xml:space="preserve">2019 halibut bycatch conditions that were unprecedented and </w:t>
      </w:r>
      <w:r w:rsidR="002B37CF">
        <w:t xml:space="preserve">while </w:t>
      </w:r>
      <w:r w:rsidR="00DB1501">
        <w:t xml:space="preserve">deck sorting allowed some relief the winter/spring yellowfin sole fishery was over </w:t>
      </w:r>
      <w:r w:rsidR="00C11AD0">
        <w:t xml:space="preserve">the </w:t>
      </w:r>
      <w:r w:rsidR="00CD1690">
        <w:t>target halibut mortality</w:t>
      </w:r>
      <w:r w:rsidR="00C11AD0">
        <w:t xml:space="preserve"> rate used by most vessels</w:t>
      </w:r>
      <w:r w:rsidR="002B37CF">
        <w:t xml:space="preserve"> because it was unavoidable and the fleet has exhausted their ability to both avoid halibut and reduce their mortality</w:t>
      </w:r>
      <w:r w:rsidR="00CD1690">
        <w:t xml:space="preserve">.  </w:t>
      </w:r>
    </w:p>
    <w:p w14:paraId="73E3042C" w14:textId="6CFB5599" w:rsidR="003C0FEA" w:rsidRDefault="00D959FE" w:rsidP="009727E7">
      <w:r>
        <w:lastRenderedPageBreak/>
        <w:t xml:space="preserve">Captains have universally commented that </w:t>
      </w:r>
      <w:r w:rsidR="00CD1690">
        <w:t xml:space="preserve">the </w:t>
      </w:r>
      <w:r>
        <w:t xml:space="preserve">higher </w:t>
      </w:r>
      <w:r w:rsidR="00CD1690">
        <w:t xml:space="preserve">halibut catch rates and mortality usage in 2019 </w:t>
      </w:r>
      <w:r>
        <w:t xml:space="preserve">resulted from </w:t>
      </w:r>
      <w:r w:rsidR="00FC2E39">
        <w:t xml:space="preserve">low </w:t>
      </w:r>
      <w:r w:rsidR="00CD1690">
        <w:t xml:space="preserve">yellowfin sole </w:t>
      </w:r>
      <w:r w:rsidR="00FC2E39">
        <w:t xml:space="preserve">CPUE </w:t>
      </w:r>
      <w:r w:rsidR="00CD1690">
        <w:t xml:space="preserve">(which also </w:t>
      </w:r>
      <w:r w:rsidR="00FC2E39">
        <w:t>occurred in</w:t>
      </w:r>
      <w:r w:rsidR="00CD1690">
        <w:t xml:space="preserve"> 2017 and 2018) </w:t>
      </w:r>
      <w:r w:rsidR="00CD1690" w:rsidRPr="00FC2E39">
        <w:rPr>
          <w:u w:val="single"/>
        </w:rPr>
        <w:t>and</w:t>
      </w:r>
      <w:r w:rsidR="00CD1690">
        <w:t xml:space="preserve"> </w:t>
      </w:r>
      <w:r>
        <w:t xml:space="preserve">the absence of areas with </w:t>
      </w:r>
      <w:r w:rsidR="003F2AEA">
        <w:t xml:space="preserve">low </w:t>
      </w:r>
      <w:r w:rsidR="00CD1690">
        <w:t>halibut bycatch rates</w:t>
      </w:r>
      <w:r>
        <w:t xml:space="preserve"> that typically occurred in prior years</w:t>
      </w:r>
      <w:r w:rsidR="00CD1690">
        <w:t xml:space="preserve">.  </w:t>
      </w:r>
      <w:r>
        <w:t xml:space="preserve">While </w:t>
      </w:r>
      <w:r w:rsidR="00CD1690">
        <w:t xml:space="preserve">deck sorting </w:t>
      </w:r>
      <w:r>
        <w:t xml:space="preserve">allowed for some reduction in the rates, in areas with high halibut bycatch deck sorting reduces fishing and processing time as crews must leave their positions to </w:t>
      </w:r>
      <w:r w:rsidR="00FC2E39">
        <w:t>s</w:t>
      </w:r>
      <w:r w:rsidR="00CD1690">
        <w:t xml:space="preserve">ort </w:t>
      </w:r>
      <w:r>
        <w:t xml:space="preserve">out halibut from their </w:t>
      </w:r>
      <w:r w:rsidR="00FC2E39">
        <w:t xml:space="preserve">catch </w:t>
      </w:r>
      <w:r w:rsidR="005114B3">
        <w:t xml:space="preserve">on deck </w:t>
      </w:r>
      <w:r>
        <w:t xml:space="preserve">and deliver them to </w:t>
      </w:r>
      <w:r w:rsidR="00CD1690">
        <w:t xml:space="preserve">the observer </w:t>
      </w:r>
      <w:r>
        <w:t>station</w:t>
      </w:r>
      <w:r w:rsidR="00FC2E39">
        <w:t xml:space="preserve">.  </w:t>
      </w:r>
      <w:r>
        <w:t xml:space="preserve">Despite the benefits of deck sorting, </w:t>
      </w:r>
      <w:r w:rsidR="00B37920">
        <w:t xml:space="preserve">captains are still strongly motivated to avoid catching halibut </w:t>
      </w:r>
      <w:r>
        <w:t>as it dramatically slows vessels operations and reduces fishing time</w:t>
      </w:r>
      <w:r w:rsidR="00B37920">
        <w:t xml:space="preserve">. </w:t>
      </w:r>
    </w:p>
    <w:p w14:paraId="6B6B894C" w14:textId="26A5EED3" w:rsidR="00B37920" w:rsidRDefault="00D959FE" w:rsidP="000D0145">
      <w:r>
        <w:t xml:space="preserve">Although the high halibut encounter rates of 2019 cannot be </w:t>
      </w:r>
      <w:r w:rsidR="00E51C75">
        <w:t>definitive</w:t>
      </w:r>
      <w:r>
        <w:t xml:space="preserve">ly attributed to warm water </w:t>
      </w:r>
      <w:r w:rsidR="00E51C75">
        <w:t xml:space="preserve">looking closely at data </w:t>
      </w:r>
      <w:r>
        <w:t xml:space="preserve">from </w:t>
      </w:r>
      <w:r w:rsidR="00E51C75">
        <w:t xml:space="preserve">that </w:t>
      </w:r>
      <w:r w:rsidR="00B37920">
        <w:t xml:space="preserve">year </w:t>
      </w:r>
      <w:r>
        <w:t xml:space="preserve">raises several concerns. If warmer conditions, such as those observed in </w:t>
      </w:r>
      <w:r w:rsidR="00E51C75">
        <w:t xml:space="preserve">2019 </w:t>
      </w:r>
      <w:r>
        <w:t xml:space="preserve">become </w:t>
      </w:r>
      <w:r w:rsidR="00E51C75">
        <w:t xml:space="preserve">the “new normal” yellowfin sole fishing in </w:t>
      </w:r>
      <w:r>
        <w:t xml:space="preserve">that </w:t>
      </w:r>
      <w:r w:rsidR="00E51C75">
        <w:t>warm</w:t>
      </w:r>
      <w:r>
        <w:t>er</w:t>
      </w:r>
      <w:r w:rsidR="00E51C75">
        <w:t xml:space="preserve"> environment</w:t>
      </w:r>
      <w:r w:rsidR="00B37920">
        <w:t xml:space="preserve"> </w:t>
      </w:r>
      <w:r>
        <w:t>could be very challenging, particularly under reduced halibut PSC limits</w:t>
      </w:r>
      <w:r w:rsidR="00E51C75">
        <w:t xml:space="preserve">. </w:t>
      </w:r>
      <w:r w:rsidR="00B37920">
        <w:t xml:space="preserve"> </w:t>
      </w:r>
      <w:r>
        <w:t xml:space="preserve">While </w:t>
      </w:r>
      <w:r w:rsidR="00B37920">
        <w:t>2020 had better conditions</w:t>
      </w:r>
      <w:r>
        <w:t xml:space="preserve">, it is quite possible that the </w:t>
      </w:r>
      <w:r w:rsidR="00B37920">
        <w:t xml:space="preserve">2019 </w:t>
      </w:r>
      <w:r>
        <w:t>conditions may preva</w:t>
      </w:r>
      <w:r w:rsidR="005114B3">
        <w:t xml:space="preserve">il in the near future </w:t>
      </w:r>
      <w:r>
        <w:t xml:space="preserve">inducing increased </w:t>
      </w:r>
      <w:r w:rsidR="00B37920">
        <w:t>halibut encounters and mortality.  C</w:t>
      </w:r>
      <w:r w:rsidR="00EE0F1E">
        <w:t xml:space="preserve">limate change factors affecting marine species according to the scientific studies </w:t>
      </w:r>
      <w:r w:rsidR="00B37920">
        <w:t xml:space="preserve">suggest this </w:t>
      </w:r>
      <w:r w:rsidR="005114B3">
        <w:t>is a likely outcome</w:t>
      </w:r>
      <w:r w:rsidR="00B37920">
        <w:t xml:space="preserve">.   </w:t>
      </w:r>
      <w:r w:rsidR="001D6DF5">
        <w:t xml:space="preserve">Reductions in </w:t>
      </w:r>
      <w:r w:rsidR="00D52F0D">
        <w:t xml:space="preserve">PSC caps </w:t>
      </w:r>
      <w:r w:rsidR="001D6DF5">
        <w:t xml:space="preserve">with ABM </w:t>
      </w:r>
      <w:r w:rsidR="006347A8">
        <w:t>c</w:t>
      </w:r>
      <w:r w:rsidR="001D6DF5">
        <w:t xml:space="preserve">ould </w:t>
      </w:r>
      <w:r w:rsidR="00B37920">
        <w:t>be far more constraining than the</w:t>
      </w:r>
      <w:r w:rsidR="006347A8">
        <w:t>y might appear, if the analysis assumes</w:t>
      </w:r>
      <w:r w:rsidR="00B37920">
        <w:t xml:space="preserve"> average conditions </w:t>
      </w:r>
      <w:r w:rsidR="006347A8">
        <w:t xml:space="preserve">from </w:t>
      </w:r>
      <w:r w:rsidR="00B37920">
        <w:t>historical data</w:t>
      </w:r>
      <w:r w:rsidR="006347A8">
        <w:t xml:space="preserve">. In fact, the constraint arising from lower limits may be </w:t>
      </w:r>
      <w:r w:rsidR="00B37920">
        <w:t xml:space="preserve">considerably worse than </w:t>
      </w:r>
      <w:r w:rsidR="006347A8">
        <w:t xml:space="preserve">suggested by </w:t>
      </w:r>
      <w:r w:rsidR="00B37920">
        <w:t xml:space="preserve">historical data </w:t>
      </w:r>
      <w:r w:rsidR="006347A8">
        <w:t xml:space="preserve">from </w:t>
      </w:r>
      <w:r w:rsidR="00B37920">
        <w:t xml:space="preserve">a limited set of recent years. </w:t>
      </w:r>
    </w:p>
    <w:p w14:paraId="06CE0918" w14:textId="371E8D58" w:rsidR="00DF3479" w:rsidRDefault="00D52F0D" w:rsidP="000D0145">
      <w:r>
        <w:t xml:space="preserve">Finally, </w:t>
      </w:r>
      <w:r w:rsidR="001D6DF5">
        <w:t xml:space="preserve">analyses of the ABM indices show they have tended to correlate poorly with A80 encounter rates.  This </w:t>
      </w:r>
      <w:r w:rsidR="006347A8">
        <w:t xml:space="preserve">lack of correlation </w:t>
      </w:r>
      <w:r w:rsidR="001D6DF5">
        <w:t xml:space="preserve">could contribute to even greater impacts on the A80 sector </w:t>
      </w:r>
      <w:r w:rsidR="005114B3">
        <w:t xml:space="preserve">in some years </w:t>
      </w:r>
      <w:r w:rsidR="001D6DF5">
        <w:t xml:space="preserve">because fishery encounter rates being out of </w:t>
      </w:r>
      <w:r>
        <w:t>step with changes in the PSC caps</w:t>
      </w:r>
      <w:r w:rsidR="003F2AEA">
        <w:t xml:space="preserve"> </w:t>
      </w:r>
      <w:r w:rsidR="00E4022A">
        <w:t xml:space="preserve">may </w:t>
      </w:r>
      <w:r w:rsidR="003F2AEA">
        <w:t>reduce the cap just when encounter rates are increasing</w:t>
      </w:r>
      <w:r w:rsidR="005114B3">
        <w:t xml:space="preserve">.  This </w:t>
      </w:r>
      <w:r w:rsidR="001D6DF5">
        <w:t xml:space="preserve">would aggravate the impacts from </w:t>
      </w:r>
      <w:r>
        <w:t>“perfect storm” of conditions</w:t>
      </w:r>
      <w:r w:rsidR="00B37920">
        <w:t xml:space="preserve"> </w:t>
      </w:r>
      <w:r w:rsidR="006347A8">
        <w:t xml:space="preserve">similar to (or even worse than) </w:t>
      </w:r>
      <w:r w:rsidR="00B37920">
        <w:t xml:space="preserve">2019.  </w:t>
      </w:r>
      <w:r w:rsidR="006347A8">
        <w:t>To fully consider the impacts of the proposed action, t</w:t>
      </w:r>
      <w:r w:rsidR="001D6DF5">
        <w:t xml:space="preserve">he ABM analyses </w:t>
      </w:r>
      <w:r w:rsidR="006347A8">
        <w:t xml:space="preserve">must </w:t>
      </w:r>
      <w:r w:rsidR="001D6DF5">
        <w:t>take a hard look at the</w:t>
      </w:r>
      <w:r w:rsidR="003F2AEA">
        <w:t xml:space="preserve"> likely climate scenarios going forward </w:t>
      </w:r>
      <w:r w:rsidR="001D6DF5">
        <w:t xml:space="preserve">and present all of the available information.  </w:t>
      </w:r>
    </w:p>
    <w:p w14:paraId="6D52AD36" w14:textId="77777777" w:rsidR="0090231C" w:rsidRPr="0066174B" w:rsidRDefault="0090231C" w:rsidP="0090231C">
      <w:pPr>
        <w:rPr>
          <w:b/>
          <w:bCs/>
          <w:u w:val="single"/>
        </w:rPr>
      </w:pPr>
      <w:r w:rsidRPr="0066174B">
        <w:rPr>
          <w:b/>
          <w:bCs/>
          <w:u w:val="single"/>
        </w:rPr>
        <w:t>Comment 2: Making</w:t>
      </w:r>
      <w:r>
        <w:rPr>
          <w:b/>
          <w:bCs/>
          <w:u w:val="single"/>
        </w:rPr>
        <w:t xml:space="preserve"> more reasoned </w:t>
      </w:r>
      <w:r w:rsidRPr="0066174B">
        <w:rPr>
          <w:b/>
          <w:bCs/>
          <w:u w:val="single"/>
        </w:rPr>
        <w:t>inferences about ability of Amendment 80 sector to modify its fishing plans in response to ABM alternatives or further use tools to reduce halibut bycatch and mortality</w:t>
      </w:r>
    </w:p>
    <w:p w14:paraId="17CBE00A" w14:textId="1B5DF3E8" w:rsidR="0090231C" w:rsidRDefault="0090231C" w:rsidP="0090231C">
      <w:r>
        <w:t>Relative to the October 2020 DEIS analysis, the 2021 initial review draft has improved its discussion of the potential for A80 companies to reorganize fishing plans and operations to mitigate the effects of lower PSC caps in the future.  The earlier analysis speculated that under lower PSC caps companies could shift their fishing plans to catch their lower PSC/ higher-valued “</w:t>
      </w:r>
      <w:proofErr w:type="spellStart"/>
      <w:r>
        <w:t>roundfish</w:t>
      </w:r>
      <w:proofErr w:type="spellEnd"/>
      <w:r>
        <w:t>” (</w:t>
      </w:r>
      <w:proofErr w:type="gramStart"/>
      <w:r>
        <w:t>e.g.</w:t>
      </w:r>
      <w:proofErr w:type="gramEnd"/>
      <w:r>
        <w:t xml:space="preserve"> POP, Atka mackerel) early in the year to avoid being shut down early as could happen if they fished their flatfish first under the lower PSC caps with this ABM action.  Section 3.3.3 of the new analysis starting on page 134 takes a more informed look at this possibility.  In addition to recognizing that most </w:t>
      </w:r>
      <w:r w:rsidR="005114B3">
        <w:t xml:space="preserve">flatfish-dependent </w:t>
      </w:r>
      <w:r>
        <w:t>Amendment 80 companies don’t have “</w:t>
      </w:r>
      <w:proofErr w:type="spellStart"/>
      <w:r>
        <w:t>roundfish</w:t>
      </w:r>
      <w:proofErr w:type="spellEnd"/>
      <w:r>
        <w:t xml:space="preserve">” catch allowances to do this, the current document presents information on seasonal limits (e.g. mackerel A and B season limits by AI sub-areas), seasonal catchability, NMFS in-season management constraints (such as opening Bering Sea POP only after the B season pollock fishery is completed), and the inherent limitations on the number of boats that can occupy the very limited fishing grounds in the Aleutians at one time. </w:t>
      </w:r>
      <w:r w:rsidR="005114B3">
        <w:t xml:space="preserve"> The document presents useful information showing how </w:t>
      </w:r>
      <w:r>
        <w:t>Steller sea lion closures and the Aleutian</w:t>
      </w:r>
      <w:r w:rsidR="001E4524">
        <w:t xml:space="preserve"> Island</w:t>
      </w:r>
      <w:r>
        <w:t>s seafloor habitat regulations greatly constrain where fishing can occur</w:t>
      </w:r>
      <w:r w:rsidR="005114B3">
        <w:t>.</w:t>
      </w:r>
      <w:r>
        <w:t xml:space="preserve">  And </w:t>
      </w:r>
      <w:r w:rsidR="005114B3">
        <w:t xml:space="preserve">the document also </w:t>
      </w:r>
      <w:r>
        <w:t xml:space="preserve">correctly points out </w:t>
      </w:r>
      <w:r w:rsidR="001E4524">
        <w:t>that the</w:t>
      </w:r>
      <w:r>
        <w:t xml:space="preserve"> </w:t>
      </w:r>
      <w:r>
        <w:lastRenderedPageBreak/>
        <w:t>seasonality of flatfish fishing doesn’t even allow for this strategy</w:t>
      </w:r>
      <w:r w:rsidR="00AB542A">
        <w:t xml:space="preserve">. </w:t>
      </w:r>
      <w:r>
        <w:t xml:space="preserve">We appreciate all of these improvements to the analysis.   </w:t>
      </w:r>
    </w:p>
    <w:p w14:paraId="035E9702" w14:textId="70C162C3" w:rsidR="0090231C" w:rsidRDefault="0090231C" w:rsidP="0090231C">
      <w:r>
        <w:t>Unfortunately, the discussion of results from the closed loop simulation model results continues to speculate that seasonal fishing plan changes can yield significant halibut savings.  Specifically, we note on page 198 that discussion of differences in model results from stratified versus random simulation models is “not unexpected, as any changes in fleet behavior to adapt to changing PSC limits are likely to be more efficient than a proportional reduction in effort throughout a fishing year as estimated by the random sampling method, or a repeat of previous effort that is prematurely truncated as estimated by the stratified sampling method”.  In this regard, the explanation on page 198 appears to indulge in the same old speculation that there is considerable room to adjust fishing plans to mitigate impacts of lower PSC caps.</w:t>
      </w:r>
      <w:r w:rsidR="006D4468">
        <w:t xml:space="preserve">  This flexibility does not exist for the reasons mentioned above.</w:t>
      </w:r>
      <w:r>
        <w:t xml:space="preserve">  </w:t>
      </w:r>
    </w:p>
    <w:p w14:paraId="5ED3E41E" w14:textId="4CB3334F" w:rsidR="0090231C" w:rsidRDefault="0090231C" w:rsidP="0090231C">
      <w:r>
        <w:t xml:space="preserve">The analysis could also be improved by using the weight of evidence to make informed judgments as to </w:t>
      </w:r>
      <w:r w:rsidR="0042069E">
        <w:t xml:space="preserve">the </w:t>
      </w:r>
      <w:r>
        <w:t>likelihood A80 can further reduce its halibut bycatch rates or mortality.  Background sections of Chapter 3 clearly present the sector’s bycatch reduction achievements in response to the PSC limit reductions since A80 was approved (i.e., 50 mt per year reduction</w:t>
      </w:r>
      <w:r w:rsidR="0042069E">
        <w:t>s</w:t>
      </w:r>
      <w:r>
        <w:t xml:space="preserve"> were put in place for each of the first four years of A80 plus the 25% reduction implemented in 2016).  The document also explains the measures used to achieve these savings including bycatch hotspot avoidance through sharing of real time spatial data and the halibut avoidance plan (HAP) to incentivize halibut bycatch avoidance throughout the year.  </w:t>
      </w:r>
      <w:r w:rsidR="00AB542A">
        <w:t>Unfortunately</w:t>
      </w:r>
      <w:r>
        <w:t>, the analysis fails to go beyond just reporting what the A 80 sector has done and the efforts behind them. To truly analyze the alternatives, analys</w:t>
      </w:r>
      <w:r w:rsidR="00AB542A">
        <w:t xml:space="preserve">ts </w:t>
      </w:r>
      <w:r>
        <w:t xml:space="preserve">must take the next step of making the best assessment possible of whether further gains might be achieved through either use of existing bycatch reduction tools or the development of additional tools.  We believe that any objective analysis of the state of existing and potential tools </w:t>
      </w:r>
      <w:r w:rsidR="00B34F37">
        <w:t xml:space="preserve">will </w:t>
      </w:r>
      <w:r>
        <w:t xml:space="preserve">show unequivocally that further reductions are highly improbable.  </w:t>
      </w:r>
    </w:p>
    <w:p w14:paraId="617075AD" w14:textId="639A86BA" w:rsidR="0090231C" w:rsidRDefault="0090231C" w:rsidP="0090231C">
      <w:r>
        <w:t xml:space="preserve">The discussion of deck sorting in the document provides an example of the failure to take this critical analytical step. The analysis states that the sector fully utilized deck sorting in 2017 and 2018 for flatfish fishing (where most halibut mortality occurs for the A80 sector) and expanded to full usage in all fisheries by 2019 (Table 3.22 page 142).  Yet, the analysis </w:t>
      </w:r>
      <w:r w:rsidR="00AB542A">
        <w:t>still leaves open the possibility for</w:t>
      </w:r>
      <w:r>
        <w:t xml:space="preserve"> additional savings with expansion of deck sorting without </w:t>
      </w:r>
      <w:r w:rsidR="00AB542A">
        <w:t xml:space="preserve">identifying </w:t>
      </w:r>
      <w:r>
        <w:t xml:space="preserve">where that expansion may be or where that savings may come from.  Another important piece of information is found </w:t>
      </w:r>
      <w:r w:rsidR="00811B66">
        <w:t xml:space="preserve">in </w:t>
      </w:r>
      <w:r>
        <w:t xml:space="preserve">figures but is not brought forward in the analysis.  Figure 3-40 on page 134 shows mortality rates declined in the first few years of deck sorting but have plateaued at 50% in 2018 and 2019.  Data </w:t>
      </w:r>
      <w:r w:rsidR="00AB542A">
        <w:t>for</w:t>
      </w:r>
      <w:r>
        <w:t xml:space="preserve"> 2020 that are now available from NMFS AKR are not included in the analysis.  That year also shows a mortality rate of 50% mortality from deck sorting, further confirming that halibut mortality cannot be reduced further than 50%. This conclusion makes sense given </w:t>
      </w:r>
      <w:r w:rsidR="00AB542A">
        <w:t xml:space="preserve">inherent limitations to </w:t>
      </w:r>
      <w:r>
        <w:t>ability of halibut to survive out of water.</w:t>
      </w:r>
    </w:p>
    <w:p w14:paraId="01E33C2D" w14:textId="2DE44E34" w:rsidR="0090231C" w:rsidRDefault="0090231C" w:rsidP="0090231C">
      <w:r>
        <w:t xml:space="preserve">Ironically, the only way the sector is likely to lower the mortality </w:t>
      </w:r>
      <w:r w:rsidRPr="00045F3F">
        <w:rPr>
          <w:u w:val="single"/>
        </w:rPr>
        <w:t>rate</w:t>
      </w:r>
      <w:r>
        <w:t xml:space="preserve"> for deck sorting going forward is to reduce its use of deck sorting, essentially </w:t>
      </w:r>
      <w:r w:rsidR="00AB542A">
        <w:t>using it only in</w:t>
      </w:r>
      <w:r>
        <w:t xml:space="preserve"> fisheries where haul-specific catch amounts and tow duration are </w:t>
      </w:r>
      <w:r w:rsidR="00AB542A">
        <w:t xml:space="preserve">optimal for reducing </w:t>
      </w:r>
      <w:r>
        <w:t xml:space="preserve">mortality rates </w:t>
      </w:r>
      <w:r w:rsidR="00AB542A">
        <w:t xml:space="preserve">to below </w:t>
      </w:r>
      <w:r>
        <w:t xml:space="preserve">the 50% overall average seen in 2018-2020.  But that would actually result in lower </w:t>
      </w:r>
      <w:r w:rsidR="00AB542A">
        <w:t xml:space="preserve">overall </w:t>
      </w:r>
      <w:r>
        <w:t xml:space="preserve">mortality savings in terms of weight of halibut mortality and hence not serve the sector’s ability to be resilient to ABM alternatives that lower the caps.  Nor would it serve the objective of the National Standards to minimize bycatch and its mortality to the extent practicable. </w:t>
      </w:r>
    </w:p>
    <w:p w14:paraId="058845B2" w14:textId="17273AA2" w:rsidR="0090231C" w:rsidRDefault="0090231C" w:rsidP="0090231C">
      <w:r>
        <w:lastRenderedPageBreak/>
        <w:t>The absence of opportunities for further gains through deck sorting, excluders, internal measures (such as further communication of hot spots or incentive programs) strongly suggests that the potential for further measurable reductions in halibut bycatch and mortality are very limited</w:t>
      </w:r>
      <w:r w:rsidR="000916AC">
        <w:t xml:space="preserve"> to non-existent</w:t>
      </w:r>
      <w:r>
        <w:t xml:space="preserve">. The analysts are obliged to take a harder look at the available information and make informed judgments and inferences in this regard instead of just describing the sector’s past efforts and concluding that more gains are possible. </w:t>
      </w:r>
    </w:p>
    <w:p w14:paraId="5A19D561" w14:textId="0D7FA72F" w:rsidR="00FF52B8" w:rsidRPr="00471D03" w:rsidRDefault="00FF52B8" w:rsidP="00FF52B8">
      <w:pPr>
        <w:shd w:val="clear" w:color="auto" w:fill="F7F7F7"/>
        <w:rPr>
          <w:b/>
          <w:bCs/>
          <w:u w:val="single"/>
        </w:rPr>
      </w:pPr>
      <w:r w:rsidRPr="00471D03">
        <w:rPr>
          <w:b/>
          <w:bCs/>
          <w:u w:val="single"/>
        </w:rPr>
        <w:t>Comment 3: The April 2021 initial review draft glosses over problems with ABM indices and issue of future practicability of proposed alternatives</w:t>
      </w:r>
    </w:p>
    <w:p w14:paraId="2C1BDE01" w14:textId="570107D5" w:rsidR="00FF52B8" w:rsidRDefault="00FF52B8" w:rsidP="00FF52B8">
      <w:pPr>
        <w:shd w:val="clear" w:color="auto" w:fill="F7F7F7"/>
      </w:pPr>
      <w:r>
        <w:t>The introductory section of the April 2021 ABM Initial Review Draft states that: “</w:t>
      </w:r>
      <w:r w:rsidRPr="00CA71BA">
        <w:rPr>
          <w:i/>
          <w:iCs/>
        </w:rPr>
        <w:t xml:space="preserve">The Council intends to establish an abundance-based halibut PSC management program in the BSAI for the Amendment 80 sector </w:t>
      </w:r>
      <w:r w:rsidRPr="00CA71BA">
        <w:rPr>
          <w:b/>
          <w:bCs/>
          <w:i/>
          <w:iCs/>
        </w:rPr>
        <w:t>that meets the requirements of the Magnuson-Stevens Act, particularly to minimize halibut PSC to the extent practicable under National Standard 9</w:t>
      </w:r>
      <w:r w:rsidRPr="00CA71BA">
        <w:rPr>
          <w:i/>
          <w:iCs/>
        </w:rPr>
        <w:t xml:space="preserve"> and to achieve optimum yield in the BSAI groundfish fisheries on a continuing basis under National Standard 1</w:t>
      </w:r>
      <w:r>
        <w:t xml:space="preserve">” (Page 12 with our bolded emphasis).  National Standard Nine does direct Council’s to reduce bycatch “to the extent practicable” and the Alaska Seafood Cooperative has, through its testimony to the SSC and Council on ABM, pointed out our concerns for how the practicability of proposed abundance-based PSC limits will be ensured when </w:t>
      </w:r>
      <w:r w:rsidRPr="00133BA7">
        <w:rPr>
          <w:u w:val="single"/>
        </w:rPr>
        <w:t>the available information demonstrates that A80 halibut encounters do not track with the ABM indices</w:t>
      </w:r>
      <w:r>
        <w:t xml:space="preserve">.  To us, the inherent potential in future years for caps to be going down in years when encounters are </w:t>
      </w:r>
      <w:r w:rsidR="00903F65">
        <w:t xml:space="preserve">going </w:t>
      </w:r>
      <w:r>
        <w:t xml:space="preserve">up and vice versa simply flies in the face of the intent of this action and basic issue of practicability. </w:t>
      </w:r>
    </w:p>
    <w:p w14:paraId="44209831" w14:textId="5D964BF2" w:rsidR="00FF52B8" w:rsidRDefault="00FF52B8" w:rsidP="00FF52B8">
      <w:pPr>
        <w:shd w:val="clear" w:color="auto" w:fill="F7F7F7"/>
      </w:pPr>
      <w:r>
        <w:t xml:space="preserve">The failure of indices to adjust caps in the correct direction with halibut encounters is particularly problematic because the current set of </w:t>
      </w:r>
      <w:r w:rsidRPr="00A94C73">
        <w:t>alternatives includes many potential cap levels well below any level of bycatch mortality reduction that the A80 sector has been able to achieve historically and is unlikely to ever be able to achieve in the future</w:t>
      </w:r>
      <w:r>
        <w:t xml:space="preserve">. In fact, </w:t>
      </w:r>
      <w:r w:rsidRPr="00A94C73">
        <w:rPr>
          <w:u w:val="single"/>
        </w:rPr>
        <w:t>the most likely projected future PSC caps are the “low/very low” cap scenario</w:t>
      </w:r>
      <w:r>
        <w:t xml:space="preserve"> (see Figures 2-7. Table 2-13 and page 199). This means that the lowest caps from the alternatives </w:t>
      </w:r>
      <w:r w:rsidRPr="00345CBF">
        <w:rPr>
          <w:u w:val="single"/>
        </w:rPr>
        <w:t>are the most likely future</w:t>
      </w:r>
      <w:r>
        <w:t xml:space="preserve"> (e.g. a 41% reduction from the sector’s current cap with Alternative 4 under low/very low index values).   </w:t>
      </w:r>
    </w:p>
    <w:p w14:paraId="317B62BF" w14:textId="2E2D4D14" w:rsidR="00FF52B8" w:rsidRDefault="00FF52B8" w:rsidP="00FF52B8">
      <w:pPr>
        <w:shd w:val="clear" w:color="auto" w:fill="F7F7F7"/>
      </w:pPr>
      <w:r>
        <w:t xml:space="preserve">The A80 sector is fearful that given the failure of indices to track the direction and degree of halibut encounters, future PSC caps from the alternatives could be at their lowest levels when the sector’s halibut encounter rates are actually increasing. This </w:t>
      </w:r>
      <w:r w:rsidR="00903F65">
        <w:t xml:space="preserve">would </w:t>
      </w:r>
      <w:r>
        <w:t xml:space="preserve">completely overwhelm the sector’s bycatch reduction </w:t>
      </w:r>
      <w:r w:rsidR="00AB542A">
        <w:t xml:space="preserve">strategies </w:t>
      </w:r>
      <w:r>
        <w:t xml:space="preserve">and create great economic harm to the sector, its industry support infrastructure in Alaska and elsewhere, and fish consumers.  All this for what the ABM analysis admits are relatively minor catch and revenue gains to the halibut fishery and likely no positive conservation benefit to the halibut spawning stock.  </w:t>
      </w:r>
    </w:p>
    <w:p w14:paraId="65881625" w14:textId="1AF2B124" w:rsidR="00FF52B8" w:rsidRDefault="00FF52B8" w:rsidP="00FF52B8">
      <w:pPr>
        <w:shd w:val="clear" w:color="auto" w:fill="F7F7F7"/>
      </w:pPr>
      <w:r>
        <w:t>The A80 sector is also concerned that the most likely climate scenarios based on the weight of evidence from scientifically accepted climate models predict shifts in groundfish species distributions and other conditions that may decrease the effectiveness of the sector’s halibut avoidance efforts</w:t>
      </w:r>
      <w:r w:rsidR="00AB542A">
        <w:t xml:space="preserve"> as presented in the first comment above</w:t>
      </w:r>
      <w:r>
        <w:t xml:space="preserve">.    </w:t>
      </w:r>
    </w:p>
    <w:p w14:paraId="46D8D209" w14:textId="3BE88920" w:rsidR="00AB542A" w:rsidRDefault="00FF52B8" w:rsidP="00FF52B8">
      <w:pPr>
        <w:shd w:val="clear" w:color="auto" w:fill="F7F7F7"/>
      </w:pPr>
      <w:r>
        <w:t xml:space="preserve">The April 2021 initial review draft now appears to recognize the lack of correspondence between the ABM indices and halibut encounters and offers possible explanations for this disconnect including environmental variability and differences in where and how A80 fishes compared to the gridded </w:t>
      </w:r>
      <w:r>
        <w:lastRenderedPageBreak/>
        <w:t xml:space="preserve">approach to </w:t>
      </w:r>
      <w:r w:rsidR="00EB783E">
        <w:t>sta</w:t>
      </w:r>
      <w:r w:rsidR="000916AC">
        <w:t>n</w:t>
      </w:r>
      <w:r w:rsidR="00EB783E">
        <w:t>dardized</w:t>
      </w:r>
      <w:r>
        <w:t xml:space="preserve"> surveys (see Section 3.4.3).  In fact, the current document now appears ready to accept that the relationship between indices and encounters is close to random and says on page 24 that: “</w:t>
      </w:r>
      <w:r w:rsidRPr="00CA71BA">
        <w:rPr>
          <w:i/>
          <w:iCs/>
        </w:rPr>
        <w:t>It is not impossible that expected PSC use would be higher, all else equal, if halibut are more abundant in the BSAI…</w:t>
      </w:r>
      <w:r>
        <w:t xml:space="preserve">”.  </w:t>
      </w:r>
    </w:p>
    <w:p w14:paraId="30C684B3" w14:textId="7B25FB43" w:rsidR="00FF52B8" w:rsidRDefault="00FF52B8" w:rsidP="00FF52B8">
      <w:pPr>
        <w:shd w:val="clear" w:color="auto" w:fill="F7F7F7"/>
      </w:pPr>
      <w:r>
        <w:t>In reality, correlation analyses done in different ABM documents have shown low to very low correlation between ABM indices and trawl sector and A 80 halibut encounter rates.  The most recent look at correlation of indices with A80 halibut encounters (October 2020 C6 ABM discussion paper</w:t>
      </w:r>
      <w:r w:rsidR="00AB542A">
        <w:t xml:space="preserve"> that SSC did not review</w:t>
      </w:r>
      <w:r>
        <w:t xml:space="preserve">) actually showed statistically significant but weak </w:t>
      </w:r>
      <w:r w:rsidRPr="007B13C2">
        <w:rPr>
          <w:u w:val="single"/>
        </w:rPr>
        <w:t>negative</w:t>
      </w:r>
      <w:r>
        <w:t xml:space="preserve"> correlation between ABM indices and A80 halibut catches (see Figure 2-6 of that document). </w:t>
      </w:r>
    </w:p>
    <w:p w14:paraId="4ADD9926" w14:textId="6EA457D5" w:rsidR="00FF52B8" w:rsidRDefault="00FF52B8" w:rsidP="00FF52B8">
      <w:pPr>
        <w:shd w:val="clear" w:color="auto" w:fill="F7F7F7"/>
      </w:pPr>
      <w:r>
        <w:t>Our past comments</w:t>
      </w:r>
      <w:r w:rsidR="007D5176">
        <w:t xml:space="preserve"> </w:t>
      </w:r>
      <w:r>
        <w:t xml:space="preserve">have questioned how the Council can ensure its proposed ABM action is practicable for the A80 sector when indices can move caps in the opposite direction of future halibut encounter rates for the sector.  </w:t>
      </w:r>
      <w:r w:rsidR="00EB783E">
        <w:t xml:space="preserve">The </w:t>
      </w:r>
      <w:r w:rsidR="006822E4">
        <w:t xml:space="preserve">SSC’s minutes </w:t>
      </w:r>
      <w:r w:rsidR="00EB783E">
        <w:t xml:space="preserve">from </w:t>
      </w:r>
      <w:r w:rsidR="006822E4">
        <w:t>October 2019 and October 2020 have clearly flagged this same concern.  Given all this, w</w:t>
      </w:r>
      <w:r w:rsidRPr="00133BA7">
        <w:rPr>
          <w:u w:val="single"/>
        </w:rPr>
        <w:t>e are now even more concerned that the approach appears now to be to accept the lack of appropriate indices</w:t>
      </w:r>
      <w:r>
        <w:t xml:space="preserve"> for this abundance-based approach to managing A 80’s halibut bycatch and to “roll on”.   To us, it does not make sense to spend all this time working on the specific details of ABM alternatives and then have to come back to the very basic question of future practicability of management measures that would change PSC caps with indices that do not necessarily correspond to future encounters and other factors that drive mortality usage annually.  </w:t>
      </w:r>
    </w:p>
    <w:p w14:paraId="324923A4" w14:textId="4036D3CF" w:rsidR="00FF52B8" w:rsidRDefault="00FF52B8" w:rsidP="00FF52B8">
      <w:pPr>
        <w:shd w:val="clear" w:color="auto" w:fill="F7F7F7"/>
      </w:pPr>
      <w:r>
        <w:t xml:space="preserve">The initial review draft does not directly </w:t>
      </w:r>
      <w:r w:rsidR="00B62E10">
        <w:t xml:space="preserve">take up </w:t>
      </w:r>
      <w:r>
        <w:t>this ever-so-important issue of future practicability of proposed measures in the context of National Standard Nine until late in the document.  In Section 7.1 entitled “Magnuson-Stevens Act National Standards” (page 243) the document explains: “</w:t>
      </w:r>
      <w:r w:rsidRPr="00CA71BA">
        <w:rPr>
          <w:i/>
          <w:iCs/>
        </w:rPr>
        <w:t>In general, the intention of indexing the A80 PSC limit to fluctuations in halibut biomass should more closely link PSC limits with encounters on the fishing grounds especially at extremely low levels of biomass (and resulting PSC limits</w:t>
      </w:r>
      <w:r>
        <w:t xml:space="preserve">)”.  Wait a minute, the analysis up to this point has clearly admitted that the ABM indices do not track with A 80 halibut encounters.  Therefore, expecting PSC caps under ABM to track encounters as part of achievement of practicability under the National Standards </w:t>
      </w:r>
      <w:r w:rsidRPr="00E27E55">
        <w:rPr>
          <w:u w:val="single"/>
        </w:rPr>
        <w:t xml:space="preserve">is not grounded </w:t>
      </w:r>
      <w:r w:rsidR="00EB783E">
        <w:rPr>
          <w:u w:val="single"/>
        </w:rPr>
        <w:t xml:space="preserve">at </w:t>
      </w:r>
      <w:r>
        <w:t xml:space="preserve">all </w:t>
      </w:r>
      <w:r w:rsidR="00EB783E">
        <w:t>in w</w:t>
      </w:r>
      <w:r>
        <w:t xml:space="preserve">hat is stated in the document above this section.   </w:t>
      </w:r>
    </w:p>
    <w:p w14:paraId="518FD902" w14:textId="14F11DB0" w:rsidR="00A004D0" w:rsidRDefault="00735E60" w:rsidP="00FF52B8">
      <w:r>
        <w:t xml:space="preserve">One additional observation about the initial review draft’s treatment of the ABM indices and linkages to encounter rates.  Pages 135-139 present figures that the analysts use to examine the issue of spatial aspects of the NMFS bottom trawl survey and A80 fishing effort. This is an area where AKSC has presented public testimony asserting that the spatial aspects of the survey (gridded coverage of the Bering Sea shelf and slope) differ greatly from where the A80 fishery occurs in a given year. </w:t>
      </w:r>
      <w:r w:rsidR="00A004D0">
        <w:t xml:space="preserve">Recall this was the “home range” versus survey area </w:t>
      </w:r>
      <w:r w:rsidR="00B62E10">
        <w:t>analysis Dr.</w:t>
      </w:r>
      <w:r w:rsidR="00A004D0">
        <w:t xml:space="preserve"> Martell put together where ~95% of the A80’s annual catch comes out of the home range area. </w:t>
      </w:r>
      <w:r>
        <w:t xml:space="preserve"> We think </w:t>
      </w:r>
      <w:r w:rsidR="00A004D0">
        <w:t xml:space="preserve">Dr. Martell’s analysis did a good job illustrating why A80 can </w:t>
      </w:r>
      <w:r>
        <w:t xml:space="preserve">have quite different </w:t>
      </w:r>
      <w:r w:rsidR="004C2A90">
        <w:t xml:space="preserve">halibut encounter rates from the overall survey results in terms of abundance index because halibut are not evenly distributed across the entire Bering Sea survey area.  </w:t>
      </w:r>
    </w:p>
    <w:p w14:paraId="33012F8D" w14:textId="010CAB2E" w:rsidR="00A004D0" w:rsidRDefault="004C2A90" w:rsidP="00FF52B8">
      <w:r>
        <w:t xml:space="preserve">Our point is that the </w:t>
      </w:r>
      <w:r w:rsidR="00A004D0">
        <w:t xml:space="preserve">ABM initial review document’s </w:t>
      </w:r>
      <w:r>
        <w:t xml:space="preserve">analysis shows A80 fishing effort locations pooled over aggregated years of data.  Because effort is normally quite spatially different from year to year </w:t>
      </w:r>
      <w:r w:rsidR="00B62E10">
        <w:t xml:space="preserve">it is not useful to </w:t>
      </w:r>
      <w:r>
        <w:t>pool</w:t>
      </w:r>
      <w:r w:rsidR="00B62E10">
        <w:t xml:space="preserve"> </w:t>
      </w:r>
      <w:r w:rsidR="00E66988">
        <w:t xml:space="preserve">annual </w:t>
      </w:r>
      <w:r>
        <w:t xml:space="preserve">data </w:t>
      </w:r>
      <w:r w:rsidR="00B62E10">
        <w:t xml:space="preserve">which then </w:t>
      </w:r>
      <w:r>
        <w:t xml:space="preserve">gives the impression that the A80 sector fishes a fairly broad area that is somewhat similar to the survey grid.  In reality the issue is annual fishing area and how that differs from the broad, gridded area of the survey because that </w:t>
      </w:r>
      <w:r w:rsidR="00B62E10">
        <w:t xml:space="preserve">is </w:t>
      </w:r>
      <w:r>
        <w:t>likely to be</w:t>
      </w:r>
      <w:r w:rsidR="00F13C14">
        <w:t xml:space="preserve"> one reason</w:t>
      </w:r>
      <w:r>
        <w:t xml:space="preserve"> why the annual </w:t>
      </w:r>
      <w:r>
        <w:lastRenderedPageBreak/>
        <w:t xml:space="preserve">encounter rate of halibut in A80 differs from the survey estimate.  </w:t>
      </w:r>
      <w:r w:rsidR="00A004D0">
        <w:t xml:space="preserve">To illustrate our point, we </w:t>
      </w:r>
      <w:r>
        <w:t xml:space="preserve">provide </w:t>
      </w:r>
      <w:r w:rsidR="00A004D0">
        <w:t xml:space="preserve">below </w:t>
      </w:r>
      <w:r w:rsidR="00E66988">
        <w:t xml:space="preserve">two of the </w:t>
      </w:r>
      <w:r>
        <w:t xml:space="preserve">annual snapshots </w:t>
      </w:r>
      <w:r w:rsidR="00A004D0">
        <w:t xml:space="preserve">Dr. Martell put together for us </w:t>
      </w:r>
      <w:r w:rsidR="00E66988">
        <w:t xml:space="preserve">(as </w:t>
      </w:r>
      <w:r w:rsidR="00A004D0">
        <w:t xml:space="preserve">presented to </w:t>
      </w:r>
      <w:r>
        <w:t>the SSC and Council</w:t>
      </w:r>
      <w:r w:rsidR="00A004D0">
        <w:t xml:space="preserve"> in October 2009</w:t>
      </w:r>
      <w:r w:rsidR="00E66988">
        <w:t>)</w:t>
      </w:r>
      <w:r>
        <w:t xml:space="preserve">. </w:t>
      </w:r>
    </w:p>
    <w:p w14:paraId="76B8B0FA" w14:textId="01C84A83" w:rsidR="00A004D0" w:rsidRDefault="00A004D0" w:rsidP="00FF52B8">
      <w:r>
        <w:rPr>
          <w:noProof/>
        </w:rPr>
        <w:drawing>
          <wp:inline distT="0" distB="0" distL="0" distR="0" wp14:anchorId="7D3F5393" wp14:editId="065F9C16">
            <wp:extent cx="2469741" cy="1886080"/>
            <wp:effectExtent l="0" t="0" r="6985"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7" cstate="print"/>
                    <a:srcRect/>
                    <a:stretch>
                      <a:fillRect/>
                    </a:stretch>
                  </pic:blipFill>
                  <pic:spPr bwMode="auto">
                    <a:xfrm>
                      <a:off x="0" y="0"/>
                      <a:ext cx="2525828" cy="1928912"/>
                    </a:xfrm>
                    <a:prstGeom prst="rect">
                      <a:avLst/>
                    </a:prstGeom>
                    <a:noFill/>
                    <a:ln w="9525">
                      <a:noFill/>
                      <a:miter lim="800000"/>
                      <a:headEnd/>
                      <a:tailEnd/>
                    </a:ln>
                  </pic:spPr>
                </pic:pic>
              </a:graphicData>
            </a:graphic>
          </wp:inline>
        </w:drawing>
      </w:r>
    </w:p>
    <w:p w14:paraId="514596FA" w14:textId="3AD3B115" w:rsidR="00735E60" w:rsidRDefault="00E66988" w:rsidP="00FF52B8">
      <w:r>
        <w:rPr>
          <w:noProof/>
        </w:rPr>
        <w:drawing>
          <wp:inline distT="0" distB="0" distL="0" distR="0" wp14:anchorId="77171352" wp14:editId="7D8E1794">
            <wp:extent cx="2588260" cy="1922945"/>
            <wp:effectExtent l="0" t="0" r="2540" b="1270"/>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8" cstate="print"/>
                    <a:srcRect/>
                    <a:stretch>
                      <a:fillRect/>
                    </a:stretch>
                  </pic:blipFill>
                  <pic:spPr bwMode="auto">
                    <a:xfrm>
                      <a:off x="0" y="0"/>
                      <a:ext cx="2621003" cy="1947271"/>
                    </a:xfrm>
                    <a:prstGeom prst="rect">
                      <a:avLst/>
                    </a:prstGeom>
                    <a:noFill/>
                    <a:ln w="9525">
                      <a:noFill/>
                      <a:miter lim="800000"/>
                      <a:headEnd/>
                      <a:tailEnd/>
                    </a:ln>
                  </pic:spPr>
                </pic:pic>
              </a:graphicData>
            </a:graphic>
          </wp:inline>
        </w:drawing>
      </w:r>
      <w:r w:rsidR="004C2A90">
        <w:t xml:space="preserve">   </w:t>
      </w:r>
      <w:r w:rsidR="00735E60">
        <w:t xml:space="preserve"> </w:t>
      </w:r>
    </w:p>
    <w:p w14:paraId="3CCA868E" w14:textId="34EA6779" w:rsidR="008E6A5D" w:rsidRPr="00471D03" w:rsidRDefault="008E6A5D" w:rsidP="008E6A5D">
      <w:pPr>
        <w:rPr>
          <w:u w:val="single"/>
        </w:rPr>
      </w:pPr>
      <w:r w:rsidRPr="00471D03">
        <w:rPr>
          <w:u w:val="single"/>
        </w:rPr>
        <w:t>References:</w:t>
      </w:r>
    </w:p>
    <w:p w14:paraId="0DE67C1F" w14:textId="77777777" w:rsidR="00184383" w:rsidRPr="00184383" w:rsidRDefault="00184383" w:rsidP="00184383">
      <w:r w:rsidRPr="00184383">
        <w:t xml:space="preserve">Abbott, J., Haynie, A. C., &amp; Reimer, M. N. (2015). Hidden flexibility: Institutions, incentives, and the margins of selectivity in fishing. </w:t>
      </w:r>
      <w:r w:rsidRPr="00184383">
        <w:rPr>
          <w:i/>
          <w:iCs/>
        </w:rPr>
        <w:t>Land Economics</w:t>
      </w:r>
      <w:r w:rsidRPr="00184383">
        <w:t xml:space="preserve">, </w:t>
      </w:r>
      <w:r w:rsidRPr="00184383">
        <w:rPr>
          <w:i/>
          <w:iCs/>
        </w:rPr>
        <w:t>91</w:t>
      </w:r>
      <w:r w:rsidRPr="00184383">
        <w:t>(1), 169-195. https://doi.org/10.3368/le.91.1.169</w:t>
      </w:r>
    </w:p>
    <w:p w14:paraId="4098C11D" w14:textId="2FD97AE5" w:rsidR="008E6A5D" w:rsidRDefault="008E6A5D" w:rsidP="008E6A5D">
      <w:proofErr w:type="spellStart"/>
      <w:r>
        <w:t>Mueter</w:t>
      </w:r>
      <w:proofErr w:type="spellEnd"/>
      <w:r>
        <w:t>, F. J., and Litzow, M. A. 2008. Sea ice retreat alters the biogeography of the Bering Sea continental shelf. Ecological Applications, 18: 309–320.</w:t>
      </w:r>
    </w:p>
    <w:p w14:paraId="3F3552F9" w14:textId="77777777" w:rsidR="008E6A5D" w:rsidRDefault="008E6A5D" w:rsidP="008E6A5D">
      <w:proofErr w:type="spellStart"/>
      <w:r>
        <w:t>Rooper</w:t>
      </w:r>
      <w:proofErr w:type="spellEnd"/>
      <w:r>
        <w:t xml:space="preserve">, C. N., Ortiz, I., Hermann, A. J., </w:t>
      </w:r>
      <w:proofErr w:type="spellStart"/>
      <w:r>
        <w:t>Laman</w:t>
      </w:r>
      <w:proofErr w:type="spellEnd"/>
      <w:r>
        <w:t>, N., Cheng, W., Kearney, K., and Aydin, K. Predicted shifts of groundfish distribution in the Eastern Bering Sea under climate change, with implications for fish populations and fisheries management. – ICES Journal of Marine Science, doi:10.1093/</w:t>
      </w:r>
      <w:proofErr w:type="spellStart"/>
      <w:r>
        <w:t>icesjms</w:t>
      </w:r>
      <w:proofErr w:type="spellEnd"/>
      <w:r>
        <w:t>/fsaa215.</w:t>
      </w:r>
    </w:p>
    <w:p w14:paraId="7BBCE156" w14:textId="77777777" w:rsidR="008E6A5D" w:rsidRDefault="008E6A5D" w:rsidP="008E6A5D">
      <w:r>
        <w:t xml:space="preserve">Stevenson, D. E., and </w:t>
      </w:r>
      <w:proofErr w:type="spellStart"/>
      <w:r>
        <w:t>Lauth</w:t>
      </w:r>
      <w:proofErr w:type="spellEnd"/>
      <w:r>
        <w:t>, R. R. 2019. Bottom trawl surveys in the northern Bering Sea indicate recent shifts in the distribution of marine species. Polar Biology, 42: 407–421</w:t>
      </w:r>
    </w:p>
    <w:p w14:paraId="7AECC5D5" w14:textId="72C14E9F" w:rsidR="00726005" w:rsidRDefault="0038132D">
      <w:r>
        <w:t xml:space="preserve">“Vulnerability and risk of impacts of flatfishes to climate change” A presentation by William W. L. Cheung; Nippon Foundation-UBC Nereus Program.  Available from the Institute for the Oceans and Fisheries, University of British Columbia, Vancouver, Canada. </w:t>
      </w:r>
    </w:p>
    <w:p w14:paraId="7CF2126F" w14:textId="5AD9B3F4" w:rsidR="00F57A7A" w:rsidRDefault="00F57A7A"/>
    <w:p w14:paraId="6CD98CE7" w14:textId="70FF5E05" w:rsidR="00552804" w:rsidRDefault="00552804"/>
    <w:p w14:paraId="0FC6D96F" w14:textId="77777777" w:rsidR="00552804" w:rsidRDefault="00552804"/>
    <w:sectPr w:rsidR="00552804" w:rsidSect="00157E00">
      <w:headerReference w:type="default" r:id="rId9"/>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4FD914" w14:textId="77777777" w:rsidR="007C090E" w:rsidRDefault="007C090E">
      <w:pPr>
        <w:spacing w:after="0" w:line="240" w:lineRule="auto"/>
      </w:pPr>
      <w:r>
        <w:separator/>
      </w:r>
    </w:p>
  </w:endnote>
  <w:endnote w:type="continuationSeparator" w:id="0">
    <w:p w14:paraId="7B81D864" w14:textId="77777777" w:rsidR="007C090E" w:rsidRDefault="007C09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94FACB" w14:textId="77777777" w:rsidR="007C090E" w:rsidRDefault="007C090E">
      <w:pPr>
        <w:spacing w:after="0" w:line="240" w:lineRule="auto"/>
      </w:pPr>
      <w:r>
        <w:separator/>
      </w:r>
    </w:p>
  </w:footnote>
  <w:footnote w:type="continuationSeparator" w:id="0">
    <w:p w14:paraId="564E9B9D" w14:textId="77777777" w:rsidR="007C090E" w:rsidRDefault="007C090E">
      <w:pPr>
        <w:spacing w:after="0" w:line="240" w:lineRule="auto"/>
      </w:pPr>
      <w:r>
        <w:continuationSeparator/>
      </w:r>
    </w:p>
  </w:footnote>
  <w:footnote w:id="1">
    <w:p w14:paraId="15535C09" w14:textId="35E90B4D" w:rsidR="0090231C" w:rsidRDefault="0090231C">
      <w:pPr>
        <w:pStyle w:val="FootnoteText"/>
      </w:pPr>
      <w:r>
        <w:rPr>
          <w:rStyle w:val="FootnoteReference"/>
        </w:rPr>
        <w:footnoteRef/>
      </w:r>
      <w:r>
        <w:t xml:space="preserve"> </w:t>
      </w:r>
      <w:r w:rsidRPr="006C62E7">
        <w:t xml:space="preserve">Given the southern extent of the seasonal ice edge was noted as a factor by captains to explain yellowfin catch rates, we examined the National Snow and Ice Data Center’s online data (NSIDC.org) to see if their data was useful for this analysis. The NSIDC site provides data on seasonal ice extent for the Arctic but after further review those data are not </w:t>
      </w:r>
      <w:r>
        <w:t xml:space="preserve">area </w:t>
      </w:r>
      <w:r w:rsidRPr="006C62E7">
        <w:t xml:space="preserve">specific.  </w:t>
      </w:r>
      <w:r>
        <w:t xml:space="preserve">As a result, variation in the </w:t>
      </w:r>
      <w:r w:rsidRPr="006C62E7">
        <w:t xml:space="preserve">annual maximum ice area and seasonal extent </w:t>
      </w:r>
      <w:r>
        <w:t xml:space="preserve">of the ice edge may be related to ice in the Atlantic, rather than ice in </w:t>
      </w:r>
      <w:r w:rsidRPr="006C62E7">
        <w:t>the northern or southeast Bering Sea where yellowfin sole fishing occurs</w:t>
      </w:r>
      <w:r>
        <w:t xml:space="preserve">. </w:t>
      </w:r>
      <w:r w:rsidRPr="006C62E7">
        <w:t>The site does provide periodic images of ice extent in the Bering Sea but these data are not archived as numerical data use</w:t>
      </w:r>
      <w:r>
        <w:t xml:space="preserve">ful for </w:t>
      </w:r>
      <w:r w:rsidRPr="006C62E7">
        <w:t>time series</w:t>
      </w:r>
      <w:r>
        <w:t xml:space="preserve"> analysis</w:t>
      </w:r>
      <w:r w:rsidRPr="006C62E7">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A9D248" w14:textId="77777777" w:rsidR="0090231C" w:rsidRDefault="0090231C">
    <w:pPr>
      <w:pStyle w:val="Header"/>
    </w:pPr>
  </w:p>
  <w:p w14:paraId="07F4FDA9" w14:textId="77777777" w:rsidR="0090231C" w:rsidRDefault="009023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A5D"/>
    <w:rsid w:val="000028C3"/>
    <w:rsid w:val="000162D6"/>
    <w:rsid w:val="00022ACB"/>
    <w:rsid w:val="00023885"/>
    <w:rsid w:val="00026A3B"/>
    <w:rsid w:val="00042075"/>
    <w:rsid w:val="00045F3F"/>
    <w:rsid w:val="0006552C"/>
    <w:rsid w:val="00077E07"/>
    <w:rsid w:val="000916AC"/>
    <w:rsid w:val="00092A3E"/>
    <w:rsid w:val="000A31B1"/>
    <w:rsid w:val="000D0145"/>
    <w:rsid w:val="000D2C6F"/>
    <w:rsid w:val="000D53F1"/>
    <w:rsid w:val="000D61E5"/>
    <w:rsid w:val="000E098A"/>
    <w:rsid w:val="000F14E7"/>
    <w:rsid w:val="00101A66"/>
    <w:rsid w:val="00106659"/>
    <w:rsid w:val="00114781"/>
    <w:rsid w:val="001218FB"/>
    <w:rsid w:val="00122531"/>
    <w:rsid w:val="001241D5"/>
    <w:rsid w:val="00133BA7"/>
    <w:rsid w:val="001505FB"/>
    <w:rsid w:val="001547F3"/>
    <w:rsid w:val="00157E00"/>
    <w:rsid w:val="00165256"/>
    <w:rsid w:val="001818FF"/>
    <w:rsid w:val="00184383"/>
    <w:rsid w:val="00184EF2"/>
    <w:rsid w:val="001909D0"/>
    <w:rsid w:val="001B443C"/>
    <w:rsid w:val="001D6DF5"/>
    <w:rsid w:val="001E4524"/>
    <w:rsid w:val="001F3012"/>
    <w:rsid w:val="00200D8F"/>
    <w:rsid w:val="0023785E"/>
    <w:rsid w:val="00242ADA"/>
    <w:rsid w:val="00244835"/>
    <w:rsid w:val="0026763F"/>
    <w:rsid w:val="002A11DD"/>
    <w:rsid w:val="002A27A8"/>
    <w:rsid w:val="002B37CF"/>
    <w:rsid w:val="002C0ABF"/>
    <w:rsid w:val="002C50A6"/>
    <w:rsid w:val="002D08CF"/>
    <w:rsid w:val="002E2DF2"/>
    <w:rsid w:val="00332760"/>
    <w:rsid w:val="00341DA1"/>
    <w:rsid w:val="00345CBF"/>
    <w:rsid w:val="003522D9"/>
    <w:rsid w:val="003734EE"/>
    <w:rsid w:val="003750D0"/>
    <w:rsid w:val="0038132D"/>
    <w:rsid w:val="0039084D"/>
    <w:rsid w:val="003A4494"/>
    <w:rsid w:val="003A4A9B"/>
    <w:rsid w:val="003A5869"/>
    <w:rsid w:val="003B0920"/>
    <w:rsid w:val="003C0FEA"/>
    <w:rsid w:val="003C31B9"/>
    <w:rsid w:val="003D0D90"/>
    <w:rsid w:val="003D184C"/>
    <w:rsid w:val="003D1D9B"/>
    <w:rsid w:val="003D47DD"/>
    <w:rsid w:val="003E166B"/>
    <w:rsid w:val="003F154D"/>
    <w:rsid w:val="003F2AEA"/>
    <w:rsid w:val="004015DA"/>
    <w:rsid w:val="00401B6F"/>
    <w:rsid w:val="00401F11"/>
    <w:rsid w:val="0042069E"/>
    <w:rsid w:val="0042173A"/>
    <w:rsid w:val="00430383"/>
    <w:rsid w:val="00435FD1"/>
    <w:rsid w:val="00443FA1"/>
    <w:rsid w:val="0045648A"/>
    <w:rsid w:val="00461C93"/>
    <w:rsid w:val="00462CFB"/>
    <w:rsid w:val="00467B0D"/>
    <w:rsid w:val="00471D03"/>
    <w:rsid w:val="0048026F"/>
    <w:rsid w:val="00483BFD"/>
    <w:rsid w:val="00487E0D"/>
    <w:rsid w:val="004968E3"/>
    <w:rsid w:val="004C2A90"/>
    <w:rsid w:val="004D4FB5"/>
    <w:rsid w:val="004E134B"/>
    <w:rsid w:val="004F2765"/>
    <w:rsid w:val="005029D0"/>
    <w:rsid w:val="005114B3"/>
    <w:rsid w:val="005167C1"/>
    <w:rsid w:val="005228D6"/>
    <w:rsid w:val="0053190E"/>
    <w:rsid w:val="0054772F"/>
    <w:rsid w:val="00552804"/>
    <w:rsid w:val="00554935"/>
    <w:rsid w:val="00566747"/>
    <w:rsid w:val="005833E5"/>
    <w:rsid w:val="005A0062"/>
    <w:rsid w:val="005A45C6"/>
    <w:rsid w:val="005B3291"/>
    <w:rsid w:val="005D4F5C"/>
    <w:rsid w:val="005F6021"/>
    <w:rsid w:val="00600DC8"/>
    <w:rsid w:val="006133E1"/>
    <w:rsid w:val="00620ECC"/>
    <w:rsid w:val="00631E8F"/>
    <w:rsid w:val="006347A8"/>
    <w:rsid w:val="0063722F"/>
    <w:rsid w:val="00642BA4"/>
    <w:rsid w:val="00644616"/>
    <w:rsid w:val="00646777"/>
    <w:rsid w:val="0065687A"/>
    <w:rsid w:val="00657339"/>
    <w:rsid w:val="0066174B"/>
    <w:rsid w:val="00662A89"/>
    <w:rsid w:val="00664532"/>
    <w:rsid w:val="0066569C"/>
    <w:rsid w:val="006816E4"/>
    <w:rsid w:val="006822E4"/>
    <w:rsid w:val="00683708"/>
    <w:rsid w:val="006B66B9"/>
    <w:rsid w:val="006C04EE"/>
    <w:rsid w:val="006C0856"/>
    <w:rsid w:val="006C0A76"/>
    <w:rsid w:val="006C2EE8"/>
    <w:rsid w:val="006C62E7"/>
    <w:rsid w:val="006D33AE"/>
    <w:rsid w:val="006D4468"/>
    <w:rsid w:val="006E6895"/>
    <w:rsid w:val="006F25AE"/>
    <w:rsid w:val="00726005"/>
    <w:rsid w:val="00735A31"/>
    <w:rsid w:val="00735E60"/>
    <w:rsid w:val="0073773B"/>
    <w:rsid w:val="00777F99"/>
    <w:rsid w:val="007807E0"/>
    <w:rsid w:val="00787F5C"/>
    <w:rsid w:val="00790A1F"/>
    <w:rsid w:val="0079209F"/>
    <w:rsid w:val="00797118"/>
    <w:rsid w:val="007B13C2"/>
    <w:rsid w:val="007B33A2"/>
    <w:rsid w:val="007B7E88"/>
    <w:rsid w:val="007C03C9"/>
    <w:rsid w:val="007C090E"/>
    <w:rsid w:val="007D3139"/>
    <w:rsid w:val="007D3FFF"/>
    <w:rsid w:val="007D5176"/>
    <w:rsid w:val="007F1D35"/>
    <w:rsid w:val="007F59A8"/>
    <w:rsid w:val="007F76BD"/>
    <w:rsid w:val="00811B66"/>
    <w:rsid w:val="00812347"/>
    <w:rsid w:val="00826551"/>
    <w:rsid w:val="00831CBF"/>
    <w:rsid w:val="00833A20"/>
    <w:rsid w:val="008505B1"/>
    <w:rsid w:val="00866E2D"/>
    <w:rsid w:val="008A5107"/>
    <w:rsid w:val="008A5589"/>
    <w:rsid w:val="008C7915"/>
    <w:rsid w:val="008D59BD"/>
    <w:rsid w:val="008E6938"/>
    <w:rsid w:val="008E6A5D"/>
    <w:rsid w:val="0090231C"/>
    <w:rsid w:val="00903F65"/>
    <w:rsid w:val="009227E2"/>
    <w:rsid w:val="009312A7"/>
    <w:rsid w:val="00933343"/>
    <w:rsid w:val="009708CD"/>
    <w:rsid w:val="009727E7"/>
    <w:rsid w:val="009729E9"/>
    <w:rsid w:val="00973EAC"/>
    <w:rsid w:val="00981A35"/>
    <w:rsid w:val="00992E65"/>
    <w:rsid w:val="009A21FB"/>
    <w:rsid w:val="009A5647"/>
    <w:rsid w:val="009B4C9E"/>
    <w:rsid w:val="009C025B"/>
    <w:rsid w:val="009C4552"/>
    <w:rsid w:val="009C652F"/>
    <w:rsid w:val="009D1A74"/>
    <w:rsid w:val="009E6A51"/>
    <w:rsid w:val="009F068E"/>
    <w:rsid w:val="009F3E5D"/>
    <w:rsid w:val="009F6078"/>
    <w:rsid w:val="00A004D0"/>
    <w:rsid w:val="00A04196"/>
    <w:rsid w:val="00A30C3B"/>
    <w:rsid w:val="00A63CE9"/>
    <w:rsid w:val="00A67624"/>
    <w:rsid w:val="00A71ADC"/>
    <w:rsid w:val="00A75637"/>
    <w:rsid w:val="00A765F6"/>
    <w:rsid w:val="00A86E56"/>
    <w:rsid w:val="00A94C73"/>
    <w:rsid w:val="00AB37A8"/>
    <w:rsid w:val="00AB479B"/>
    <w:rsid w:val="00AB542A"/>
    <w:rsid w:val="00AB5BF3"/>
    <w:rsid w:val="00AB6C0C"/>
    <w:rsid w:val="00AD1EEE"/>
    <w:rsid w:val="00AD2674"/>
    <w:rsid w:val="00AE4D56"/>
    <w:rsid w:val="00AF4D59"/>
    <w:rsid w:val="00B00E29"/>
    <w:rsid w:val="00B0436C"/>
    <w:rsid w:val="00B06C93"/>
    <w:rsid w:val="00B326D1"/>
    <w:rsid w:val="00B32FD7"/>
    <w:rsid w:val="00B34F37"/>
    <w:rsid w:val="00B37920"/>
    <w:rsid w:val="00B37AD9"/>
    <w:rsid w:val="00B40D62"/>
    <w:rsid w:val="00B47877"/>
    <w:rsid w:val="00B55C8E"/>
    <w:rsid w:val="00B5673A"/>
    <w:rsid w:val="00B62CE6"/>
    <w:rsid w:val="00B62E10"/>
    <w:rsid w:val="00B63305"/>
    <w:rsid w:val="00B638E3"/>
    <w:rsid w:val="00B76DC4"/>
    <w:rsid w:val="00BA2BF3"/>
    <w:rsid w:val="00BB7A69"/>
    <w:rsid w:val="00BE28CF"/>
    <w:rsid w:val="00BE3496"/>
    <w:rsid w:val="00BE424A"/>
    <w:rsid w:val="00BF07DF"/>
    <w:rsid w:val="00C00C08"/>
    <w:rsid w:val="00C05CD4"/>
    <w:rsid w:val="00C11AD0"/>
    <w:rsid w:val="00C23F9B"/>
    <w:rsid w:val="00C30857"/>
    <w:rsid w:val="00C464E5"/>
    <w:rsid w:val="00C57C11"/>
    <w:rsid w:val="00C656C7"/>
    <w:rsid w:val="00C85C73"/>
    <w:rsid w:val="00C86841"/>
    <w:rsid w:val="00C937FE"/>
    <w:rsid w:val="00CA4F10"/>
    <w:rsid w:val="00CA71BA"/>
    <w:rsid w:val="00CD1690"/>
    <w:rsid w:val="00CD7D17"/>
    <w:rsid w:val="00CE08BC"/>
    <w:rsid w:val="00CE4B95"/>
    <w:rsid w:val="00CF6514"/>
    <w:rsid w:val="00CF6DE0"/>
    <w:rsid w:val="00D02839"/>
    <w:rsid w:val="00D06119"/>
    <w:rsid w:val="00D3440F"/>
    <w:rsid w:val="00D43CDB"/>
    <w:rsid w:val="00D5230E"/>
    <w:rsid w:val="00D52F0D"/>
    <w:rsid w:val="00D6363C"/>
    <w:rsid w:val="00D823A3"/>
    <w:rsid w:val="00D959FE"/>
    <w:rsid w:val="00D95E93"/>
    <w:rsid w:val="00D978A0"/>
    <w:rsid w:val="00DA67EF"/>
    <w:rsid w:val="00DA702D"/>
    <w:rsid w:val="00DA70D9"/>
    <w:rsid w:val="00DB1501"/>
    <w:rsid w:val="00DB715F"/>
    <w:rsid w:val="00DC58C3"/>
    <w:rsid w:val="00DF3479"/>
    <w:rsid w:val="00DF4252"/>
    <w:rsid w:val="00DF78A8"/>
    <w:rsid w:val="00E00B0D"/>
    <w:rsid w:val="00E136F8"/>
    <w:rsid w:val="00E243DB"/>
    <w:rsid w:val="00E27E55"/>
    <w:rsid w:val="00E4022A"/>
    <w:rsid w:val="00E41F08"/>
    <w:rsid w:val="00E51C75"/>
    <w:rsid w:val="00E623D9"/>
    <w:rsid w:val="00E66988"/>
    <w:rsid w:val="00E86CC1"/>
    <w:rsid w:val="00E91754"/>
    <w:rsid w:val="00E9437C"/>
    <w:rsid w:val="00EA6B90"/>
    <w:rsid w:val="00EB0E92"/>
    <w:rsid w:val="00EB783E"/>
    <w:rsid w:val="00EC72D4"/>
    <w:rsid w:val="00ED4556"/>
    <w:rsid w:val="00EE047E"/>
    <w:rsid w:val="00EE0F1E"/>
    <w:rsid w:val="00EE1E4F"/>
    <w:rsid w:val="00EE4BD4"/>
    <w:rsid w:val="00F13C14"/>
    <w:rsid w:val="00F1543A"/>
    <w:rsid w:val="00F21FA8"/>
    <w:rsid w:val="00F41021"/>
    <w:rsid w:val="00F4129F"/>
    <w:rsid w:val="00F46947"/>
    <w:rsid w:val="00F50F6A"/>
    <w:rsid w:val="00F5387C"/>
    <w:rsid w:val="00F5573D"/>
    <w:rsid w:val="00F57A7A"/>
    <w:rsid w:val="00F91109"/>
    <w:rsid w:val="00F91DA5"/>
    <w:rsid w:val="00F95580"/>
    <w:rsid w:val="00F97054"/>
    <w:rsid w:val="00FC2E39"/>
    <w:rsid w:val="00FD1747"/>
    <w:rsid w:val="00FD1A6D"/>
    <w:rsid w:val="00FF5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6AE8"/>
  <w15:chartTrackingRefBased/>
  <w15:docId w15:val="{75324EE1-33E8-4050-8DE5-AB8530966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A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6A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6A5D"/>
  </w:style>
  <w:style w:type="character" w:styleId="Hyperlink">
    <w:name w:val="Hyperlink"/>
    <w:basedOn w:val="DefaultParagraphFont"/>
    <w:uiPriority w:val="99"/>
    <w:unhideWhenUsed/>
    <w:rsid w:val="00A30C3B"/>
    <w:rPr>
      <w:color w:val="0563C1" w:themeColor="hyperlink"/>
      <w:u w:val="single"/>
    </w:rPr>
  </w:style>
  <w:style w:type="character" w:styleId="UnresolvedMention">
    <w:name w:val="Unresolved Mention"/>
    <w:basedOn w:val="DefaultParagraphFont"/>
    <w:uiPriority w:val="99"/>
    <w:semiHidden/>
    <w:unhideWhenUsed/>
    <w:rsid w:val="00A30C3B"/>
    <w:rPr>
      <w:color w:val="605E5C"/>
      <w:shd w:val="clear" w:color="auto" w:fill="E1DFDD"/>
    </w:rPr>
  </w:style>
  <w:style w:type="character" w:styleId="CommentReference">
    <w:name w:val="annotation reference"/>
    <w:basedOn w:val="DefaultParagraphFont"/>
    <w:uiPriority w:val="99"/>
    <w:semiHidden/>
    <w:unhideWhenUsed/>
    <w:rsid w:val="008A5107"/>
    <w:rPr>
      <w:sz w:val="16"/>
      <w:szCs w:val="16"/>
    </w:rPr>
  </w:style>
  <w:style w:type="paragraph" w:styleId="CommentText">
    <w:name w:val="annotation text"/>
    <w:basedOn w:val="Normal"/>
    <w:link w:val="CommentTextChar"/>
    <w:uiPriority w:val="99"/>
    <w:semiHidden/>
    <w:unhideWhenUsed/>
    <w:rsid w:val="008A5107"/>
    <w:pPr>
      <w:spacing w:line="240" w:lineRule="auto"/>
    </w:pPr>
    <w:rPr>
      <w:sz w:val="20"/>
      <w:szCs w:val="20"/>
    </w:rPr>
  </w:style>
  <w:style w:type="character" w:customStyle="1" w:styleId="CommentTextChar">
    <w:name w:val="Comment Text Char"/>
    <w:basedOn w:val="DefaultParagraphFont"/>
    <w:link w:val="CommentText"/>
    <w:uiPriority w:val="99"/>
    <w:semiHidden/>
    <w:rsid w:val="008A5107"/>
    <w:rPr>
      <w:sz w:val="20"/>
      <w:szCs w:val="20"/>
    </w:rPr>
  </w:style>
  <w:style w:type="paragraph" w:styleId="CommentSubject">
    <w:name w:val="annotation subject"/>
    <w:basedOn w:val="CommentText"/>
    <w:next w:val="CommentText"/>
    <w:link w:val="CommentSubjectChar"/>
    <w:uiPriority w:val="99"/>
    <w:semiHidden/>
    <w:unhideWhenUsed/>
    <w:rsid w:val="008A5107"/>
    <w:rPr>
      <w:b/>
      <w:bCs/>
    </w:rPr>
  </w:style>
  <w:style w:type="character" w:customStyle="1" w:styleId="CommentSubjectChar">
    <w:name w:val="Comment Subject Char"/>
    <w:basedOn w:val="CommentTextChar"/>
    <w:link w:val="CommentSubject"/>
    <w:uiPriority w:val="99"/>
    <w:semiHidden/>
    <w:rsid w:val="008A5107"/>
    <w:rPr>
      <w:b/>
      <w:bCs/>
      <w:sz w:val="20"/>
      <w:szCs w:val="20"/>
    </w:rPr>
  </w:style>
  <w:style w:type="paragraph" w:styleId="BalloonText">
    <w:name w:val="Balloon Text"/>
    <w:basedOn w:val="Normal"/>
    <w:link w:val="BalloonTextChar"/>
    <w:uiPriority w:val="99"/>
    <w:semiHidden/>
    <w:unhideWhenUsed/>
    <w:rsid w:val="008A51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107"/>
    <w:rPr>
      <w:rFonts w:ascii="Segoe UI" w:hAnsi="Segoe UI" w:cs="Segoe UI"/>
      <w:sz w:val="18"/>
      <w:szCs w:val="18"/>
    </w:rPr>
  </w:style>
  <w:style w:type="paragraph" w:styleId="FootnoteText">
    <w:name w:val="footnote text"/>
    <w:basedOn w:val="Normal"/>
    <w:link w:val="FootnoteTextChar"/>
    <w:uiPriority w:val="99"/>
    <w:semiHidden/>
    <w:unhideWhenUsed/>
    <w:rsid w:val="006C62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C62E7"/>
    <w:rPr>
      <w:sz w:val="20"/>
      <w:szCs w:val="20"/>
    </w:rPr>
  </w:style>
  <w:style w:type="character" w:styleId="FootnoteReference">
    <w:name w:val="footnote reference"/>
    <w:basedOn w:val="DefaultParagraphFont"/>
    <w:uiPriority w:val="99"/>
    <w:semiHidden/>
    <w:unhideWhenUsed/>
    <w:rsid w:val="006C62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511417">
      <w:bodyDiv w:val="1"/>
      <w:marLeft w:val="0"/>
      <w:marRight w:val="0"/>
      <w:marTop w:val="0"/>
      <w:marBottom w:val="0"/>
      <w:divBdr>
        <w:top w:val="none" w:sz="0" w:space="0" w:color="auto"/>
        <w:left w:val="none" w:sz="0" w:space="0" w:color="auto"/>
        <w:bottom w:val="none" w:sz="0" w:space="0" w:color="auto"/>
        <w:right w:val="none" w:sz="0" w:space="0" w:color="auto"/>
      </w:divBdr>
      <w:divsChild>
        <w:div w:id="1591155387">
          <w:marLeft w:val="0"/>
          <w:marRight w:val="0"/>
          <w:marTop w:val="0"/>
          <w:marBottom w:val="0"/>
          <w:divBdr>
            <w:top w:val="none" w:sz="0" w:space="0" w:color="auto"/>
            <w:left w:val="none" w:sz="0" w:space="0" w:color="auto"/>
            <w:bottom w:val="none" w:sz="0" w:space="0" w:color="auto"/>
            <w:right w:val="none" w:sz="0" w:space="0" w:color="auto"/>
          </w:divBdr>
          <w:divsChild>
            <w:div w:id="162268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769995">
      <w:bodyDiv w:val="1"/>
      <w:marLeft w:val="0"/>
      <w:marRight w:val="0"/>
      <w:marTop w:val="0"/>
      <w:marBottom w:val="0"/>
      <w:divBdr>
        <w:top w:val="none" w:sz="0" w:space="0" w:color="auto"/>
        <w:left w:val="none" w:sz="0" w:space="0" w:color="auto"/>
        <w:bottom w:val="none" w:sz="0" w:space="0" w:color="auto"/>
        <w:right w:val="none" w:sz="0" w:space="0" w:color="auto"/>
      </w:divBdr>
      <w:divsChild>
        <w:div w:id="1749889375">
          <w:marLeft w:val="0"/>
          <w:marRight w:val="0"/>
          <w:marTop w:val="0"/>
          <w:marBottom w:val="0"/>
          <w:divBdr>
            <w:top w:val="none" w:sz="0" w:space="0" w:color="auto"/>
            <w:left w:val="none" w:sz="0" w:space="0" w:color="auto"/>
            <w:bottom w:val="none" w:sz="0" w:space="0" w:color="auto"/>
            <w:right w:val="none" w:sz="0" w:space="0" w:color="auto"/>
          </w:divBdr>
          <w:divsChild>
            <w:div w:id="305859808">
              <w:marLeft w:val="0"/>
              <w:marRight w:val="0"/>
              <w:marTop w:val="0"/>
              <w:marBottom w:val="0"/>
              <w:divBdr>
                <w:top w:val="none" w:sz="0" w:space="0" w:color="auto"/>
                <w:left w:val="none" w:sz="0" w:space="0" w:color="auto"/>
                <w:bottom w:val="none" w:sz="0" w:space="0" w:color="auto"/>
                <w:right w:val="none" w:sz="0" w:space="0" w:color="auto"/>
              </w:divBdr>
              <w:divsChild>
                <w:div w:id="939488268">
                  <w:marLeft w:val="0"/>
                  <w:marRight w:val="0"/>
                  <w:marTop w:val="0"/>
                  <w:marBottom w:val="0"/>
                  <w:divBdr>
                    <w:top w:val="none" w:sz="0" w:space="0" w:color="auto"/>
                    <w:left w:val="none" w:sz="0" w:space="0" w:color="auto"/>
                    <w:bottom w:val="none" w:sz="0" w:space="0" w:color="auto"/>
                    <w:right w:val="none" w:sz="0" w:space="0" w:color="auto"/>
                  </w:divBdr>
                  <w:divsChild>
                    <w:div w:id="1061833705">
                      <w:marLeft w:val="0"/>
                      <w:marRight w:val="0"/>
                      <w:marTop w:val="0"/>
                      <w:marBottom w:val="0"/>
                      <w:divBdr>
                        <w:top w:val="none" w:sz="0" w:space="0" w:color="auto"/>
                        <w:left w:val="none" w:sz="0" w:space="0" w:color="auto"/>
                        <w:bottom w:val="none" w:sz="0" w:space="0" w:color="auto"/>
                        <w:right w:val="none" w:sz="0" w:space="0" w:color="auto"/>
                      </w:divBdr>
                      <w:divsChild>
                        <w:div w:id="2061857375">
                          <w:marLeft w:val="0"/>
                          <w:marRight w:val="0"/>
                          <w:marTop w:val="0"/>
                          <w:marBottom w:val="0"/>
                          <w:divBdr>
                            <w:top w:val="none" w:sz="0" w:space="0" w:color="auto"/>
                            <w:left w:val="none" w:sz="0" w:space="0" w:color="auto"/>
                            <w:bottom w:val="none" w:sz="0" w:space="0" w:color="auto"/>
                            <w:right w:val="none" w:sz="0" w:space="0" w:color="auto"/>
                          </w:divBdr>
                          <w:divsChild>
                            <w:div w:id="1988781793">
                              <w:marLeft w:val="0"/>
                              <w:marRight w:val="0"/>
                              <w:marTop w:val="0"/>
                              <w:marBottom w:val="0"/>
                              <w:divBdr>
                                <w:top w:val="none" w:sz="0" w:space="0" w:color="auto"/>
                                <w:left w:val="none" w:sz="0" w:space="0" w:color="auto"/>
                                <w:bottom w:val="single" w:sz="6" w:space="0" w:color="BEBEBE"/>
                                <w:right w:val="none" w:sz="0" w:space="0" w:color="auto"/>
                              </w:divBdr>
                              <w:divsChild>
                                <w:div w:id="776564423">
                                  <w:marLeft w:val="0"/>
                                  <w:marRight w:val="0"/>
                                  <w:marTop w:val="0"/>
                                  <w:marBottom w:val="0"/>
                                  <w:divBdr>
                                    <w:top w:val="none" w:sz="0" w:space="0" w:color="auto"/>
                                    <w:left w:val="none" w:sz="0" w:space="0" w:color="auto"/>
                                    <w:bottom w:val="none" w:sz="0" w:space="0" w:color="auto"/>
                                    <w:right w:val="none" w:sz="0" w:space="0" w:color="auto"/>
                                  </w:divBdr>
                                  <w:divsChild>
                                    <w:div w:id="1370376208">
                                      <w:marLeft w:val="0"/>
                                      <w:marRight w:val="0"/>
                                      <w:marTop w:val="0"/>
                                      <w:marBottom w:val="0"/>
                                      <w:divBdr>
                                        <w:top w:val="none" w:sz="0" w:space="0" w:color="auto"/>
                                        <w:left w:val="none" w:sz="0" w:space="0" w:color="auto"/>
                                        <w:bottom w:val="none" w:sz="0" w:space="0" w:color="auto"/>
                                        <w:right w:val="none" w:sz="0" w:space="0" w:color="auto"/>
                                      </w:divBdr>
                                      <w:divsChild>
                                        <w:div w:id="392654938">
                                          <w:marLeft w:val="0"/>
                                          <w:marRight w:val="0"/>
                                          <w:marTop w:val="0"/>
                                          <w:marBottom w:val="0"/>
                                          <w:divBdr>
                                            <w:top w:val="none" w:sz="0" w:space="0" w:color="auto"/>
                                            <w:left w:val="none" w:sz="0" w:space="0" w:color="auto"/>
                                            <w:bottom w:val="none" w:sz="0" w:space="0" w:color="auto"/>
                                            <w:right w:val="none" w:sz="0" w:space="0" w:color="auto"/>
                                          </w:divBdr>
                                          <w:divsChild>
                                            <w:div w:id="1314722187">
                                              <w:marLeft w:val="0"/>
                                              <w:marRight w:val="0"/>
                                              <w:marTop w:val="0"/>
                                              <w:marBottom w:val="0"/>
                                              <w:divBdr>
                                                <w:top w:val="none" w:sz="0" w:space="0" w:color="auto"/>
                                                <w:left w:val="none" w:sz="0" w:space="0" w:color="auto"/>
                                                <w:bottom w:val="none" w:sz="0" w:space="0" w:color="auto"/>
                                                <w:right w:val="none" w:sz="0" w:space="0" w:color="auto"/>
                                              </w:divBdr>
                                              <w:divsChild>
                                                <w:div w:id="179701582">
                                                  <w:marLeft w:val="0"/>
                                                  <w:marRight w:val="0"/>
                                                  <w:marTop w:val="0"/>
                                                  <w:marBottom w:val="0"/>
                                                  <w:divBdr>
                                                    <w:top w:val="none" w:sz="0" w:space="0" w:color="auto"/>
                                                    <w:left w:val="none" w:sz="0" w:space="0" w:color="auto"/>
                                                    <w:bottom w:val="none" w:sz="0" w:space="0" w:color="auto"/>
                                                    <w:right w:val="none" w:sz="0" w:space="0" w:color="auto"/>
                                                  </w:divBdr>
                                                  <w:divsChild>
                                                    <w:div w:id="188213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400793">
                                  <w:marLeft w:val="0"/>
                                  <w:marRight w:val="0"/>
                                  <w:marTop w:val="0"/>
                                  <w:marBottom w:val="0"/>
                                  <w:divBdr>
                                    <w:top w:val="none" w:sz="0" w:space="0" w:color="auto"/>
                                    <w:left w:val="none" w:sz="0" w:space="0" w:color="auto"/>
                                    <w:bottom w:val="none" w:sz="0" w:space="0" w:color="auto"/>
                                    <w:right w:val="none" w:sz="0" w:space="0" w:color="auto"/>
                                  </w:divBdr>
                                  <w:divsChild>
                                    <w:div w:id="1080254582">
                                      <w:marLeft w:val="0"/>
                                      <w:marRight w:val="0"/>
                                      <w:marTop w:val="0"/>
                                      <w:marBottom w:val="0"/>
                                      <w:divBdr>
                                        <w:top w:val="none" w:sz="0" w:space="0" w:color="auto"/>
                                        <w:left w:val="none" w:sz="0" w:space="0" w:color="auto"/>
                                        <w:bottom w:val="none" w:sz="0" w:space="0" w:color="auto"/>
                                        <w:right w:val="none" w:sz="0" w:space="0" w:color="auto"/>
                                      </w:divBdr>
                                      <w:divsChild>
                                        <w:div w:id="496766445">
                                          <w:marLeft w:val="0"/>
                                          <w:marRight w:val="0"/>
                                          <w:marTop w:val="0"/>
                                          <w:marBottom w:val="0"/>
                                          <w:divBdr>
                                            <w:top w:val="none" w:sz="0" w:space="0" w:color="auto"/>
                                            <w:left w:val="none" w:sz="0" w:space="0" w:color="auto"/>
                                            <w:bottom w:val="none" w:sz="0" w:space="0" w:color="auto"/>
                                            <w:right w:val="none" w:sz="0" w:space="0" w:color="auto"/>
                                          </w:divBdr>
                                          <w:divsChild>
                                            <w:div w:id="1342120423">
                                              <w:marLeft w:val="0"/>
                                              <w:marRight w:val="0"/>
                                              <w:marTop w:val="0"/>
                                              <w:marBottom w:val="0"/>
                                              <w:divBdr>
                                                <w:top w:val="none" w:sz="0" w:space="0" w:color="auto"/>
                                                <w:left w:val="none" w:sz="0" w:space="0" w:color="auto"/>
                                                <w:bottom w:val="none" w:sz="0" w:space="0" w:color="auto"/>
                                                <w:right w:val="none" w:sz="0" w:space="0" w:color="auto"/>
                                              </w:divBdr>
                                              <w:divsChild>
                                                <w:div w:id="632834703">
                                                  <w:marLeft w:val="0"/>
                                                  <w:marRight w:val="0"/>
                                                  <w:marTop w:val="0"/>
                                                  <w:marBottom w:val="0"/>
                                                  <w:divBdr>
                                                    <w:top w:val="none" w:sz="0" w:space="0" w:color="auto"/>
                                                    <w:left w:val="none" w:sz="0" w:space="0" w:color="auto"/>
                                                    <w:bottom w:val="none" w:sz="0" w:space="0" w:color="auto"/>
                                                    <w:right w:val="none" w:sz="0" w:space="0" w:color="auto"/>
                                                  </w:divBdr>
                                                  <w:divsChild>
                                                    <w:div w:id="505367732">
                                                      <w:marLeft w:val="0"/>
                                                      <w:marRight w:val="0"/>
                                                      <w:marTop w:val="0"/>
                                                      <w:marBottom w:val="0"/>
                                                      <w:divBdr>
                                                        <w:top w:val="none" w:sz="0" w:space="0" w:color="auto"/>
                                                        <w:left w:val="none" w:sz="0" w:space="0" w:color="auto"/>
                                                        <w:bottom w:val="none" w:sz="0" w:space="0" w:color="auto"/>
                                                        <w:right w:val="none" w:sz="0" w:space="0" w:color="auto"/>
                                                      </w:divBdr>
                                                      <w:divsChild>
                                                        <w:div w:id="2071804282">
                                                          <w:marLeft w:val="0"/>
                                                          <w:marRight w:val="0"/>
                                                          <w:marTop w:val="0"/>
                                                          <w:marBottom w:val="0"/>
                                                          <w:divBdr>
                                                            <w:top w:val="none" w:sz="0" w:space="0" w:color="auto"/>
                                                            <w:left w:val="none" w:sz="0" w:space="0" w:color="auto"/>
                                                            <w:bottom w:val="none" w:sz="0" w:space="0" w:color="auto"/>
                                                            <w:right w:val="none" w:sz="0" w:space="0" w:color="auto"/>
                                                          </w:divBdr>
                                                          <w:divsChild>
                                                            <w:div w:id="1634928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91989">
                                                  <w:marLeft w:val="0"/>
                                                  <w:marRight w:val="0"/>
                                                  <w:marTop w:val="0"/>
                                                  <w:marBottom w:val="0"/>
                                                  <w:divBdr>
                                                    <w:top w:val="none" w:sz="0" w:space="0" w:color="auto"/>
                                                    <w:left w:val="none" w:sz="0" w:space="0" w:color="auto"/>
                                                    <w:bottom w:val="none" w:sz="0" w:space="0" w:color="auto"/>
                                                    <w:right w:val="none" w:sz="0" w:space="0" w:color="auto"/>
                                                  </w:divBdr>
                                                  <w:divsChild>
                                                    <w:div w:id="939946108">
                                                      <w:marLeft w:val="0"/>
                                                      <w:marRight w:val="0"/>
                                                      <w:marTop w:val="0"/>
                                                      <w:marBottom w:val="0"/>
                                                      <w:divBdr>
                                                        <w:top w:val="none" w:sz="0" w:space="0" w:color="auto"/>
                                                        <w:left w:val="none" w:sz="0" w:space="0" w:color="auto"/>
                                                        <w:bottom w:val="none" w:sz="0" w:space="0" w:color="auto"/>
                                                        <w:right w:val="none" w:sz="0" w:space="0" w:color="auto"/>
                                                      </w:divBdr>
                                                      <w:divsChild>
                                                        <w:div w:id="1210916324">
                                                          <w:marLeft w:val="0"/>
                                                          <w:marRight w:val="0"/>
                                                          <w:marTop w:val="0"/>
                                                          <w:marBottom w:val="0"/>
                                                          <w:divBdr>
                                                            <w:top w:val="none" w:sz="0" w:space="0" w:color="auto"/>
                                                            <w:left w:val="none" w:sz="0" w:space="0" w:color="auto"/>
                                                            <w:bottom w:val="none" w:sz="0" w:space="0" w:color="auto"/>
                                                            <w:right w:val="none" w:sz="0" w:space="0" w:color="auto"/>
                                                          </w:divBdr>
                                                          <w:divsChild>
                                                            <w:div w:id="16377630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73483">
                                                  <w:marLeft w:val="0"/>
                                                  <w:marRight w:val="0"/>
                                                  <w:marTop w:val="0"/>
                                                  <w:marBottom w:val="0"/>
                                                  <w:divBdr>
                                                    <w:top w:val="none" w:sz="0" w:space="0" w:color="auto"/>
                                                    <w:left w:val="none" w:sz="0" w:space="0" w:color="auto"/>
                                                    <w:bottom w:val="none" w:sz="0" w:space="0" w:color="auto"/>
                                                    <w:right w:val="none" w:sz="0" w:space="0" w:color="auto"/>
                                                  </w:divBdr>
                                                  <w:divsChild>
                                                    <w:div w:id="290206373">
                                                      <w:marLeft w:val="0"/>
                                                      <w:marRight w:val="0"/>
                                                      <w:marTop w:val="0"/>
                                                      <w:marBottom w:val="0"/>
                                                      <w:divBdr>
                                                        <w:top w:val="none" w:sz="0" w:space="0" w:color="auto"/>
                                                        <w:left w:val="none" w:sz="0" w:space="0" w:color="auto"/>
                                                        <w:bottom w:val="none" w:sz="0" w:space="0" w:color="auto"/>
                                                        <w:right w:val="none" w:sz="0" w:space="0" w:color="auto"/>
                                                      </w:divBdr>
                                                      <w:divsChild>
                                                        <w:div w:id="1854104610">
                                                          <w:marLeft w:val="0"/>
                                                          <w:marRight w:val="0"/>
                                                          <w:marTop w:val="0"/>
                                                          <w:marBottom w:val="0"/>
                                                          <w:divBdr>
                                                            <w:top w:val="none" w:sz="0" w:space="0" w:color="auto"/>
                                                            <w:left w:val="none" w:sz="0" w:space="0" w:color="auto"/>
                                                            <w:bottom w:val="none" w:sz="0" w:space="0" w:color="auto"/>
                                                            <w:right w:val="none" w:sz="0" w:space="0" w:color="auto"/>
                                                          </w:divBdr>
                                                          <w:divsChild>
                                                            <w:div w:id="205739390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04831132">
                                                      <w:marLeft w:val="0"/>
                                                      <w:marRight w:val="0"/>
                                                      <w:marTop w:val="0"/>
                                                      <w:marBottom w:val="0"/>
                                                      <w:divBdr>
                                                        <w:top w:val="none" w:sz="0" w:space="0" w:color="auto"/>
                                                        <w:left w:val="none" w:sz="0" w:space="0" w:color="auto"/>
                                                        <w:bottom w:val="none" w:sz="0" w:space="0" w:color="auto"/>
                                                        <w:right w:val="none" w:sz="0" w:space="0" w:color="auto"/>
                                                      </w:divBdr>
                                                      <w:divsChild>
                                                        <w:div w:id="1002127112">
                                                          <w:marLeft w:val="0"/>
                                                          <w:marRight w:val="0"/>
                                                          <w:marTop w:val="0"/>
                                                          <w:marBottom w:val="0"/>
                                                          <w:divBdr>
                                                            <w:top w:val="none" w:sz="0" w:space="0" w:color="auto"/>
                                                            <w:left w:val="none" w:sz="0" w:space="0" w:color="auto"/>
                                                            <w:bottom w:val="none" w:sz="0" w:space="0" w:color="auto"/>
                                                            <w:right w:val="none" w:sz="0" w:space="0" w:color="auto"/>
                                                          </w:divBdr>
                                                          <w:divsChild>
                                                            <w:div w:id="203557681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993683820">
                                                      <w:marLeft w:val="0"/>
                                                      <w:marRight w:val="0"/>
                                                      <w:marTop w:val="0"/>
                                                      <w:marBottom w:val="0"/>
                                                      <w:divBdr>
                                                        <w:top w:val="none" w:sz="0" w:space="0" w:color="auto"/>
                                                        <w:left w:val="none" w:sz="0" w:space="0" w:color="auto"/>
                                                        <w:bottom w:val="none" w:sz="0" w:space="0" w:color="auto"/>
                                                        <w:right w:val="none" w:sz="0" w:space="0" w:color="auto"/>
                                                      </w:divBdr>
                                                      <w:divsChild>
                                                        <w:div w:id="1757095393">
                                                          <w:marLeft w:val="0"/>
                                                          <w:marRight w:val="0"/>
                                                          <w:marTop w:val="0"/>
                                                          <w:marBottom w:val="0"/>
                                                          <w:divBdr>
                                                            <w:top w:val="none" w:sz="0" w:space="0" w:color="auto"/>
                                                            <w:left w:val="none" w:sz="0" w:space="0" w:color="auto"/>
                                                            <w:bottom w:val="none" w:sz="0" w:space="0" w:color="auto"/>
                                                            <w:right w:val="none" w:sz="0" w:space="0" w:color="auto"/>
                                                          </w:divBdr>
                                                          <w:divsChild>
                                                            <w:div w:id="30698293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24831820">
      <w:bodyDiv w:val="1"/>
      <w:marLeft w:val="0"/>
      <w:marRight w:val="0"/>
      <w:marTop w:val="0"/>
      <w:marBottom w:val="0"/>
      <w:divBdr>
        <w:top w:val="none" w:sz="0" w:space="0" w:color="auto"/>
        <w:left w:val="none" w:sz="0" w:space="0" w:color="auto"/>
        <w:bottom w:val="none" w:sz="0" w:space="0" w:color="auto"/>
        <w:right w:val="none" w:sz="0" w:space="0" w:color="auto"/>
      </w:divBdr>
    </w:div>
    <w:div w:id="552539723">
      <w:bodyDiv w:val="1"/>
      <w:marLeft w:val="0"/>
      <w:marRight w:val="0"/>
      <w:marTop w:val="0"/>
      <w:marBottom w:val="0"/>
      <w:divBdr>
        <w:top w:val="none" w:sz="0" w:space="0" w:color="auto"/>
        <w:left w:val="none" w:sz="0" w:space="0" w:color="auto"/>
        <w:bottom w:val="none" w:sz="0" w:space="0" w:color="auto"/>
        <w:right w:val="none" w:sz="0" w:space="0" w:color="auto"/>
      </w:divBdr>
    </w:div>
    <w:div w:id="805928305">
      <w:bodyDiv w:val="1"/>
      <w:marLeft w:val="0"/>
      <w:marRight w:val="0"/>
      <w:marTop w:val="0"/>
      <w:marBottom w:val="0"/>
      <w:divBdr>
        <w:top w:val="none" w:sz="0" w:space="0" w:color="auto"/>
        <w:left w:val="none" w:sz="0" w:space="0" w:color="auto"/>
        <w:bottom w:val="none" w:sz="0" w:space="0" w:color="auto"/>
        <w:right w:val="none" w:sz="0" w:space="0" w:color="auto"/>
      </w:divBdr>
    </w:div>
    <w:div w:id="812412177">
      <w:bodyDiv w:val="1"/>
      <w:marLeft w:val="0"/>
      <w:marRight w:val="0"/>
      <w:marTop w:val="0"/>
      <w:marBottom w:val="0"/>
      <w:divBdr>
        <w:top w:val="none" w:sz="0" w:space="0" w:color="auto"/>
        <w:left w:val="none" w:sz="0" w:space="0" w:color="auto"/>
        <w:bottom w:val="none" w:sz="0" w:space="0" w:color="auto"/>
        <w:right w:val="none" w:sz="0" w:space="0" w:color="auto"/>
      </w:divBdr>
    </w:div>
    <w:div w:id="886795848">
      <w:bodyDiv w:val="1"/>
      <w:marLeft w:val="0"/>
      <w:marRight w:val="0"/>
      <w:marTop w:val="0"/>
      <w:marBottom w:val="0"/>
      <w:divBdr>
        <w:top w:val="none" w:sz="0" w:space="0" w:color="auto"/>
        <w:left w:val="none" w:sz="0" w:space="0" w:color="auto"/>
        <w:bottom w:val="none" w:sz="0" w:space="0" w:color="auto"/>
        <w:right w:val="none" w:sz="0" w:space="0" w:color="auto"/>
      </w:divBdr>
    </w:div>
    <w:div w:id="886838709">
      <w:bodyDiv w:val="1"/>
      <w:marLeft w:val="0"/>
      <w:marRight w:val="0"/>
      <w:marTop w:val="0"/>
      <w:marBottom w:val="0"/>
      <w:divBdr>
        <w:top w:val="none" w:sz="0" w:space="0" w:color="auto"/>
        <w:left w:val="none" w:sz="0" w:space="0" w:color="auto"/>
        <w:bottom w:val="none" w:sz="0" w:space="0" w:color="auto"/>
        <w:right w:val="none" w:sz="0" w:space="0" w:color="auto"/>
      </w:divBdr>
      <w:divsChild>
        <w:div w:id="1842770398">
          <w:marLeft w:val="0"/>
          <w:marRight w:val="0"/>
          <w:marTop w:val="0"/>
          <w:marBottom w:val="0"/>
          <w:divBdr>
            <w:top w:val="none" w:sz="0" w:space="0" w:color="auto"/>
            <w:left w:val="none" w:sz="0" w:space="0" w:color="auto"/>
            <w:bottom w:val="none" w:sz="0" w:space="0" w:color="auto"/>
            <w:right w:val="none" w:sz="0" w:space="0" w:color="auto"/>
          </w:divBdr>
          <w:divsChild>
            <w:div w:id="1361971220">
              <w:marLeft w:val="0"/>
              <w:marRight w:val="0"/>
              <w:marTop w:val="0"/>
              <w:marBottom w:val="0"/>
              <w:divBdr>
                <w:top w:val="none" w:sz="0" w:space="0" w:color="auto"/>
                <w:left w:val="none" w:sz="0" w:space="0" w:color="auto"/>
                <w:bottom w:val="none" w:sz="0" w:space="0" w:color="auto"/>
                <w:right w:val="none" w:sz="0" w:space="0" w:color="auto"/>
              </w:divBdr>
              <w:divsChild>
                <w:div w:id="1089041034">
                  <w:marLeft w:val="0"/>
                  <w:marRight w:val="0"/>
                  <w:marTop w:val="0"/>
                  <w:marBottom w:val="0"/>
                  <w:divBdr>
                    <w:top w:val="none" w:sz="0" w:space="0" w:color="auto"/>
                    <w:left w:val="none" w:sz="0" w:space="0" w:color="auto"/>
                    <w:bottom w:val="none" w:sz="0" w:space="0" w:color="auto"/>
                    <w:right w:val="none" w:sz="0" w:space="0" w:color="auto"/>
                  </w:divBdr>
                  <w:divsChild>
                    <w:div w:id="1972132548">
                      <w:marLeft w:val="0"/>
                      <w:marRight w:val="0"/>
                      <w:marTop w:val="0"/>
                      <w:marBottom w:val="0"/>
                      <w:divBdr>
                        <w:top w:val="none" w:sz="0" w:space="0" w:color="auto"/>
                        <w:left w:val="none" w:sz="0" w:space="0" w:color="auto"/>
                        <w:bottom w:val="none" w:sz="0" w:space="0" w:color="auto"/>
                        <w:right w:val="none" w:sz="0" w:space="0" w:color="auto"/>
                      </w:divBdr>
                      <w:divsChild>
                        <w:div w:id="308946659">
                          <w:marLeft w:val="0"/>
                          <w:marRight w:val="0"/>
                          <w:marTop w:val="0"/>
                          <w:marBottom w:val="0"/>
                          <w:divBdr>
                            <w:top w:val="none" w:sz="0" w:space="0" w:color="auto"/>
                            <w:left w:val="none" w:sz="0" w:space="0" w:color="auto"/>
                            <w:bottom w:val="none" w:sz="0" w:space="0" w:color="auto"/>
                            <w:right w:val="none" w:sz="0" w:space="0" w:color="auto"/>
                          </w:divBdr>
                          <w:divsChild>
                            <w:div w:id="431166456">
                              <w:marLeft w:val="0"/>
                              <w:marRight w:val="0"/>
                              <w:marTop w:val="0"/>
                              <w:marBottom w:val="0"/>
                              <w:divBdr>
                                <w:top w:val="none" w:sz="0" w:space="0" w:color="auto"/>
                                <w:left w:val="none" w:sz="0" w:space="0" w:color="auto"/>
                                <w:bottom w:val="single" w:sz="6" w:space="0" w:color="BEBEBE"/>
                                <w:right w:val="none" w:sz="0" w:space="0" w:color="auto"/>
                              </w:divBdr>
                              <w:divsChild>
                                <w:div w:id="40833577">
                                  <w:marLeft w:val="0"/>
                                  <w:marRight w:val="0"/>
                                  <w:marTop w:val="0"/>
                                  <w:marBottom w:val="0"/>
                                  <w:divBdr>
                                    <w:top w:val="none" w:sz="0" w:space="0" w:color="auto"/>
                                    <w:left w:val="none" w:sz="0" w:space="0" w:color="auto"/>
                                    <w:bottom w:val="none" w:sz="0" w:space="0" w:color="auto"/>
                                    <w:right w:val="none" w:sz="0" w:space="0" w:color="auto"/>
                                  </w:divBdr>
                                  <w:divsChild>
                                    <w:div w:id="2068258411">
                                      <w:marLeft w:val="0"/>
                                      <w:marRight w:val="0"/>
                                      <w:marTop w:val="0"/>
                                      <w:marBottom w:val="0"/>
                                      <w:divBdr>
                                        <w:top w:val="none" w:sz="0" w:space="0" w:color="auto"/>
                                        <w:left w:val="none" w:sz="0" w:space="0" w:color="auto"/>
                                        <w:bottom w:val="none" w:sz="0" w:space="0" w:color="auto"/>
                                        <w:right w:val="none" w:sz="0" w:space="0" w:color="auto"/>
                                      </w:divBdr>
                                      <w:divsChild>
                                        <w:div w:id="1048456335">
                                          <w:marLeft w:val="0"/>
                                          <w:marRight w:val="0"/>
                                          <w:marTop w:val="0"/>
                                          <w:marBottom w:val="0"/>
                                          <w:divBdr>
                                            <w:top w:val="none" w:sz="0" w:space="0" w:color="auto"/>
                                            <w:left w:val="none" w:sz="0" w:space="0" w:color="auto"/>
                                            <w:bottom w:val="none" w:sz="0" w:space="0" w:color="auto"/>
                                            <w:right w:val="none" w:sz="0" w:space="0" w:color="auto"/>
                                          </w:divBdr>
                                          <w:divsChild>
                                            <w:div w:id="1284579699">
                                              <w:marLeft w:val="0"/>
                                              <w:marRight w:val="0"/>
                                              <w:marTop w:val="0"/>
                                              <w:marBottom w:val="0"/>
                                              <w:divBdr>
                                                <w:top w:val="none" w:sz="0" w:space="0" w:color="auto"/>
                                                <w:left w:val="none" w:sz="0" w:space="0" w:color="auto"/>
                                                <w:bottom w:val="none" w:sz="0" w:space="0" w:color="auto"/>
                                                <w:right w:val="none" w:sz="0" w:space="0" w:color="auto"/>
                                              </w:divBdr>
                                              <w:divsChild>
                                                <w:div w:id="2084403090">
                                                  <w:marLeft w:val="0"/>
                                                  <w:marRight w:val="0"/>
                                                  <w:marTop w:val="0"/>
                                                  <w:marBottom w:val="0"/>
                                                  <w:divBdr>
                                                    <w:top w:val="none" w:sz="0" w:space="0" w:color="auto"/>
                                                    <w:left w:val="none" w:sz="0" w:space="0" w:color="auto"/>
                                                    <w:bottom w:val="none" w:sz="0" w:space="0" w:color="auto"/>
                                                    <w:right w:val="none" w:sz="0" w:space="0" w:color="auto"/>
                                                  </w:divBdr>
                                                  <w:divsChild>
                                                    <w:div w:id="1700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5850549">
                                  <w:marLeft w:val="0"/>
                                  <w:marRight w:val="0"/>
                                  <w:marTop w:val="0"/>
                                  <w:marBottom w:val="0"/>
                                  <w:divBdr>
                                    <w:top w:val="none" w:sz="0" w:space="0" w:color="auto"/>
                                    <w:left w:val="none" w:sz="0" w:space="0" w:color="auto"/>
                                    <w:bottom w:val="none" w:sz="0" w:space="0" w:color="auto"/>
                                    <w:right w:val="none" w:sz="0" w:space="0" w:color="auto"/>
                                  </w:divBdr>
                                  <w:divsChild>
                                    <w:div w:id="1385836878">
                                      <w:marLeft w:val="0"/>
                                      <w:marRight w:val="0"/>
                                      <w:marTop w:val="0"/>
                                      <w:marBottom w:val="0"/>
                                      <w:divBdr>
                                        <w:top w:val="none" w:sz="0" w:space="0" w:color="auto"/>
                                        <w:left w:val="none" w:sz="0" w:space="0" w:color="auto"/>
                                        <w:bottom w:val="none" w:sz="0" w:space="0" w:color="auto"/>
                                        <w:right w:val="none" w:sz="0" w:space="0" w:color="auto"/>
                                      </w:divBdr>
                                      <w:divsChild>
                                        <w:div w:id="672924698">
                                          <w:marLeft w:val="0"/>
                                          <w:marRight w:val="0"/>
                                          <w:marTop w:val="0"/>
                                          <w:marBottom w:val="0"/>
                                          <w:divBdr>
                                            <w:top w:val="none" w:sz="0" w:space="0" w:color="auto"/>
                                            <w:left w:val="none" w:sz="0" w:space="0" w:color="auto"/>
                                            <w:bottom w:val="none" w:sz="0" w:space="0" w:color="auto"/>
                                            <w:right w:val="none" w:sz="0" w:space="0" w:color="auto"/>
                                          </w:divBdr>
                                          <w:divsChild>
                                            <w:div w:id="1673221230">
                                              <w:marLeft w:val="0"/>
                                              <w:marRight w:val="0"/>
                                              <w:marTop w:val="0"/>
                                              <w:marBottom w:val="0"/>
                                              <w:divBdr>
                                                <w:top w:val="none" w:sz="0" w:space="0" w:color="auto"/>
                                                <w:left w:val="none" w:sz="0" w:space="0" w:color="auto"/>
                                                <w:bottom w:val="none" w:sz="0" w:space="0" w:color="auto"/>
                                                <w:right w:val="none" w:sz="0" w:space="0" w:color="auto"/>
                                              </w:divBdr>
                                              <w:divsChild>
                                                <w:div w:id="2088532653">
                                                  <w:marLeft w:val="0"/>
                                                  <w:marRight w:val="0"/>
                                                  <w:marTop w:val="0"/>
                                                  <w:marBottom w:val="0"/>
                                                  <w:divBdr>
                                                    <w:top w:val="none" w:sz="0" w:space="0" w:color="auto"/>
                                                    <w:left w:val="none" w:sz="0" w:space="0" w:color="auto"/>
                                                    <w:bottom w:val="none" w:sz="0" w:space="0" w:color="auto"/>
                                                    <w:right w:val="none" w:sz="0" w:space="0" w:color="auto"/>
                                                  </w:divBdr>
                                                  <w:divsChild>
                                                    <w:div w:id="530849887">
                                                      <w:marLeft w:val="0"/>
                                                      <w:marRight w:val="0"/>
                                                      <w:marTop w:val="0"/>
                                                      <w:marBottom w:val="0"/>
                                                      <w:divBdr>
                                                        <w:top w:val="none" w:sz="0" w:space="0" w:color="auto"/>
                                                        <w:left w:val="none" w:sz="0" w:space="0" w:color="auto"/>
                                                        <w:bottom w:val="none" w:sz="0" w:space="0" w:color="auto"/>
                                                        <w:right w:val="none" w:sz="0" w:space="0" w:color="auto"/>
                                                      </w:divBdr>
                                                      <w:divsChild>
                                                        <w:div w:id="1023900848">
                                                          <w:marLeft w:val="0"/>
                                                          <w:marRight w:val="0"/>
                                                          <w:marTop w:val="0"/>
                                                          <w:marBottom w:val="0"/>
                                                          <w:divBdr>
                                                            <w:top w:val="none" w:sz="0" w:space="0" w:color="auto"/>
                                                            <w:left w:val="none" w:sz="0" w:space="0" w:color="auto"/>
                                                            <w:bottom w:val="none" w:sz="0" w:space="0" w:color="auto"/>
                                                            <w:right w:val="none" w:sz="0" w:space="0" w:color="auto"/>
                                                          </w:divBdr>
                                                          <w:divsChild>
                                                            <w:div w:id="133117502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906567">
                                                  <w:marLeft w:val="0"/>
                                                  <w:marRight w:val="0"/>
                                                  <w:marTop w:val="0"/>
                                                  <w:marBottom w:val="0"/>
                                                  <w:divBdr>
                                                    <w:top w:val="none" w:sz="0" w:space="0" w:color="auto"/>
                                                    <w:left w:val="none" w:sz="0" w:space="0" w:color="auto"/>
                                                    <w:bottom w:val="none" w:sz="0" w:space="0" w:color="auto"/>
                                                    <w:right w:val="none" w:sz="0" w:space="0" w:color="auto"/>
                                                  </w:divBdr>
                                                  <w:divsChild>
                                                    <w:div w:id="240408596">
                                                      <w:marLeft w:val="0"/>
                                                      <w:marRight w:val="0"/>
                                                      <w:marTop w:val="0"/>
                                                      <w:marBottom w:val="0"/>
                                                      <w:divBdr>
                                                        <w:top w:val="none" w:sz="0" w:space="0" w:color="auto"/>
                                                        <w:left w:val="none" w:sz="0" w:space="0" w:color="auto"/>
                                                        <w:bottom w:val="none" w:sz="0" w:space="0" w:color="auto"/>
                                                        <w:right w:val="none" w:sz="0" w:space="0" w:color="auto"/>
                                                      </w:divBdr>
                                                      <w:divsChild>
                                                        <w:div w:id="563024647">
                                                          <w:marLeft w:val="0"/>
                                                          <w:marRight w:val="0"/>
                                                          <w:marTop w:val="0"/>
                                                          <w:marBottom w:val="0"/>
                                                          <w:divBdr>
                                                            <w:top w:val="none" w:sz="0" w:space="0" w:color="auto"/>
                                                            <w:left w:val="none" w:sz="0" w:space="0" w:color="auto"/>
                                                            <w:bottom w:val="none" w:sz="0" w:space="0" w:color="auto"/>
                                                            <w:right w:val="none" w:sz="0" w:space="0" w:color="auto"/>
                                                          </w:divBdr>
                                                          <w:divsChild>
                                                            <w:div w:id="161651993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327956">
                                                  <w:marLeft w:val="0"/>
                                                  <w:marRight w:val="0"/>
                                                  <w:marTop w:val="0"/>
                                                  <w:marBottom w:val="0"/>
                                                  <w:divBdr>
                                                    <w:top w:val="none" w:sz="0" w:space="0" w:color="auto"/>
                                                    <w:left w:val="none" w:sz="0" w:space="0" w:color="auto"/>
                                                    <w:bottom w:val="none" w:sz="0" w:space="0" w:color="auto"/>
                                                    <w:right w:val="none" w:sz="0" w:space="0" w:color="auto"/>
                                                  </w:divBdr>
                                                  <w:divsChild>
                                                    <w:div w:id="1119256070">
                                                      <w:marLeft w:val="0"/>
                                                      <w:marRight w:val="0"/>
                                                      <w:marTop w:val="0"/>
                                                      <w:marBottom w:val="0"/>
                                                      <w:divBdr>
                                                        <w:top w:val="none" w:sz="0" w:space="0" w:color="auto"/>
                                                        <w:left w:val="none" w:sz="0" w:space="0" w:color="auto"/>
                                                        <w:bottom w:val="none" w:sz="0" w:space="0" w:color="auto"/>
                                                        <w:right w:val="none" w:sz="0" w:space="0" w:color="auto"/>
                                                      </w:divBdr>
                                                      <w:divsChild>
                                                        <w:div w:id="200285007">
                                                          <w:marLeft w:val="0"/>
                                                          <w:marRight w:val="0"/>
                                                          <w:marTop w:val="0"/>
                                                          <w:marBottom w:val="0"/>
                                                          <w:divBdr>
                                                            <w:top w:val="none" w:sz="0" w:space="0" w:color="auto"/>
                                                            <w:left w:val="none" w:sz="0" w:space="0" w:color="auto"/>
                                                            <w:bottom w:val="none" w:sz="0" w:space="0" w:color="auto"/>
                                                            <w:right w:val="none" w:sz="0" w:space="0" w:color="auto"/>
                                                          </w:divBdr>
                                                          <w:divsChild>
                                                            <w:div w:id="131206046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305312336">
                                                      <w:marLeft w:val="0"/>
                                                      <w:marRight w:val="0"/>
                                                      <w:marTop w:val="0"/>
                                                      <w:marBottom w:val="0"/>
                                                      <w:divBdr>
                                                        <w:top w:val="none" w:sz="0" w:space="0" w:color="auto"/>
                                                        <w:left w:val="none" w:sz="0" w:space="0" w:color="auto"/>
                                                        <w:bottom w:val="none" w:sz="0" w:space="0" w:color="auto"/>
                                                        <w:right w:val="none" w:sz="0" w:space="0" w:color="auto"/>
                                                      </w:divBdr>
                                                      <w:divsChild>
                                                        <w:div w:id="1461606918">
                                                          <w:marLeft w:val="0"/>
                                                          <w:marRight w:val="0"/>
                                                          <w:marTop w:val="0"/>
                                                          <w:marBottom w:val="0"/>
                                                          <w:divBdr>
                                                            <w:top w:val="none" w:sz="0" w:space="0" w:color="auto"/>
                                                            <w:left w:val="none" w:sz="0" w:space="0" w:color="auto"/>
                                                            <w:bottom w:val="none" w:sz="0" w:space="0" w:color="auto"/>
                                                            <w:right w:val="none" w:sz="0" w:space="0" w:color="auto"/>
                                                          </w:divBdr>
                                                          <w:divsChild>
                                                            <w:div w:id="133661126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50075360">
                                                      <w:marLeft w:val="0"/>
                                                      <w:marRight w:val="0"/>
                                                      <w:marTop w:val="0"/>
                                                      <w:marBottom w:val="0"/>
                                                      <w:divBdr>
                                                        <w:top w:val="none" w:sz="0" w:space="0" w:color="auto"/>
                                                        <w:left w:val="none" w:sz="0" w:space="0" w:color="auto"/>
                                                        <w:bottom w:val="none" w:sz="0" w:space="0" w:color="auto"/>
                                                        <w:right w:val="none" w:sz="0" w:space="0" w:color="auto"/>
                                                      </w:divBdr>
                                                      <w:divsChild>
                                                        <w:div w:id="296690164">
                                                          <w:marLeft w:val="0"/>
                                                          <w:marRight w:val="0"/>
                                                          <w:marTop w:val="0"/>
                                                          <w:marBottom w:val="0"/>
                                                          <w:divBdr>
                                                            <w:top w:val="none" w:sz="0" w:space="0" w:color="auto"/>
                                                            <w:left w:val="none" w:sz="0" w:space="0" w:color="auto"/>
                                                            <w:bottom w:val="none" w:sz="0" w:space="0" w:color="auto"/>
                                                            <w:right w:val="none" w:sz="0" w:space="0" w:color="auto"/>
                                                          </w:divBdr>
                                                          <w:divsChild>
                                                            <w:div w:id="68158759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2465971">
      <w:bodyDiv w:val="1"/>
      <w:marLeft w:val="0"/>
      <w:marRight w:val="0"/>
      <w:marTop w:val="0"/>
      <w:marBottom w:val="0"/>
      <w:divBdr>
        <w:top w:val="none" w:sz="0" w:space="0" w:color="auto"/>
        <w:left w:val="none" w:sz="0" w:space="0" w:color="auto"/>
        <w:bottom w:val="none" w:sz="0" w:space="0" w:color="auto"/>
        <w:right w:val="none" w:sz="0" w:space="0" w:color="auto"/>
      </w:divBdr>
    </w:div>
    <w:div w:id="1107042398">
      <w:bodyDiv w:val="1"/>
      <w:marLeft w:val="0"/>
      <w:marRight w:val="0"/>
      <w:marTop w:val="0"/>
      <w:marBottom w:val="0"/>
      <w:divBdr>
        <w:top w:val="none" w:sz="0" w:space="0" w:color="auto"/>
        <w:left w:val="none" w:sz="0" w:space="0" w:color="auto"/>
        <w:bottom w:val="none" w:sz="0" w:space="0" w:color="auto"/>
        <w:right w:val="none" w:sz="0" w:space="0" w:color="auto"/>
      </w:divBdr>
    </w:div>
    <w:div w:id="1179000518">
      <w:bodyDiv w:val="1"/>
      <w:marLeft w:val="0"/>
      <w:marRight w:val="0"/>
      <w:marTop w:val="0"/>
      <w:marBottom w:val="0"/>
      <w:divBdr>
        <w:top w:val="none" w:sz="0" w:space="0" w:color="auto"/>
        <w:left w:val="none" w:sz="0" w:space="0" w:color="auto"/>
        <w:bottom w:val="none" w:sz="0" w:space="0" w:color="auto"/>
        <w:right w:val="none" w:sz="0" w:space="0" w:color="auto"/>
      </w:divBdr>
    </w:div>
    <w:div w:id="1380475626">
      <w:bodyDiv w:val="1"/>
      <w:marLeft w:val="0"/>
      <w:marRight w:val="0"/>
      <w:marTop w:val="0"/>
      <w:marBottom w:val="0"/>
      <w:divBdr>
        <w:top w:val="none" w:sz="0" w:space="0" w:color="auto"/>
        <w:left w:val="none" w:sz="0" w:space="0" w:color="auto"/>
        <w:bottom w:val="none" w:sz="0" w:space="0" w:color="auto"/>
        <w:right w:val="none" w:sz="0" w:space="0" w:color="auto"/>
      </w:divBdr>
      <w:divsChild>
        <w:div w:id="1922833769">
          <w:marLeft w:val="0"/>
          <w:marRight w:val="0"/>
          <w:marTop w:val="0"/>
          <w:marBottom w:val="0"/>
          <w:divBdr>
            <w:top w:val="none" w:sz="0" w:space="0" w:color="auto"/>
            <w:left w:val="none" w:sz="0" w:space="0" w:color="auto"/>
            <w:bottom w:val="none" w:sz="0" w:space="0" w:color="auto"/>
            <w:right w:val="none" w:sz="0" w:space="0" w:color="auto"/>
          </w:divBdr>
          <w:divsChild>
            <w:div w:id="1673602147">
              <w:marLeft w:val="0"/>
              <w:marRight w:val="0"/>
              <w:marTop w:val="0"/>
              <w:marBottom w:val="0"/>
              <w:divBdr>
                <w:top w:val="none" w:sz="0" w:space="0" w:color="auto"/>
                <w:left w:val="none" w:sz="0" w:space="0" w:color="auto"/>
                <w:bottom w:val="none" w:sz="0" w:space="0" w:color="auto"/>
                <w:right w:val="none" w:sz="0" w:space="0" w:color="auto"/>
              </w:divBdr>
              <w:divsChild>
                <w:div w:id="1521965095">
                  <w:marLeft w:val="0"/>
                  <w:marRight w:val="0"/>
                  <w:marTop w:val="0"/>
                  <w:marBottom w:val="0"/>
                  <w:divBdr>
                    <w:top w:val="none" w:sz="0" w:space="0" w:color="auto"/>
                    <w:left w:val="none" w:sz="0" w:space="0" w:color="auto"/>
                    <w:bottom w:val="none" w:sz="0" w:space="0" w:color="auto"/>
                    <w:right w:val="none" w:sz="0" w:space="0" w:color="auto"/>
                  </w:divBdr>
                  <w:divsChild>
                    <w:div w:id="1841847979">
                      <w:marLeft w:val="0"/>
                      <w:marRight w:val="0"/>
                      <w:marTop w:val="0"/>
                      <w:marBottom w:val="0"/>
                      <w:divBdr>
                        <w:top w:val="none" w:sz="0" w:space="0" w:color="auto"/>
                        <w:left w:val="none" w:sz="0" w:space="0" w:color="auto"/>
                        <w:bottom w:val="none" w:sz="0" w:space="0" w:color="auto"/>
                        <w:right w:val="none" w:sz="0" w:space="0" w:color="auto"/>
                      </w:divBdr>
                      <w:divsChild>
                        <w:div w:id="935866497">
                          <w:marLeft w:val="0"/>
                          <w:marRight w:val="0"/>
                          <w:marTop w:val="0"/>
                          <w:marBottom w:val="0"/>
                          <w:divBdr>
                            <w:top w:val="none" w:sz="0" w:space="0" w:color="auto"/>
                            <w:left w:val="none" w:sz="0" w:space="0" w:color="auto"/>
                            <w:bottom w:val="none" w:sz="0" w:space="0" w:color="auto"/>
                            <w:right w:val="none" w:sz="0" w:space="0" w:color="auto"/>
                          </w:divBdr>
                          <w:divsChild>
                            <w:div w:id="1835490659">
                              <w:marLeft w:val="0"/>
                              <w:marRight w:val="0"/>
                              <w:marTop w:val="0"/>
                              <w:marBottom w:val="0"/>
                              <w:divBdr>
                                <w:top w:val="none" w:sz="0" w:space="0" w:color="auto"/>
                                <w:left w:val="none" w:sz="0" w:space="0" w:color="auto"/>
                                <w:bottom w:val="single" w:sz="6" w:space="0" w:color="BEBEBE"/>
                                <w:right w:val="none" w:sz="0" w:space="0" w:color="auto"/>
                              </w:divBdr>
                              <w:divsChild>
                                <w:div w:id="1379625623">
                                  <w:marLeft w:val="0"/>
                                  <w:marRight w:val="0"/>
                                  <w:marTop w:val="0"/>
                                  <w:marBottom w:val="0"/>
                                  <w:divBdr>
                                    <w:top w:val="none" w:sz="0" w:space="0" w:color="auto"/>
                                    <w:left w:val="none" w:sz="0" w:space="0" w:color="auto"/>
                                    <w:bottom w:val="none" w:sz="0" w:space="0" w:color="auto"/>
                                    <w:right w:val="none" w:sz="0" w:space="0" w:color="auto"/>
                                  </w:divBdr>
                                  <w:divsChild>
                                    <w:div w:id="1365710511">
                                      <w:marLeft w:val="0"/>
                                      <w:marRight w:val="0"/>
                                      <w:marTop w:val="0"/>
                                      <w:marBottom w:val="0"/>
                                      <w:divBdr>
                                        <w:top w:val="none" w:sz="0" w:space="0" w:color="auto"/>
                                        <w:left w:val="none" w:sz="0" w:space="0" w:color="auto"/>
                                        <w:bottom w:val="none" w:sz="0" w:space="0" w:color="auto"/>
                                        <w:right w:val="none" w:sz="0" w:space="0" w:color="auto"/>
                                      </w:divBdr>
                                      <w:divsChild>
                                        <w:div w:id="887257435">
                                          <w:marLeft w:val="0"/>
                                          <w:marRight w:val="0"/>
                                          <w:marTop w:val="0"/>
                                          <w:marBottom w:val="0"/>
                                          <w:divBdr>
                                            <w:top w:val="none" w:sz="0" w:space="0" w:color="auto"/>
                                            <w:left w:val="none" w:sz="0" w:space="0" w:color="auto"/>
                                            <w:bottom w:val="none" w:sz="0" w:space="0" w:color="auto"/>
                                            <w:right w:val="none" w:sz="0" w:space="0" w:color="auto"/>
                                          </w:divBdr>
                                          <w:divsChild>
                                            <w:div w:id="1078356987">
                                              <w:marLeft w:val="0"/>
                                              <w:marRight w:val="0"/>
                                              <w:marTop w:val="0"/>
                                              <w:marBottom w:val="0"/>
                                              <w:divBdr>
                                                <w:top w:val="none" w:sz="0" w:space="0" w:color="auto"/>
                                                <w:left w:val="none" w:sz="0" w:space="0" w:color="auto"/>
                                                <w:bottom w:val="none" w:sz="0" w:space="0" w:color="auto"/>
                                                <w:right w:val="none" w:sz="0" w:space="0" w:color="auto"/>
                                              </w:divBdr>
                                              <w:divsChild>
                                                <w:div w:id="2016498499">
                                                  <w:marLeft w:val="0"/>
                                                  <w:marRight w:val="0"/>
                                                  <w:marTop w:val="0"/>
                                                  <w:marBottom w:val="0"/>
                                                  <w:divBdr>
                                                    <w:top w:val="none" w:sz="0" w:space="0" w:color="auto"/>
                                                    <w:left w:val="none" w:sz="0" w:space="0" w:color="auto"/>
                                                    <w:bottom w:val="none" w:sz="0" w:space="0" w:color="auto"/>
                                                    <w:right w:val="none" w:sz="0" w:space="0" w:color="auto"/>
                                                  </w:divBdr>
                                                  <w:divsChild>
                                                    <w:div w:id="213898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339935">
                                  <w:marLeft w:val="0"/>
                                  <w:marRight w:val="0"/>
                                  <w:marTop w:val="0"/>
                                  <w:marBottom w:val="0"/>
                                  <w:divBdr>
                                    <w:top w:val="none" w:sz="0" w:space="0" w:color="auto"/>
                                    <w:left w:val="none" w:sz="0" w:space="0" w:color="auto"/>
                                    <w:bottom w:val="none" w:sz="0" w:space="0" w:color="auto"/>
                                    <w:right w:val="none" w:sz="0" w:space="0" w:color="auto"/>
                                  </w:divBdr>
                                  <w:divsChild>
                                    <w:div w:id="107045810">
                                      <w:marLeft w:val="0"/>
                                      <w:marRight w:val="0"/>
                                      <w:marTop w:val="0"/>
                                      <w:marBottom w:val="0"/>
                                      <w:divBdr>
                                        <w:top w:val="none" w:sz="0" w:space="0" w:color="auto"/>
                                        <w:left w:val="none" w:sz="0" w:space="0" w:color="auto"/>
                                        <w:bottom w:val="none" w:sz="0" w:space="0" w:color="auto"/>
                                        <w:right w:val="none" w:sz="0" w:space="0" w:color="auto"/>
                                      </w:divBdr>
                                      <w:divsChild>
                                        <w:div w:id="649287326">
                                          <w:marLeft w:val="0"/>
                                          <w:marRight w:val="0"/>
                                          <w:marTop w:val="0"/>
                                          <w:marBottom w:val="0"/>
                                          <w:divBdr>
                                            <w:top w:val="none" w:sz="0" w:space="0" w:color="auto"/>
                                            <w:left w:val="none" w:sz="0" w:space="0" w:color="auto"/>
                                            <w:bottom w:val="none" w:sz="0" w:space="0" w:color="auto"/>
                                            <w:right w:val="none" w:sz="0" w:space="0" w:color="auto"/>
                                          </w:divBdr>
                                          <w:divsChild>
                                            <w:div w:id="1156266086">
                                              <w:marLeft w:val="0"/>
                                              <w:marRight w:val="0"/>
                                              <w:marTop w:val="0"/>
                                              <w:marBottom w:val="0"/>
                                              <w:divBdr>
                                                <w:top w:val="none" w:sz="0" w:space="0" w:color="auto"/>
                                                <w:left w:val="none" w:sz="0" w:space="0" w:color="auto"/>
                                                <w:bottom w:val="none" w:sz="0" w:space="0" w:color="auto"/>
                                                <w:right w:val="none" w:sz="0" w:space="0" w:color="auto"/>
                                              </w:divBdr>
                                              <w:divsChild>
                                                <w:div w:id="908347651">
                                                  <w:marLeft w:val="0"/>
                                                  <w:marRight w:val="0"/>
                                                  <w:marTop w:val="0"/>
                                                  <w:marBottom w:val="0"/>
                                                  <w:divBdr>
                                                    <w:top w:val="none" w:sz="0" w:space="0" w:color="auto"/>
                                                    <w:left w:val="none" w:sz="0" w:space="0" w:color="auto"/>
                                                    <w:bottom w:val="none" w:sz="0" w:space="0" w:color="auto"/>
                                                    <w:right w:val="none" w:sz="0" w:space="0" w:color="auto"/>
                                                  </w:divBdr>
                                                  <w:divsChild>
                                                    <w:div w:id="1935438220">
                                                      <w:marLeft w:val="0"/>
                                                      <w:marRight w:val="0"/>
                                                      <w:marTop w:val="0"/>
                                                      <w:marBottom w:val="0"/>
                                                      <w:divBdr>
                                                        <w:top w:val="none" w:sz="0" w:space="0" w:color="auto"/>
                                                        <w:left w:val="none" w:sz="0" w:space="0" w:color="auto"/>
                                                        <w:bottom w:val="none" w:sz="0" w:space="0" w:color="auto"/>
                                                        <w:right w:val="none" w:sz="0" w:space="0" w:color="auto"/>
                                                      </w:divBdr>
                                                      <w:divsChild>
                                                        <w:div w:id="316767857">
                                                          <w:marLeft w:val="0"/>
                                                          <w:marRight w:val="0"/>
                                                          <w:marTop w:val="0"/>
                                                          <w:marBottom w:val="0"/>
                                                          <w:divBdr>
                                                            <w:top w:val="none" w:sz="0" w:space="0" w:color="auto"/>
                                                            <w:left w:val="none" w:sz="0" w:space="0" w:color="auto"/>
                                                            <w:bottom w:val="none" w:sz="0" w:space="0" w:color="auto"/>
                                                            <w:right w:val="none" w:sz="0" w:space="0" w:color="auto"/>
                                                          </w:divBdr>
                                                          <w:divsChild>
                                                            <w:div w:id="135326814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55823">
                                                  <w:marLeft w:val="0"/>
                                                  <w:marRight w:val="0"/>
                                                  <w:marTop w:val="0"/>
                                                  <w:marBottom w:val="0"/>
                                                  <w:divBdr>
                                                    <w:top w:val="none" w:sz="0" w:space="0" w:color="auto"/>
                                                    <w:left w:val="none" w:sz="0" w:space="0" w:color="auto"/>
                                                    <w:bottom w:val="none" w:sz="0" w:space="0" w:color="auto"/>
                                                    <w:right w:val="none" w:sz="0" w:space="0" w:color="auto"/>
                                                  </w:divBdr>
                                                  <w:divsChild>
                                                    <w:div w:id="1858807881">
                                                      <w:marLeft w:val="0"/>
                                                      <w:marRight w:val="0"/>
                                                      <w:marTop w:val="0"/>
                                                      <w:marBottom w:val="0"/>
                                                      <w:divBdr>
                                                        <w:top w:val="none" w:sz="0" w:space="0" w:color="auto"/>
                                                        <w:left w:val="none" w:sz="0" w:space="0" w:color="auto"/>
                                                        <w:bottom w:val="none" w:sz="0" w:space="0" w:color="auto"/>
                                                        <w:right w:val="none" w:sz="0" w:space="0" w:color="auto"/>
                                                      </w:divBdr>
                                                      <w:divsChild>
                                                        <w:div w:id="1481116068">
                                                          <w:marLeft w:val="0"/>
                                                          <w:marRight w:val="0"/>
                                                          <w:marTop w:val="0"/>
                                                          <w:marBottom w:val="0"/>
                                                          <w:divBdr>
                                                            <w:top w:val="none" w:sz="0" w:space="0" w:color="auto"/>
                                                            <w:left w:val="none" w:sz="0" w:space="0" w:color="auto"/>
                                                            <w:bottom w:val="none" w:sz="0" w:space="0" w:color="auto"/>
                                                            <w:right w:val="none" w:sz="0" w:space="0" w:color="auto"/>
                                                          </w:divBdr>
                                                          <w:divsChild>
                                                            <w:div w:id="39119531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164598">
                                                  <w:marLeft w:val="0"/>
                                                  <w:marRight w:val="0"/>
                                                  <w:marTop w:val="0"/>
                                                  <w:marBottom w:val="0"/>
                                                  <w:divBdr>
                                                    <w:top w:val="none" w:sz="0" w:space="0" w:color="auto"/>
                                                    <w:left w:val="none" w:sz="0" w:space="0" w:color="auto"/>
                                                    <w:bottom w:val="none" w:sz="0" w:space="0" w:color="auto"/>
                                                    <w:right w:val="none" w:sz="0" w:space="0" w:color="auto"/>
                                                  </w:divBdr>
                                                  <w:divsChild>
                                                    <w:div w:id="1046414835">
                                                      <w:marLeft w:val="0"/>
                                                      <w:marRight w:val="0"/>
                                                      <w:marTop w:val="0"/>
                                                      <w:marBottom w:val="0"/>
                                                      <w:divBdr>
                                                        <w:top w:val="none" w:sz="0" w:space="0" w:color="auto"/>
                                                        <w:left w:val="none" w:sz="0" w:space="0" w:color="auto"/>
                                                        <w:bottom w:val="none" w:sz="0" w:space="0" w:color="auto"/>
                                                        <w:right w:val="none" w:sz="0" w:space="0" w:color="auto"/>
                                                      </w:divBdr>
                                                      <w:divsChild>
                                                        <w:div w:id="258023024">
                                                          <w:marLeft w:val="0"/>
                                                          <w:marRight w:val="0"/>
                                                          <w:marTop w:val="0"/>
                                                          <w:marBottom w:val="0"/>
                                                          <w:divBdr>
                                                            <w:top w:val="none" w:sz="0" w:space="0" w:color="auto"/>
                                                            <w:left w:val="none" w:sz="0" w:space="0" w:color="auto"/>
                                                            <w:bottom w:val="none" w:sz="0" w:space="0" w:color="auto"/>
                                                            <w:right w:val="none" w:sz="0" w:space="0" w:color="auto"/>
                                                          </w:divBdr>
                                                          <w:divsChild>
                                                            <w:div w:id="1335720061">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348264904">
                                                      <w:marLeft w:val="0"/>
                                                      <w:marRight w:val="0"/>
                                                      <w:marTop w:val="0"/>
                                                      <w:marBottom w:val="0"/>
                                                      <w:divBdr>
                                                        <w:top w:val="none" w:sz="0" w:space="0" w:color="auto"/>
                                                        <w:left w:val="none" w:sz="0" w:space="0" w:color="auto"/>
                                                        <w:bottom w:val="none" w:sz="0" w:space="0" w:color="auto"/>
                                                        <w:right w:val="none" w:sz="0" w:space="0" w:color="auto"/>
                                                      </w:divBdr>
                                                      <w:divsChild>
                                                        <w:div w:id="1145701971">
                                                          <w:marLeft w:val="0"/>
                                                          <w:marRight w:val="0"/>
                                                          <w:marTop w:val="0"/>
                                                          <w:marBottom w:val="0"/>
                                                          <w:divBdr>
                                                            <w:top w:val="none" w:sz="0" w:space="0" w:color="auto"/>
                                                            <w:left w:val="none" w:sz="0" w:space="0" w:color="auto"/>
                                                            <w:bottom w:val="none" w:sz="0" w:space="0" w:color="auto"/>
                                                            <w:right w:val="none" w:sz="0" w:space="0" w:color="auto"/>
                                                          </w:divBdr>
                                                          <w:divsChild>
                                                            <w:div w:id="116976038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756051294">
                                                      <w:marLeft w:val="0"/>
                                                      <w:marRight w:val="0"/>
                                                      <w:marTop w:val="0"/>
                                                      <w:marBottom w:val="0"/>
                                                      <w:divBdr>
                                                        <w:top w:val="none" w:sz="0" w:space="0" w:color="auto"/>
                                                        <w:left w:val="none" w:sz="0" w:space="0" w:color="auto"/>
                                                        <w:bottom w:val="none" w:sz="0" w:space="0" w:color="auto"/>
                                                        <w:right w:val="none" w:sz="0" w:space="0" w:color="auto"/>
                                                      </w:divBdr>
                                                      <w:divsChild>
                                                        <w:div w:id="2050451613">
                                                          <w:marLeft w:val="0"/>
                                                          <w:marRight w:val="0"/>
                                                          <w:marTop w:val="0"/>
                                                          <w:marBottom w:val="0"/>
                                                          <w:divBdr>
                                                            <w:top w:val="none" w:sz="0" w:space="0" w:color="auto"/>
                                                            <w:left w:val="none" w:sz="0" w:space="0" w:color="auto"/>
                                                            <w:bottom w:val="none" w:sz="0" w:space="0" w:color="auto"/>
                                                            <w:right w:val="none" w:sz="0" w:space="0" w:color="auto"/>
                                                          </w:divBdr>
                                                          <w:divsChild>
                                                            <w:div w:id="49827996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81209889">
      <w:bodyDiv w:val="1"/>
      <w:marLeft w:val="0"/>
      <w:marRight w:val="0"/>
      <w:marTop w:val="0"/>
      <w:marBottom w:val="0"/>
      <w:divBdr>
        <w:top w:val="none" w:sz="0" w:space="0" w:color="auto"/>
        <w:left w:val="none" w:sz="0" w:space="0" w:color="auto"/>
        <w:bottom w:val="none" w:sz="0" w:space="0" w:color="auto"/>
        <w:right w:val="none" w:sz="0" w:space="0" w:color="auto"/>
      </w:divBdr>
    </w:div>
    <w:div w:id="1753355161">
      <w:bodyDiv w:val="1"/>
      <w:marLeft w:val="0"/>
      <w:marRight w:val="0"/>
      <w:marTop w:val="0"/>
      <w:marBottom w:val="0"/>
      <w:divBdr>
        <w:top w:val="none" w:sz="0" w:space="0" w:color="auto"/>
        <w:left w:val="none" w:sz="0" w:space="0" w:color="auto"/>
        <w:bottom w:val="none" w:sz="0" w:space="0" w:color="auto"/>
        <w:right w:val="none" w:sz="0" w:space="0" w:color="auto"/>
      </w:divBdr>
      <w:divsChild>
        <w:div w:id="1621763504">
          <w:marLeft w:val="0"/>
          <w:marRight w:val="0"/>
          <w:marTop w:val="0"/>
          <w:marBottom w:val="0"/>
          <w:divBdr>
            <w:top w:val="none" w:sz="0" w:space="0" w:color="auto"/>
            <w:left w:val="none" w:sz="0" w:space="0" w:color="auto"/>
            <w:bottom w:val="none" w:sz="0" w:space="0" w:color="auto"/>
            <w:right w:val="none" w:sz="0" w:space="0" w:color="auto"/>
          </w:divBdr>
          <w:divsChild>
            <w:div w:id="72090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6852">
      <w:bodyDiv w:val="1"/>
      <w:marLeft w:val="0"/>
      <w:marRight w:val="0"/>
      <w:marTop w:val="0"/>
      <w:marBottom w:val="0"/>
      <w:divBdr>
        <w:top w:val="none" w:sz="0" w:space="0" w:color="auto"/>
        <w:left w:val="none" w:sz="0" w:space="0" w:color="auto"/>
        <w:bottom w:val="none" w:sz="0" w:space="0" w:color="auto"/>
        <w:right w:val="none" w:sz="0" w:space="0" w:color="auto"/>
      </w:divBdr>
    </w:div>
    <w:div w:id="1905145365">
      <w:bodyDiv w:val="1"/>
      <w:marLeft w:val="0"/>
      <w:marRight w:val="0"/>
      <w:marTop w:val="0"/>
      <w:marBottom w:val="0"/>
      <w:divBdr>
        <w:top w:val="none" w:sz="0" w:space="0" w:color="auto"/>
        <w:left w:val="none" w:sz="0" w:space="0" w:color="auto"/>
        <w:bottom w:val="none" w:sz="0" w:space="0" w:color="auto"/>
        <w:right w:val="none" w:sz="0" w:space="0" w:color="auto"/>
      </w:divBdr>
    </w:div>
    <w:div w:id="1972401106">
      <w:bodyDiv w:val="1"/>
      <w:marLeft w:val="0"/>
      <w:marRight w:val="0"/>
      <w:marTop w:val="0"/>
      <w:marBottom w:val="0"/>
      <w:divBdr>
        <w:top w:val="none" w:sz="0" w:space="0" w:color="auto"/>
        <w:left w:val="none" w:sz="0" w:space="0" w:color="auto"/>
        <w:bottom w:val="none" w:sz="0" w:space="0" w:color="auto"/>
        <w:right w:val="none" w:sz="0" w:space="0" w:color="auto"/>
      </w:divBdr>
    </w:div>
    <w:div w:id="2007047915">
      <w:bodyDiv w:val="1"/>
      <w:marLeft w:val="0"/>
      <w:marRight w:val="0"/>
      <w:marTop w:val="0"/>
      <w:marBottom w:val="0"/>
      <w:divBdr>
        <w:top w:val="none" w:sz="0" w:space="0" w:color="auto"/>
        <w:left w:val="none" w:sz="0" w:space="0" w:color="auto"/>
        <w:bottom w:val="none" w:sz="0" w:space="0" w:color="auto"/>
        <w:right w:val="none" w:sz="0" w:space="0" w:color="auto"/>
      </w:divBdr>
    </w:div>
    <w:div w:id="206112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BECCC6-6892-4BF7-8C80-C2AB2AA1C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5309</Words>
  <Characters>30265</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Gauvin</dc:creator>
  <cp:keywords/>
  <dc:description/>
  <cp:lastModifiedBy>John Gauvin</cp:lastModifiedBy>
  <cp:revision>2</cp:revision>
  <dcterms:created xsi:type="dcterms:W3CDTF">2021-04-01T18:29:00Z</dcterms:created>
  <dcterms:modified xsi:type="dcterms:W3CDTF">2021-04-01T18:29:00Z</dcterms:modified>
</cp:coreProperties>
</file>