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D87A0" w14:textId="77777777" w:rsidR="005A724B" w:rsidRDefault="005A724B">
      <w:pPr>
        <w:spacing w:after="240"/>
        <w:rPr>
          <w:rFonts w:ascii="Times New Roman" w:eastAsia="Times New Roman" w:hAnsi="Times New Roman" w:cs="Times New Roman"/>
          <w:b/>
          <w:color w:val="FF0000"/>
          <w:sz w:val="24"/>
          <w:szCs w:val="24"/>
        </w:rPr>
      </w:pPr>
    </w:p>
    <w:p w14:paraId="78D8DA51" w14:textId="77777777" w:rsidR="005A724B" w:rsidRDefault="005D2FFE">
      <w:pPr>
        <w:pStyle w:val="Title"/>
      </w:pPr>
      <w:bookmarkStart w:id="0" w:name="_v6xc1zi3c12c" w:colFirst="0" w:colLast="0"/>
      <w:bookmarkEnd w:id="0"/>
      <w:r>
        <w:t>(draft) Climate Readiness Synthesis</w:t>
      </w:r>
    </w:p>
    <w:p w14:paraId="323C436C" w14:textId="7362C72D" w:rsidR="005A724B" w:rsidRDefault="005D2FFE">
      <w:pPr>
        <w:pStyle w:val="Subtitle"/>
      </w:pPr>
      <w:bookmarkStart w:id="1" w:name="_32z3qh8q1y7j" w:colFirst="0" w:colLast="0"/>
      <w:bookmarkEnd w:id="1"/>
      <w:r>
        <w:t xml:space="preserve">Climate Change Task Force </w:t>
      </w:r>
      <w:r w:rsidR="00182B8C">
        <w:t xml:space="preserve">September </w:t>
      </w:r>
      <w:r>
        <w:t>2022</w:t>
      </w:r>
      <w:r w:rsidR="00182B8C">
        <w:t xml:space="preserve"> meeting draft</w:t>
      </w:r>
    </w:p>
    <w:p w14:paraId="4CF35296" w14:textId="77777777" w:rsidR="005A724B" w:rsidRDefault="005A724B">
      <w:pPr>
        <w:spacing w:after="240"/>
        <w:rPr>
          <w:rFonts w:ascii="Times New Roman" w:eastAsia="Times New Roman" w:hAnsi="Times New Roman" w:cs="Times New Roman"/>
          <w:b/>
          <w:sz w:val="24"/>
          <w:szCs w:val="24"/>
        </w:rPr>
      </w:pPr>
    </w:p>
    <w:p w14:paraId="2DB421DB" w14:textId="77777777" w:rsidR="005A724B" w:rsidRDefault="005D2FFE">
      <w:pPr>
        <w:spacing w:after="240"/>
        <w:jc w:val="left"/>
        <w:rPr>
          <w:b/>
          <w:color w:val="0B5394"/>
          <w:sz w:val="30"/>
          <w:szCs w:val="30"/>
        </w:rPr>
      </w:pPr>
      <w:r>
        <w:rPr>
          <w:b/>
          <w:color w:val="0B5394"/>
          <w:sz w:val="30"/>
          <w:szCs w:val="30"/>
        </w:rPr>
        <w:t>Table of Contents</w:t>
      </w:r>
    </w:p>
    <w:sdt>
      <w:sdtPr>
        <w:id w:val="-1546527202"/>
        <w:docPartObj>
          <w:docPartGallery w:val="Table of Contents"/>
          <w:docPartUnique/>
        </w:docPartObj>
      </w:sdtPr>
      <w:sdtEndPr/>
      <w:sdtContent>
        <w:p w14:paraId="72838E78" w14:textId="77777777" w:rsidR="005A724B" w:rsidRDefault="005D2FFE">
          <w:pPr>
            <w:tabs>
              <w:tab w:val="right" w:pos="9360"/>
            </w:tabs>
            <w:spacing w:before="80" w:line="240" w:lineRule="auto"/>
            <w:ind w:left="1080"/>
            <w:rPr>
              <w:color w:val="000000"/>
            </w:rPr>
          </w:pPr>
          <w:r>
            <w:fldChar w:fldCharType="begin"/>
          </w:r>
          <w:r>
            <w:instrText xml:space="preserve"> TOC \h \u \z </w:instrText>
          </w:r>
          <w:r>
            <w:fldChar w:fldCharType="separate"/>
          </w:r>
          <w:hyperlink w:anchor="_c1hn0nc13t6">
            <w:r>
              <w:rPr>
                <w:color w:val="000000"/>
              </w:rPr>
              <w:t>Example Ranking table from Section 2</w:t>
            </w:r>
          </w:hyperlink>
          <w:r>
            <w:rPr>
              <w:color w:val="000000"/>
            </w:rPr>
            <w:tab/>
          </w:r>
          <w:r>
            <w:fldChar w:fldCharType="begin"/>
          </w:r>
          <w:r>
            <w:instrText xml:space="preserve"> PAGEREF _c1hn0nc13t6 \h </w:instrText>
          </w:r>
          <w:r>
            <w:fldChar w:fldCharType="separate"/>
          </w:r>
          <w:r>
            <w:rPr>
              <w:color w:val="000000"/>
            </w:rPr>
            <w:t>8</w:t>
          </w:r>
          <w:r>
            <w:fldChar w:fldCharType="end"/>
          </w:r>
        </w:p>
        <w:p w14:paraId="3BFD8F79" w14:textId="77777777" w:rsidR="005A724B" w:rsidRDefault="005D2FFE">
          <w:pPr>
            <w:tabs>
              <w:tab w:val="right" w:pos="9360"/>
            </w:tabs>
            <w:spacing w:before="200" w:line="240" w:lineRule="auto"/>
            <w:rPr>
              <w:b/>
              <w:color w:val="000000"/>
            </w:rPr>
          </w:pPr>
          <w:hyperlink w:anchor="_ookn4axw7kfk">
            <w:r>
              <w:rPr>
                <w:b/>
                <w:color w:val="000000"/>
              </w:rPr>
              <w:t>Climate Readiness Synthesis</w:t>
            </w:r>
          </w:hyperlink>
          <w:r>
            <w:rPr>
              <w:b/>
              <w:color w:val="000000"/>
            </w:rPr>
            <w:tab/>
          </w:r>
          <w:r>
            <w:fldChar w:fldCharType="begin"/>
          </w:r>
          <w:r>
            <w:instrText xml:space="preserve"> PAGEREF _ookn4axw7kfk \h </w:instrText>
          </w:r>
          <w:r>
            <w:fldChar w:fldCharType="separate"/>
          </w:r>
          <w:r>
            <w:rPr>
              <w:b/>
              <w:color w:val="000000"/>
            </w:rPr>
            <w:t>10</w:t>
          </w:r>
          <w:r>
            <w:fldChar w:fldCharType="end"/>
          </w:r>
        </w:p>
        <w:p w14:paraId="0975F4CB" w14:textId="77777777" w:rsidR="005A724B" w:rsidRDefault="005D2FFE">
          <w:pPr>
            <w:tabs>
              <w:tab w:val="right" w:pos="9360"/>
            </w:tabs>
            <w:spacing w:before="200" w:line="240" w:lineRule="auto"/>
            <w:rPr>
              <w:b/>
              <w:color w:val="000000"/>
            </w:rPr>
          </w:pPr>
          <w:hyperlink w:anchor="_kh75t7agzrsq">
            <w:r>
              <w:rPr>
                <w:b/>
                <w:color w:val="000000"/>
              </w:rPr>
              <w:t>Section 1: Management Overview [2797 words]</w:t>
            </w:r>
          </w:hyperlink>
          <w:r>
            <w:rPr>
              <w:b/>
              <w:color w:val="000000"/>
            </w:rPr>
            <w:tab/>
          </w:r>
          <w:r>
            <w:fldChar w:fldCharType="begin"/>
          </w:r>
          <w:r>
            <w:instrText xml:space="preserve"> PAGEREF _kh75t7agzrsq \h </w:instrText>
          </w:r>
          <w:r>
            <w:fldChar w:fldCharType="separate"/>
          </w:r>
          <w:r>
            <w:rPr>
              <w:b/>
              <w:color w:val="000000"/>
            </w:rPr>
            <w:t>10</w:t>
          </w:r>
          <w:r>
            <w:fldChar w:fldCharType="end"/>
          </w:r>
        </w:p>
        <w:p w14:paraId="0D3CCF70" w14:textId="77777777" w:rsidR="005A724B" w:rsidRDefault="005D2FFE">
          <w:pPr>
            <w:tabs>
              <w:tab w:val="right" w:pos="9360"/>
            </w:tabs>
            <w:spacing w:before="60" w:line="240" w:lineRule="auto"/>
            <w:ind w:left="360"/>
            <w:rPr>
              <w:color w:val="000000"/>
            </w:rPr>
          </w:pPr>
          <w:hyperlink w:anchor="_md7wszymvglj">
            <w:r>
              <w:rPr>
                <w:color w:val="000000"/>
              </w:rPr>
              <w:t>Ranking Methodology</w:t>
            </w:r>
          </w:hyperlink>
          <w:r>
            <w:rPr>
              <w:color w:val="000000"/>
            </w:rPr>
            <w:tab/>
          </w:r>
          <w:r>
            <w:fldChar w:fldCharType="begin"/>
          </w:r>
          <w:r>
            <w:instrText xml:space="preserve"> PAGEREF _md7wszymvglj \h </w:instrText>
          </w:r>
          <w:r>
            <w:fldChar w:fldCharType="separate"/>
          </w:r>
          <w:r>
            <w:rPr>
              <w:color w:val="000000"/>
            </w:rPr>
            <w:t>11</w:t>
          </w:r>
          <w:r>
            <w:fldChar w:fldCharType="end"/>
          </w:r>
        </w:p>
        <w:p w14:paraId="70EEBE4C" w14:textId="77777777" w:rsidR="005A724B" w:rsidRDefault="005D2FFE">
          <w:pPr>
            <w:tabs>
              <w:tab w:val="right" w:pos="9360"/>
            </w:tabs>
            <w:spacing w:before="60" w:line="240" w:lineRule="auto"/>
            <w:ind w:left="1080"/>
            <w:rPr>
              <w:color w:val="000000"/>
            </w:rPr>
          </w:pPr>
          <w:hyperlink w:anchor="_b7biq8k239m2">
            <w:r>
              <w:rPr>
                <w:color w:val="000000"/>
              </w:rPr>
              <w:t>Tab</w:t>
            </w:r>
            <w:r>
              <w:rPr>
                <w:color w:val="000000"/>
              </w:rPr>
              <w:t>le 1.1.  DRAFT Climate readiness ranking criteria for fisheries management</w:t>
            </w:r>
          </w:hyperlink>
          <w:r>
            <w:rPr>
              <w:color w:val="000000"/>
            </w:rPr>
            <w:tab/>
          </w:r>
          <w:r>
            <w:fldChar w:fldCharType="begin"/>
          </w:r>
          <w:r>
            <w:instrText xml:space="preserve"> PAGEREF _b7biq8k239m2 \h </w:instrText>
          </w:r>
          <w:r>
            <w:fldChar w:fldCharType="separate"/>
          </w:r>
          <w:r>
            <w:rPr>
              <w:color w:val="000000"/>
            </w:rPr>
            <w:t>11</w:t>
          </w:r>
          <w:r>
            <w:fldChar w:fldCharType="end"/>
          </w:r>
        </w:p>
        <w:p w14:paraId="120755CF" w14:textId="77777777" w:rsidR="005A724B" w:rsidRDefault="005D2FFE">
          <w:pPr>
            <w:tabs>
              <w:tab w:val="right" w:pos="9360"/>
            </w:tabs>
            <w:spacing w:before="60" w:line="240" w:lineRule="auto"/>
            <w:ind w:left="360"/>
            <w:rPr>
              <w:color w:val="000000"/>
            </w:rPr>
          </w:pPr>
          <w:hyperlink w:anchor="_s932qvtzwl9o">
            <w:r>
              <w:rPr>
                <w:color w:val="000000"/>
              </w:rPr>
              <w:t>Introduction</w:t>
            </w:r>
          </w:hyperlink>
          <w:r>
            <w:rPr>
              <w:color w:val="000000"/>
            </w:rPr>
            <w:tab/>
          </w:r>
          <w:r>
            <w:fldChar w:fldCharType="begin"/>
          </w:r>
          <w:r>
            <w:instrText xml:space="preserve"> PAGEREF _s932qvtzwl9o \h </w:instrText>
          </w:r>
          <w:r>
            <w:fldChar w:fldCharType="separate"/>
          </w:r>
          <w:r>
            <w:rPr>
              <w:color w:val="000000"/>
            </w:rPr>
            <w:t>11</w:t>
          </w:r>
          <w:r>
            <w:fldChar w:fldCharType="end"/>
          </w:r>
        </w:p>
        <w:p w14:paraId="3E73A4C4" w14:textId="77777777" w:rsidR="005A724B" w:rsidRDefault="005D2FFE">
          <w:pPr>
            <w:tabs>
              <w:tab w:val="right" w:pos="9360"/>
            </w:tabs>
            <w:spacing w:before="60" w:line="240" w:lineRule="auto"/>
            <w:ind w:left="720"/>
            <w:rPr>
              <w:color w:val="000000"/>
            </w:rPr>
          </w:pPr>
          <w:hyperlink w:anchor="_3t6ln4h5t7sg">
            <w:r>
              <w:rPr>
                <w:color w:val="000000"/>
              </w:rPr>
              <w:t>Definition of climate readiness, resilience and adaptation</w:t>
            </w:r>
          </w:hyperlink>
          <w:r>
            <w:rPr>
              <w:color w:val="000000"/>
            </w:rPr>
            <w:tab/>
          </w:r>
          <w:r>
            <w:fldChar w:fldCharType="begin"/>
          </w:r>
          <w:r>
            <w:instrText xml:space="preserve"> PAGEREF _3t6ln4h5t7sg \h </w:instrText>
          </w:r>
          <w:r>
            <w:fldChar w:fldCharType="separate"/>
          </w:r>
          <w:r>
            <w:rPr>
              <w:color w:val="000000"/>
            </w:rPr>
            <w:t>12</w:t>
          </w:r>
          <w:r>
            <w:fldChar w:fldCharType="end"/>
          </w:r>
        </w:p>
        <w:p w14:paraId="7584C060" w14:textId="77777777" w:rsidR="005A724B" w:rsidRDefault="005D2FFE">
          <w:pPr>
            <w:tabs>
              <w:tab w:val="right" w:pos="9360"/>
            </w:tabs>
            <w:spacing w:before="60" w:line="240" w:lineRule="auto"/>
            <w:ind w:left="1440"/>
            <w:rPr>
              <w:color w:val="000000"/>
            </w:rPr>
          </w:pPr>
          <w:hyperlink w:anchor="_v4rmpqtbnzxp">
            <w:r>
              <w:rPr>
                <w:color w:val="000000"/>
              </w:rPr>
              <w:t>Climate resilience</w:t>
            </w:r>
          </w:hyperlink>
          <w:r>
            <w:rPr>
              <w:color w:val="000000"/>
            </w:rPr>
            <w:tab/>
          </w:r>
          <w:r>
            <w:fldChar w:fldCharType="begin"/>
          </w:r>
          <w:r>
            <w:instrText xml:space="preserve"> PAGEREF _v4rmpqtbnzxp \h </w:instrText>
          </w:r>
          <w:r>
            <w:fldChar w:fldCharType="separate"/>
          </w:r>
          <w:r>
            <w:rPr>
              <w:color w:val="000000"/>
            </w:rPr>
            <w:t>12</w:t>
          </w:r>
          <w:r>
            <w:fldChar w:fldCharType="end"/>
          </w:r>
        </w:p>
        <w:p w14:paraId="00D52687" w14:textId="77777777" w:rsidR="005A724B" w:rsidRDefault="005D2FFE">
          <w:pPr>
            <w:tabs>
              <w:tab w:val="right" w:pos="9360"/>
            </w:tabs>
            <w:spacing w:before="60" w:line="240" w:lineRule="auto"/>
            <w:ind w:left="1440"/>
            <w:rPr>
              <w:color w:val="000000"/>
            </w:rPr>
          </w:pPr>
          <w:hyperlink w:anchor="_s3z5utkkuo14">
            <w:r>
              <w:rPr>
                <w:color w:val="000000"/>
              </w:rPr>
              <w:t>Climate adaptation</w:t>
            </w:r>
          </w:hyperlink>
          <w:r>
            <w:rPr>
              <w:color w:val="000000"/>
            </w:rPr>
            <w:tab/>
          </w:r>
          <w:r>
            <w:fldChar w:fldCharType="begin"/>
          </w:r>
          <w:r>
            <w:instrText xml:space="preserve"> PAGEREF _s3z5utkkuo14 \h </w:instrText>
          </w:r>
          <w:r>
            <w:fldChar w:fldCharType="separate"/>
          </w:r>
          <w:r>
            <w:rPr>
              <w:color w:val="000000"/>
            </w:rPr>
            <w:t>12</w:t>
          </w:r>
          <w:r>
            <w:fldChar w:fldCharType="end"/>
          </w:r>
        </w:p>
        <w:p w14:paraId="0C33C211" w14:textId="77777777" w:rsidR="005A724B" w:rsidRDefault="005D2FFE">
          <w:pPr>
            <w:tabs>
              <w:tab w:val="right" w:pos="9360"/>
            </w:tabs>
            <w:spacing w:before="60" w:line="240" w:lineRule="auto"/>
            <w:ind w:left="720"/>
            <w:rPr>
              <w:color w:val="000000"/>
            </w:rPr>
          </w:pPr>
          <w:hyperlink w:anchor="_96o6wr1a833v">
            <w:r>
              <w:rPr>
                <w:color w:val="000000"/>
              </w:rPr>
              <w:t>Process overview</w:t>
            </w:r>
          </w:hyperlink>
          <w:r>
            <w:rPr>
              <w:color w:val="000000"/>
            </w:rPr>
            <w:tab/>
          </w:r>
          <w:r>
            <w:fldChar w:fldCharType="begin"/>
          </w:r>
          <w:r>
            <w:instrText xml:space="preserve"> PAGEREF _96o6wr1a833v \h </w:instrText>
          </w:r>
          <w:r>
            <w:fldChar w:fldCharType="separate"/>
          </w:r>
          <w:r>
            <w:rPr>
              <w:color w:val="000000"/>
            </w:rPr>
            <w:t>13</w:t>
          </w:r>
          <w:r>
            <w:fldChar w:fldCharType="end"/>
          </w:r>
        </w:p>
        <w:p w14:paraId="38A8C26C" w14:textId="77777777" w:rsidR="005A724B" w:rsidRDefault="005D2FFE">
          <w:pPr>
            <w:tabs>
              <w:tab w:val="right" w:pos="9360"/>
            </w:tabs>
            <w:spacing w:before="60" w:line="240" w:lineRule="auto"/>
            <w:ind w:left="360"/>
            <w:rPr>
              <w:color w:val="000000"/>
            </w:rPr>
          </w:pPr>
          <w:hyperlink w:anchor="_9pg9w7af4isb">
            <w:r>
              <w:rPr>
                <w:color w:val="000000"/>
              </w:rPr>
              <w:t>Selec</w:t>
            </w:r>
            <w:r>
              <w:rPr>
                <w:color w:val="000000"/>
              </w:rPr>
              <w:t>ted management provisions to prevent or address fisheries vulnerability and more static measures that are less flexible</w:t>
            </w:r>
          </w:hyperlink>
          <w:r>
            <w:rPr>
              <w:color w:val="000000"/>
            </w:rPr>
            <w:tab/>
          </w:r>
          <w:r>
            <w:fldChar w:fldCharType="begin"/>
          </w:r>
          <w:r>
            <w:instrText xml:space="preserve"> PAGEREF _9pg9w7af4isb \h </w:instrText>
          </w:r>
          <w:r>
            <w:fldChar w:fldCharType="separate"/>
          </w:r>
          <w:r>
            <w:rPr>
              <w:color w:val="000000"/>
            </w:rPr>
            <w:t>14</w:t>
          </w:r>
          <w:r>
            <w:fldChar w:fldCharType="end"/>
          </w:r>
        </w:p>
        <w:p w14:paraId="3D3769B6" w14:textId="77777777" w:rsidR="005A724B" w:rsidRDefault="005D2FFE">
          <w:pPr>
            <w:tabs>
              <w:tab w:val="right" w:pos="9360"/>
            </w:tabs>
            <w:spacing w:before="60" w:line="240" w:lineRule="auto"/>
            <w:ind w:left="360"/>
            <w:rPr>
              <w:color w:val="000000"/>
            </w:rPr>
          </w:pPr>
          <w:hyperlink w:anchor="_px3eat1ab5lx">
            <w:r>
              <w:rPr>
                <w:color w:val="000000"/>
              </w:rPr>
              <w:t>Pot</w:t>
            </w:r>
            <w:r>
              <w:rPr>
                <w:color w:val="000000"/>
              </w:rPr>
              <w:t>ential Future Work</w:t>
            </w:r>
          </w:hyperlink>
          <w:r>
            <w:rPr>
              <w:color w:val="000000"/>
            </w:rPr>
            <w:tab/>
          </w:r>
          <w:r>
            <w:fldChar w:fldCharType="begin"/>
          </w:r>
          <w:r>
            <w:instrText xml:space="preserve"> PAGEREF _px3eat1ab5lx \h </w:instrText>
          </w:r>
          <w:r>
            <w:fldChar w:fldCharType="separate"/>
          </w:r>
          <w:r>
            <w:rPr>
              <w:color w:val="000000"/>
            </w:rPr>
            <w:t>16</w:t>
          </w:r>
          <w:r>
            <w:fldChar w:fldCharType="end"/>
          </w:r>
        </w:p>
        <w:p w14:paraId="11DF3D64" w14:textId="77777777" w:rsidR="005A724B" w:rsidRDefault="005D2FFE">
          <w:pPr>
            <w:tabs>
              <w:tab w:val="right" w:pos="9360"/>
            </w:tabs>
            <w:spacing w:before="60" w:line="240" w:lineRule="auto"/>
            <w:ind w:left="1080"/>
            <w:rPr>
              <w:color w:val="000000"/>
            </w:rPr>
          </w:pPr>
          <w:hyperlink w:anchor="_22jdqsj0vlwm">
            <w:r>
              <w:rPr>
                <w:color w:val="000000"/>
              </w:rPr>
              <w:t>Table 1.2.  Management measures and potential strengths and weaknesses.  (See Also Figure 1.2 for a snapshot of associated area closures.)</w:t>
            </w:r>
          </w:hyperlink>
          <w:r>
            <w:rPr>
              <w:color w:val="000000"/>
            </w:rPr>
            <w:tab/>
          </w:r>
          <w:r>
            <w:fldChar w:fldCharType="begin"/>
          </w:r>
          <w:r>
            <w:instrText xml:space="preserve"> PAGEREF _22jdqsj0vlwm \h </w:instrText>
          </w:r>
          <w:r>
            <w:fldChar w:fldCharType="separate"/>
          </w:r>
          <w:r>
            <w:rPr>
              <w:color w:val="000000"/>
            </w:rPr>
            <w:t>17</w:t>
          </w:r>
          <w:r>
            <w:fldChar w:fldCharType="end"/>
          </w:r>
        </w:p>
        <w:p w14:paraId="3C42E9BD" w14:textId="77777777" w:rsidR="005A724B" w:rsidRDefault="005D2FFE">
          <w:pPr>
            <w:tabs>
              <w:tab w:val="right" w:pos="9360"/>
            </w:tabs>
            <w:spacing w:before="60" w:line="240" w:lineRule="auto"/>
            <w:ind w:left="1080"/>
            <w:rPr>
              <w:color w:val="000000"/>
            </w:rPr>
          </w:pPr>
          <w:hyperlink w:anchor="_f15l8goctl6i">
            <w:r>
              <w:rPr>
                <w:color w:val="000000"/>
              </w:rPr>
              <w:t>Figure 1.1 Overview of a range of area closures in the BSAI, GOA and Arctic.</w:t>
            </w:r>
          </w:hyperlink>
          <w:r>
            <w:rPr>
              <w:color w:val="000000"/>
            </w:rPr>
            <w:tab/>
          </w:r>
          <w:r>
            <w:fldChar w:fldCharType="begin"/>
          </w:r>
          <w:r>
            <w:instrText xml:space="preserve"> PAGEREF _f15l8goctl6i \h </w:instrText>
          </w:r>
          <w:r>
            <w:fldChar w:fldCharType="separate"/>
          </w:r>
          <w:r>
            <w:rPr>
              <w:color w:val="000000"/>
            </w:rPr>
            <w:t>22</w:t>
          </w:r>
          <w:r>
            <w:fldChar w:fldCharType="end"/>
          </w:r>
        </w:p>
        <w:p w14:paraId="6E0DCB47" w14:textId="77777777" w:rsidR="005A724B" w:rsidRDefault="005D2FFE">
          <w:pPr>
            <w:tabs>
              <w:tab w:val="right" w:pos="9360"/>
            </w:tabs>
            <w:spacing w:before="60" w:line="240" w:lineRule="auto"/>
            <w:ind w:left="360"/>
            <w:rPr>
              <w:color w:val="000000"/>
            </w:rPr>
          </w:pPr>
          <w:hyperlink w:anchor="_o4tzhhipaeem">
            <w:r>
              <w:rPr>
                <w:color w:val="000000"/>
              </w:rPr>
              <w:t>Select examples of management m</w:t>
            </w:r>
            <w:r>
              <w:rPr>
                <w:color w:val="000000"/>
              </w:rPr>
              <w:t>easures and relative ranking</w:t>
            </w:r>
          </w:hyperlink>
          <w:r>
            <w:rPr>
              <w:color w:val="000000"/>
            </w:rPr>
            <w:tab/>
          </w:r>
          <w:r>
            <w:fldChar w:fldCharType="begin"/>
          </w:r>
          <w:r>
            <w:instrText xml:space="preserve"> PAGEREF _o4tzhhipaeem \h </w:instrText>
          </w:r>
          <w:r>
            <w:fldChar w:fldCharType="separate"/>
          </w:r>
          <w:r>
            <w:rPr>
              <w:color w:val="000000"/>
            </w:rPr>
            <w:t>22</w:t>
          </w:r>
          <w:r>
            <w:fldChar w:fldCharType="end"/>
          </w:r>
        </w:p>
        <w:p w14:paraId="223C57E8" w14:textId="77777777" w:rsidR="005A724B" w:rsidRDefault="005D2FFE">
          <w:pPr>
            <w:tabs>
              <w:tab w:val="right" w:pos="9360"/>
            </w:tabs>
            <w:spacing w:before="60" w:line="240" w:lineRule="auto"/>
            <w:ind w:left="720"/>
            <w:rPr>
              <w:color w:val="000000"/>
            </w:rPr>
          </w:pPr>
          <w:hyperlink w:anchor="_x1cqd9xjbbmg">
            <w:r>
              <w:rPr>
                <w:color w:val="000000"/>
              </w:rPr>
              <w:t>Special area management</w:t>
            </w:r>
          </w:hyperlink>
          <w:r>
            <w:rPr>
              <w:color w:val="000000"/>
            </w:rPr>
            <w:tab/>
          </w:r>
          <w:r>
            <w:fldChar w:fldCharType="begin"/>
          </w:r>
          <w:r>
            <w:instrText xml:space="preserve"> PAGEREF _x1cqd9xjbbmg \h </w:instrText>
          </w:r>
          <w:r>
            <w:fldChar w:fldCharType="separate"/>
          </w:r>
          <w:r>
            <w:rPr>
              <w:color w:val="000000"/>
            </w:rPr>
            <w:t>22</w:t>
          </w:r>
          <w:r>
            <w:fldChar w:fldCharType="end"/>
          </w:r>
        </w:p>
        <w:p w14:paraId="00053587" w14:textId="77777777" w:rsidR="005A724B" w:rsidRDefault="005D2FFE">
          <w:pPr>
            <w:tabs>
              <w:tab w:val="right" w:pos="9360"/>
            </w:tabs>
            <w:spacing w:before="60" w:line="240" w:lineRule="auto"/>
            <w:ind w:left="1080"/>
            <w:rPr>
              <w:color w:val="000000"/>
            </w:rPr>
          </w:pPr>
          <w:hyperlink w:anchor="_o0bblcwzojcs">
            <w:r>
              <w:rPr>
                <w:color w:val="000000"/>
              </w:rPr>
              <w:t>Herring Savings Area:</w:t>
            </w:r>
          </w:hyperlink>
          <w:r>
            <w:rPr>
              <w:color w:val="000000"/>
            </w:rPr>
            <w:tab/>
          </w:r>
          <w:r>
            <w:fldChar w:fldCharType="begin"/>
          </w:r>
          <w:r>
            <w:instrText xml:space="preserve"> PAGEREF _o0bblcwzojcs \h </w:instrText>
          </w:r>
          <w:r>
            <w:fldChar w:fldCharType="separate"/>
          </w:r>
          <w:r>
            <w:rPr>
              <w:color w:val="000000"/>
            </w:rPr>
            <w:t>22</w:t>
          </w:r>
          <w:r>
            <w:fldChar w:fldCharType="end"/>
          </w:r>
        </w:p>
        <w:p w14:paraId="62E33224" w14:textId="77777777" w:rsidR="005A724B" w:rsidRDefault="005D2FFE">
          <w:pPr>
            <w:tabs>
              <w:tab w:val="right" w:pos="9360"/>
            </w:tabs>
            <w:spacing w:before="60" w:line="240" w:lineRule="auto"/>
            <w:ind w:left="1080"/>
            <w:rPr>
              <w:color w:val="000000"/>
            </w:rPr>
          </w:pPr>
          <w:hyperlink w:anchor="_dxulpx6bvr47">
            <w:r>
              <w:rPr>
                <w:color w:val="000000"/>
              </w:rPr>
              <w:t>Red King Crab Savings Area</w:t>
            </w:r>
          </w:hyperlink>
          <w:r>
            <w:rPr>
              <w:color w:val="000000"/>
            </w:rPr>
            <w:tab/>
          </w:r>
          <w:r>
            <w:fldChar w:fldCharType="begin"/>
          </w:r>
          <w:r>
            <w:instrText xml:space="preserve"> PAGEREF _dxulpx6bvr47 \h </w:instrText>
          </w:r>
          <w:r>
            <w:fldChar w:fldCharType="separate"/>
          </w:r>
          <w:r>
            <w:rPr>
              <w:color w:val="000000"/>
            </w:rPr>
            <w:t>23</w:t>
          </w:r>
          <w:r>
            <w:fldChar w:fldCharType="end"/>
          </w:r>
        </w:p>
        <w:p w14:paraId="41076E77" w14:textId="77777777" w:rsidR="005A724B" w:rsidRDefault="005D2FFE">
          <w:pPr>
            <w:tabs>
              <w:tab w:val="right" w:pos="9360"/>
            </w:tabs>
            <w:spacing w:before="60" w:line="240" w:lineRule="auto"/>
            <w:ind w:left="1080"/>
            <w:rPr>
              <w:color w:val="000000"/>
            </w:rPr>
          </w:pPr>
          <w:hyperlink w:anchor="_ahgyhh9wr1yv">
            <w:r>
              <w:rPr>
                <w:color w:val="000000"/>
              </w:rPr>
              <w:t>Figure 1.3 Location of Red King Crab Savings Area</w:t>
            </w:r>
          </w:hyperlink>
          <w:r>
            <w:rPr>
              <w:color w:val="000000"/>
            </w:rPr>
            <w:tab/>
          </w:r>
          <w:r>
            <w:fldChar w:fldCharType="begin"/>
          </w:r>
          <w:r>
            <w:instrText xml:space="preserve"> PAGEREF _ahgyhh9wr1yv \h </w:instrText>
          </w:r>
          <w:r>
            <w:fldChar w:fldCharType="separate"/>
          </w:r>
          <w:r>
            <w:rPr>
              <w:color w:val="000000"/>
            </w:rPr>
            <w:t>24</w:t>
          </w:r>
          <w:r>
            <w:fldChar w:fldCharType="end"/>
          </w:r>
        </w:p>
        <w:p w14:paraId="55259555" w14:textId="77777777" w:rsidR="005A724B" w:rsidRDefault="005D2FFE">
          <w:pPr>
            <w:tabs>
              <w:tab w:val="right" w:pos="9360"/>
            </w:tabs>
            <w:spacing w:before="60" w:line="240" w:lineRule="auto"/>
            <w:ind w:left="720"/>
            <w:rPr>
              <w:color w:val="000000"/>
            </w:rPr>
          </w:pPr>
          <w:hyperlink w:anchor="_5sanir9wjm1l">
            <w:r>
              <w:rPr>
                <w:color w:val="000000"/>
              </w:rPr>
              <w:t>Quota programs</w:t>
            </w:r>
          </w:hyperlink>
          <w:r>
            <w:rPr>
              <w:color w:val="000000"/>
            </w:rPr>
            <w:tab/>
          </w:r>
          <w:r>
            <w:fldChar w:fldCharType="begin"/>
          </w:r>
          <w:r>
            <w:instrText xml:space="preserve"> PAGEREF _5sanir9wjm1l \h </w:instrText>
          </w:r>
          <w:r>
            <w:fldChar w:fldCharType="separate"/>
          </w:r>
          <w:r>
            <w:rPr>
              <w:color w:val="000000"/>
            </w:rPr>
            <w:t>24</w:t>
          </w:r>
          <w:r>
            <w:fldChar w:fldCharType="end"/>
          </w:r>
        </w:p>
        <w:p w14:paraId="1DDED05F" w14:textId="77777777" w:rsidR="005A724B" w:rsidRDefault="005D2FFE">
          <w:pPr>
            <w:tabs>
              <w:tab w:val="right" w:pos="9360"/>
            </w:tabs>
            <w:spacing w:before="60" w:line="240" w:lineRule="auto"/>
            <w:ind w:left="720"/>
            <w:rPr>
              <w:color w:val="000000"/>
            </w:rPr>
          </w:pPr>
          <w:hyperlink w:anchor="_nl5yocshgzyq">
            <w:r>
              <w:rPr>
                <w:color w:val="000000"/>
              </w:rPr>
              <w:t>Seasonal allocations</w:t>
            </w:r>
          </w:hyperlink>
          <w:r>
            <w:rPr>
              <w:color w:val="000000"/>
            </w:rPr>
            <w:tab/>
          </w:r>
          <w:r>
            <w:fldChar w:fldCharType="begin"/>
          </w:r>
          <w:r>
            <w:instrText xml:space="preserve"> PAGEREF _nl5yocshgzyq \h </w:instrText>
          </w:r>
          <w:r>
            <w:fldChar w:fldCharType="separate"/>
          </w:r>
          <w:r>
            <w:rPr>
              <w:color w:val="000000"/>
            </w:rPr>
            <w:t>24</w:t>
          </w:r>
          <w:r>
            <w:fldChar w:fldCharType="end"/>
          </w:r>
        </w:p>
        <w:p w14:paraId="07EC94F9" w14:textId="77777777" w:rsidR="005A724B" w:rsidRDefault="005D2FFE">
          <w:pPr>
            <w:tabs>
              <w:tab w:val="right" w:pos="9360"/>
            </w:tabs>
            <w:spacing w:before="60" w:line="240" w:lineRule="auto"/>
            <w:ind w:left="720"/>
            <w:rPr>
              <w:color w:val="000000"/>
            </w:rPr>
          </w:pPr>
          <w:hyperlink w:anchor="_57udwy7k4gmu">
            <w:r>
              <w:rPr>
                <w:color w:val="000000"/>
              </w:rPr>
              <w:t>Gear/vessel/retention</w:t>
            </w:r>
          </w:hyperlink>
          <w:r>
            <w:rPr>
              <w:color w:val="000000"/>
            </w:rPr>
            <w:tab/>
          </w:r>
          <w:r>
            <w:fldChar w:fldCharType="begin"/>
          </w:r>
          <w:r>
            <w:instrText xml:space="preserve"> PAGEREF _57udwy7k4gmu \h </w:instrText>
          </w:r>
          <w:r>
            <w:fldChar w:fldCharType="separate"/>
          </w:r>
          <w:r>
            <w:rPr>
              <w:color w:val="000000"/>
            </w:rPr>
            <w:t>24</w:t>
          </w:r>
          <w:r>
            <w:fldChar w:fldCharType="end"/>
          </w:r>
        </w:p>
        <w:p w14:paraId="1A1BBA60" w14:textId="77777777" w:rsidR="005A724B" w:rsidRDefault="005D2FFE">
          <w:pPr>
            <w:tabs>
              <w:tab w:val="right" w:pos="9360"/>
            </w:tabs>
            <w:spacing w:before="60" w:line="240" w:lineRule="auto"/>
            <w:ind w:left="720"/>
            <w:rPr>
              <w:color w:val="000000"/>
            </w:rPr>
          </w:pPr>
          <w:hyperlink w:anchor="_by37vc7nxfhi">
            <w:r>
              <w:rPr>
                <w:color w:val="000000"/>
              </w:rPr>
              <w:t>TAC adjustments/exchanges</w:t>
            </w:r>
          </w:hyperlink>
          <w:r>
            <w:rPr>
              <w:color w:val="000000"/>
            </w:rPr>
            <w:tab/>
          </w:r>
          <w:r>
            <w:fldChar w:fldCharType="begin"/>
          </w:r>
          <w:r>
            <w:instrText xml:space="preserve"> PAGEREF _by37vc7nxfhi \h </w:instrText>
          </w:r>
          <w:r>
            <w:fldChar w:fldCharType="separate"/>
          </w:r>
          <w:r>
            <w:rPr>
              <w:color w:val="000000"/>
            </w:rPr>
            <w:t>25</w:t>
          </w:r>
          <w:r>
            <w:fldChar w:fldCharType="end"/>
          </w:r>
        </w:p>
        <w:p w14:paraId="34C9A4E8" w14:textId="77777777" w:rsidR="005A724B" w:rsidRDefault="005D2FFE">
          <w:pPr>
            <w:tabs>
              <w:tab w:val="right" w:pos="9360"/>
            </w:tabs>
            <w:spacing w:before="60" w:line="240" w:lineRule="auto"/>
            <w:ind w:left="1080"/>
            <w:rPr>
              <w:color w:val="000000"/>
            </w:rPr>
          </w:pPr>
          <w:hyperlink w:anchor="_3qffqkunn67k">
            <w:r>
              <w:rPr>
                <w:color w:val="000000"/>
              </w:rPr>
              <w:t>Flatfish exchange</w:t>
            </w:r>
          </w:hyperlink>
          <w:r>
            <w:rPr>
              <w:color w:val="000000"/>
            </w:rPr>
            <w:tab/>
          </w:r>
          <w:r>
            <w:fldChar w:fldCharType="begin"/>
          </w:r>
          <w:r>
            <w:instrText xml:space="preserve"> PAGEREF _3qffqkunn67k \h </w:instrText>
          </w:r>
          <w:r>
            <w:fldChar w:fldCharType="separate"/>
          </w:r>
          <w:r>
            <w:rPr>
              <w:color w:val="000000"/>
            </w:rPr>
            <w:t>25</w:t>
          </w:r>
          <w:r>
            <w:fldChar w:fldCharType="end"/>
          </w:r>
        </w:p>
        <w:p w14:paraId="36C81C51" w14:textId="77777777" w:rsidR="005A724B" w:rsidRDefault="005D2FFE">
          <w:pPr>
            <w:tabs>
              <w:tab w:val="right" w:pos="9360"/>
            </w:tabs>
            <w:spacing w:before="60" w:line="240" w:lineRule="auto"/>
            <w:ind w:left="1080"/>
            <w:rPr>
              <w:color w:val="000000"/>
            </w:rPr>
          </w:pPr>
          <w:hyperlink w:anchor="_9bfpgkg96qdt">
            <w:r>
              <w:rPr>
                <w:color w:val="000000"/>
              </w:rPr>
              <w:t>Optimum Yield (OY) range</w:t>
            </w:r>
          </w:hyperlink>
          <w:r>
            <w:rPr>
              <w:color w:val="000000"/>
            </w:rPr>
            <w:tab/>
          </w:r>
          <w:r>
            <w:fldChar w:fldCharType="begin"/>
          </w:r>
          <w:r>
            <w:instrText xml:space="preserve"> PAGEREF _9bfpgkg96qdt \h </w:instrText>
          </w:r>
          <w:r>
            <w:fldChar w:fldCharType="separate"/>
          </w:r>
          <w:r>
            <w:rPr>
              <w:color w:val="000000"/>
            </w:rPr>
            <w:t>25</w:t>
          </w:r>
          <w:r>
            <w:fldChar w:fldCharType="end"/>
          </w:r>
        </w:p>
        <w:p w14:paraId="35F32691" w14:textId="77777777" w:rsidR="005A724B" w:rsidRDefault="005D2FFE">
          <w:pPr>
            <w:tabs>
              <w:tab w:val="right" w:pos="9360"/>
            </w:tabs>
            <w:spacing w:before="60" w:line="240" w:lineRule="auto"/>
            <w:ind w:left="720"/>
            <w:rPr>
              <w:color w:val="000000"/>
            </w:rPr>
          </w:pPr>
          <w:hyperlink w:anchor="_q64hzp3r8bv2">
            <w:r>
              <w:rPr>
                <w:color w:val="000000"/>
              </w:rPr>
              <w:t>Data integration</w:t>
            </w:r>
          </w:hyperlink>
          <w:r>
            <w:rPr>
              <w:color w:val="000000"/>
            </w:rPr>
            <w:tab/>
          </w:r>
          <w:r>
            <w:fldChar w:fldCharType="begin"/>
          </w:r>
          <w:r>
            <w:instrText xml:space="preserve"> PAGEREF _q64hzp3r8bv2 \h </w:instrText>
          </w:r>
          <w:r>
            <w:fldChar w:fldCharType="separate"/>
          </w:r>
          <w:r>
            <w:rPr>
              <w:color w:val="000000"/>
            </w:rPr>
            <w:t>26</w:t>
          </w:r>
          <w:r>
            <w:fldChar w:fldCharType="end"/>
          </w:r>
        </w:p>
        <w:p w14:paraId="4C1B6C08" w14:textId="77777777" w:rsidR="005A724B" w:rsidRDefault="005D2FFE">
          <w:pPr>
            <w:tabs>
              <w:tab w:val="right" w:pos="9360"/>
            </w:tabs>
            <w:spacing w:before="60" w:line="240" w:lineRule="auto"/>
            <w:ind w:left="720"/>
            <w:rPr>
              <w:color w:val="000000"/>
            </w:rPr>
          </w:pPr>
          <w:hyperlink w:anchor="_2us9mkfytvtf">
            <w:r>
              <w:rPr>
                <w:color w:val="000000"/>
              </w:rPr>
              <w:t>Industry led measures</w:t>
            </w:r>
          </w:hyperlink>
          <w:r>
            <w:rPr>
              <w:color w:val="000000"/>
            </w:rPr>
            <w:tab/>
          </w:r>
          <w:r>
            <w:fldChar w:fldCharType="begin"/>
          </w:r>
          <w:r>
            <w:instrText xml:space="preserve"> PAGEREF _2us9mkfytvtf \h </w:instrText>
          </w:r>
          <w:r>
            <w:fldChar w:fldCharType="separate"/>
          </w:r>
          <w:r>
            <w:rPr>
              <w:color w:val="000000"/>
            </w:rPr>
            <w:t>26</w:t>
          </w:r>
          <w:r>
            <w:fldChar w:fldCharType="end"/>
          </w:r>
        </w:p>
        <w:p w14:paraId="530C4333" w14:textId="77777777" w:rsidR="005A724B" w:rsidRDefault="005D2FFE">
          <w:pPr>
            <w:tabs>
              <w:tab w:val="right" w:pos="9360"/>
            </w:tabs>
            <w:spacing w:before="60" w:line="240" w:lineRule="auto"/>
            <w:ind w:left="360"/>
            <w:rPr>
              <w:color w:val="000000"/>
            </w:rPr>
          </w:pPr>
          <w:hyperlink w:anchor="_pri21c16v28i">
            <w:r>
              <w:rPr>
                <w:color w:val="000000"/>
              </w:rPr>
              <w:t>Detail on table elements</w:t>
            </w:r>
          </w:hyperlink>
          <w:r>
            <w:rPr>
              <w:color w:val="000000"/>
            </w:rPr>
            <w:tab/>
          </w:r>
          <w:r>
            <w:fldChar w:fldCharType="begin"/>
          </w:r>
          <w:r>
            <w:instrText xml:space="preserve"> PAGEREF _pri21c16v28i \h </w:instrText>
          </w:r>
          <w:r>
            <w:fldChar w:fldCharType="separate"/>
          </w:r>
          <w:r>
            <w:rPr>
              <w:color w:val="000000"/>
            </w:rPr>
            <w:t>27</w:t>
          </w:r>
          <w:r>
            <w:fldChar w:fldCharType="end"/>
          </w:r>
        </w:p>
        <w:p w14:paraId="187AE2A2" w14:textId="77777777" w:rsidR="005A724B" w:rsidRDefault="005D2FFE">
          <w:pPr>
            <w:tabs>
              <w:tab w:val="right" w:pos="9360"/>
            </w:tabs>
            <w:spacing w:before="60" w:line="240" w:lineRule="auto"/>
            <w:ind w:left="720"/>
            <w:rPr>
              <w:color w:val="000000"/>
            </w:rPr>
          </w:pPr>
          <w:hyperlink w:anchor="_bqyctfhr22tb">
            <w:r>
              <w:rPr>
                <w:color w:val="000000"/>
              </w:rPr>
              <w:t>Flatfish Exchange</w:t>
            </w:r>
          </w:hyperlink>
          <w:r>
            <w:rPr>
              <w:color w:val="000000"/>
            </w:rPr>
            <w:tab/>
          </w:r>
          <w:r>
            <w:fldChar w:fldCharType="begin"/>
          </w:r>
          <w:r>
            <w:instrText xml:space="preserve"> PAGEREF _bqyctfhr22tb \h </w:instrText>
          </w:r>
          <w:r>
            <w:fldChar w:fldCharType="separate"/>
          </w:r>
          <w:r>
            <w:rPr>
              <w:color w:val="000000"/>
            </w:rPr>
            <w:t>27</w:t>
          </w:r>
          <w:r>
            <w:fldChar w:fldCharType="end"/>
          </w:r>
        </w:p>
        <w:p w14:paraId="3D5511EE" w14:textId="77777777" w:rsidR="005A724B" w:rsidRDefault="005D2FFE">
          <w:pPr>
            <w:tabs>
              <w:tab w:val="right" w:pos="9360"/>
            </w:tabs>
            <w:spacing w:before="60" w:line="240" w:lineRule="auto"/>
            <w:ind w:left="720"/>
            <w:rPr>
              <w:color w:val="000000"/>
            </w:rPr>
          </w:pPr>
          <w:hyperlink w:anchor="_477pixp6xg3p">
            <w:r>
              <w:rPr>
                <w:color w:val="000000"/>
              </w:rPr>
              <w:t>Incidental Catch Allowances</w:t>
            </w:r>
          </w:hyperlink>
          <w:r>
            <w:rPr>
              <w:color w:val="000000"/>
            </w:rPr>
            <w:tab/>
          </w:r>
          <w:r>
            <w:fldChar w:fldCharType="begin"/>
          </w:r>
          <w:r>
            <w:instrText xml:space="preserve"> PAGEREF _477pixp6xg3p \h </w:instrText>
          </w:r>
          <w:r>
            <w:fldChar w:fldCharType="separate"/>
          </w:r>
          <w:r>
            <w:rPr>
              <w:color w:val="000000"/>
            </w:rPr>
            <w:t>27</w:t>
          </w:r>
          <w:r>
            <w:fldChar w:fldCharType="end"/>
          </w:r>
        </w:p>
        <w:p w14:paraId="039DB054" w14:textId="77777777" w:rsidR="005A724B" w:rsidRDefault="005D2FFE">
          <w:pPr>
            <w:tabs>
              <w:tab w:val="right" w:pos="9360"/>
            </w:tabs>
            <w:spacing w:before="60" w:line="240" w:lineRule="auto"/>
            <w:ind w:left="720"/>
            <w:rPr>
              <w:color w:val="000000"/>
            </w:rPr>
          </w:pPr>
          <w:hyperlink w:anchor="_gqyv58wktzkx">
            <w:r>
              <w:rPr>
                <w:color w:val="000000"/>
              </w:rPr>
              <w:t>Non-specified reserves</w:t>
            </w:r>
          </w:hyperlink>
          <w:r>
            <w:rPr>
              <w:color w:val="000000"/>
            </w:rPr>
            <w:tab/>
          </w:r>
          <w:r>
            <w:fldChar w:fldCharType="begin"/>
          </w:r>
          <w:r>
            <w:instrText xml:space="preserve"> PAGEREF _gqyv58wktzkx \h </w:instrText>
          </w:r>
          <w:r>
            <w:fldChar w:fldCharType="separate"/>
          </w:r>
          <w:r>
            <w:rPr>
              <w:color w:val="000000"/>
            </w:rPr>
            <w:t>27</w:t>
          </w:r>
          <w:r>
            <w:fldChar w:fldCharType="end"/>
          </w:r>
        </w:p>
        <w:p w14:paraId="53824A53" w14:textId="77777777" w:rsidR="005A724B" w:rsidRDefault="005D2FFE">
          <w:pPr>
            <w:tabs>
              <w:tab w:val="right" w:pos="9360"/>
            </w:tabs>
            <w:spacing w:before="60" w:line="240" w:lineRule="auto"/>
            <w:ind w:left="360"/>
            <w:rPr>
              <w:color w:val="000000"/>
            </w:rPr>
          </w:pPr>
          <w:hyperlink w:anchor="_nrkifz1atpph">
            <w:r>
              <w:rPr>
                <w:color w:val="000000"/>
              </w:rPr>
              <w:t>Area Manage</w:t>
            </w:r>
            <w:r>
              <w:rPr>
                <w:color w:val="000000"/>
              </w:rPr>
              <w:t>ment (Not a comprehensive list)</w:t>
            </w:r>
          </w:hyperlink>
          <w:r>
            <w:rPr>
              <w:color w:val="000000"/>
            </w:rPr>
            <w:tab/>
          </w:r>
          <w:r>
            <w:fldChar w:fldCharType="begin"/>
          </w:r>
          <w:r>
            <w:instrText xml:space="preserve"> PAGEREF _nrkifz1atpph \h </w:instrText>
          </w:r>
          <w:r>
            <w:fldChar w:fldCharType="separate"/>
          </w:r>
          <w:r>
            <w:rPr>
              <w:color w:val="000000"/>
            </w:rPr>
            <w:t>27</w:t>
          </w:r>
          <w:r>
            <w:fldChar w:fldCharType="end"/>
          </w:r>
        </w:p>
        <w:p w14:paraId="486A3AC1" w14:textId="77777777" w:rsidR="005A724B" w:rsidRDefault="005D2FFE">
          <w:pPr>
            <w:tabs>
              <w:tab w:val="right" w:pos="9360"/>
            </w:tabs>
            <w:spacing w:before="60" w:line="240" w:lineRule="auto"/>
            <w:ind w:left="720"/>
            <w:rPr>
              <w:color w:val="000000"/>
            </w:rPr>
          </w:pPr>
          <w:hyperlink w:anchor="_ll3vzhloq22y">
            <w:r>
              <w:rPr>
                <w:color w:val="000000"/>
              </w:rPr>
              <w:t>Catcher Vessel Operational Area (CVOA)</w:t>
            </w:r>
          </w:hyperlink>
          <w:r>
            <w:rPr>
              <w:color w:val="000000"/>
            </w:rPr>
            <w:tab/>
          </w:r>
          <w:r>
            <w:fldChar w:fldCharType="begin"/>
          </w:r>
          <w:r>
            <w:instrText xml:space="preserve"> PAGEREF _ll3vzhloq22y \h </w:instrText>
          </w:r>
          <w:r>
            <w:fldChar w:fldCharType="separate"/>
          </w:r>
          <w:r>
            <w:rPr>
              <w:color w:val="000000"/>
            </w:rPr>
            <w:t>27</w:t>
          </w:r>
          <w:r>
            <w:fldChar w:fldCharType="end"/>
          </w:r>
        </w:p>
        <w:p w14:paraId="2E5CC778" w14:textId="77777777" w:rsidR="005A724B" w:rsidRDefault="005D2FFE">
          <w:pPr>
            <w:tabs>
              <w:tab w:val="right" w:pos="9360"/>
            </w:tabs>
            <w:spacing w:before="60" w:line="240" w:lineRule="auto"/>
            <w:ind w:left="720"/>
            <w:rPr>
              <w:color w:val="000000"/>
            </w:rPr>
          </w:pPr>
          <w:hyperlink w:anchor="_3chj1jlhahpp">
            <w:r>
              <w:rPr>
                <w:color w:val="000000"/>
              </w:rPr>
              <w:t>Pribilof Islands Habitat Conservation Zone</w:t>
            </w:r>
          </w:hyperlink>
          <w:r>
            <w:rPr>
              <w:color w:val="000000"/>
            </w:rPr>
            <w:tab/>
          </w:r>
          <w:r>
            <w:fldChar w:fldCharType="begin"/>
          </w:r>
          <w:r>
            <w:instrText xml:space="preserve"> PAGEREF _3chj1jlhahpp \h </w:instrText>
          </w:r>
          <w:r>
            <w:fldChar w:fldCharType="separate"/>
          </w:r>
          <w:r>
            <w:rPr>
              <w:color w:val="000000"/>
            </w:rPr>
            <w:t>28</w:t>
          </w:r>
          <w:r>
            <w:fldChar w:fldCharType="end"/>
          </w:r>
        </w:p>
        <w:p w14:paraId="385D19C4" w14:textId="77777777" w:rsidR="005A724B" w:rsidRDefault="005D2FFE">
          <w:pPr>
            <w:tabs>
              <w:tab w:val="right" w:pos="9360"/>
            </w:tabs>
            <w:spacing w:before="60" w:line="240" w:lineRule="auto"/>
            <w:ind w:left="720"/>
            <w:rPr>
              <w:color w:val="000000"/>
            </w:rPr>
          </w:pPr>
          <w:hyperlink w:anchor="_wo2yv1587kag">
            <w:r>
              <w:rPr>
                <w:color w:val="000000"/>
              </w:rPr>
              <w:t>Zone 1 (NMFS Reporting Area 512) closure to trawl gear</w:t>
            </w:r>
          </w:hyperlink>
          <w:r>
            <w:rPr>
              <w:color w:val="000000"/>
            </w:rPr>
            <w:tab/>
          </w:r>
          <w:r>
            <w:fldChar w:fldCharType="begin"/>
          </w:r>
          <w:r>
            <w:instrText xml:space="preserve"> PAGEREF _wo2yv1587kag \h </w:instrText>
          </w:r>
          <w:r>
            <w:fldChar w:fldCharType="separate"/>
          </w:r>
          <w:r>
            <w:rPr>
              <w:color w:val="000000"/>
            </w:rPr>
            <w:t>28</w:t>
          </w:r>
          <w:r>
            <w:fldChar w:fldCharType="end"/>
          </w:r>
        </w:p>
        <w:p w14:paraId="66B23F81" w14:textId="77777777" w:rsidR="005A724B" w:rsidRDefault="005D2FFE">
          <w:pPr>
            <w:tabs>
              <w:tab w:val="right" w:pos="9360"/>
            </w:tabs>
            <w:spacing w:before="60" w:line="240" w:lineRule="auto"/>
            <w:ind w:left="720"/>
            <w:rPr>
              <w:color w:val="000000"/>
            </w:rPr>
          </w:pPr>
          <w:hyperlink w:anchor="_lv5fwiqmozep">
            <w:r>
              <w:rPr>
                <w:color w:val="000000"/>
              </w:rPr>
              <w:t>Zone 1 (NMFS Reporting Area 516) closure to trawl gear</w:t>
            </w:r>
          </w:hyperlink>
          <w:r>
            <w:rPr>
              <w:color w:val="000000"/>
            </w:rPr>
            <w:tab/>
          </w:r>
          <w:r>
            <w:fldChar w:fldCharType="begin"/>
          </w:r>
          <w:r>
            <w:instrText xml:space="preserve"> PAGEREF _lv5fwiqmozep \h </w:instrText>
          </w:r>
          <w:r>
            <w:fldChar w:fldCharType="separate"/>
          </w:r>
          <w:r>
            <w:rPr>
              <w:color w:val="000000"/>
            </w:rPr>
            <w:t>28</w:t>
          </w:r>
          <w:r>
            <w:fldChar w:fldCharType="end"/>
          </w:r>
        </w:p>
        <w:p w14:paraId="5F3B26C1" w14:textId="77777777" w:rsidR="005A724B" w:rsidRDefault="005D2FFE">
          <w:pPr>
            <w:tabs>
              <w:tab w:val="right" w:pos="9360"/>
            </w:tabs>
            <w:spacing w:before="60" w:line="240" w:lineRule="auto"/>
            <w:ind w:left="720"/>
            <w:rPr>
              <w:color w:val="000000"/>
            </w:rPr>
          </w:pPr>
          <w:hyperlink w:anchor="_9avw8qy33p18">
            <w:r>
              <w:rPr>
                <w:color w:val="000000"/>
              </w:rPr>
              <w:t>C. opilio Bycatch Limitation Zone (COBLZ)</w:t>
            </w:r>
          </w:hyperlink>
          <w:r>
            <w:rPr>
              <w:color w:val="000000"/>
            </w:rPr>
            <w:tab/>
          </w:r>
          <w:r>
            <w:fldChar w:fldCharType="begin"/>
          </w:r>
          <w:r>
            <w:instrText xml:space="preserve"> PAGEREF _9avw8qy33p18 \h </w:instrText>
          </w:r>
          <w:r>
            <w:fldChar w:fldCharType="separate"/>
          </w:r>
          <w:r>
            <w:rPr>
              <w:color w:val="000000"/>
            </w:rPr>
            <w:t>28</w:t>
          </w:r>
          <w:r>
            <w:fldChar w:fldCharType="end"/>
          </w:r>
        </w:p>
        <w:p w14:paraId="7B4AB3B8" w14:textId="77777777" w:rsidR="005A724B" w:rsidRDefault="005D2FFE">
          <w:pPr>
            <w:tabs>
              <w:tab w:val="right" w:pos="9360"/>
            </w:tabs>
            <w:spacing w:before="60" w:line="240" w:lineRule="auto"/>
            <w:ind w:left="720"/>
            <w:rPr>
              <w:color w:val="000000"/>
            </w:rPr>
          </w:pPr>
          <w:hyperlink w:anchor="_ouott5s9gywp">
            <w:r>
              <w:rPr>
                <w:color w:val="000000"/>
              </w:rPr>
              <w:t>Red King Crab Savings Area (RKCSA) and subarea</w:t>
            </w:r>
          </w:hyperlink>
          <w:r>
            <w:rPr>
              <w:color w:val="000000"/>
            </w:rPr>
            <w:tab/>
          </w:r>
          <w:r>
            <w:fldChar w:fldCharType="begin"/>
          </w:r>
          <w:r>
            <w:instrText xml:space="preserve"> PAGEREF _ouott5s9gywp \h </w:instrText>
          </w:r>
          <w:r>
            <w:fldChar w:fldCharType="separate"/>
          </w:r>
          <w:r>
            <w:rPr>
              <w:color w:val="000000"/>
            </w:rPr>
            <w:t>28</w:t>
          </w:r>
          <w:r>
            <w:fldChar w:fldCharType="end"/>
          </w:r>
        </w:p>
        <w:p w14:paraId="7BDD927A" w14:textId="77777777" w:rsidR="005A724B" w:rsidRDefault="005D2FFE">
          <w:pPr>
            <w:tabs>
              <w:tab w:val="right" w:pos="9360"/>
            </w:tabs>
            <w:spacing w:before="60" w:line="240" w:lineRule="auto"/>
            <w:ind w:left="720"/>
            <w:rPr>
              <w:color w:val="000000"/>
            </w:rPr>
          </w:pPr>
          <w:hyperlink w:anchor="_5v8e0jvebwbz">
            <w:r>
              <w:rPr>
                <w:color w:val="000000"/>
              </w:rPr>
              <w:t>Herring Savings Area</w:t>
            </w:r>
          </w:hyperlink>
          <w:r>
            <w:rPr>
              <w:color w:val="000000"/>
            </w:rPr>
            <w:tab/>
          </w:r>
          <w:r>
            <w:fldChar w:fldCharType="begin"/>
          </w:r>
          <w:r>
            <w:instrText xml:space="preserve"> PAGEREF _5v8e0jvebwbz \h </w:instrText>
          </w:r>
          <w:r>
            <w:fldChar w:fldCharType="separate"/>
          </w:r>
          <w:r>
            <w:rPr>
              <w:color w:val="000000"/>
            </w:rPr>
            <w:t>29</w:t>
          </w:r>
          <w:r>
            <w:fldChar w:fldCharType="end"/>
          </w:r>
        </w:p>
        <w:p w14:paraId="7E493D3D" w14:textId="77777777" w:rsidR="005A724B" w:rsidRDefault="005D2FFE">
          <w:pPr>
            <w:tabs>
              <w:tab w:val="right" w:pos="9360"/>
            </w:tabs>
            <w:spacing w:before="60" w:line="240" w:lineRule="auto"/>
            <w:ind w:left="720"/>
            <w:rPr>
              <w:color w:val="000000"/>
            </w:rPr>
          </w:pPr>
          <w:hyperlink w:anchor="_5kra6cyzg21w">
            <w:r>
              <w:rPr>
                <w:color w:val="000000"/>
              </w:rPr>
              <w:t>Salmon Savings Measures and Monitoring</w:t>
            </w:r>
          </w:hyperlink>
          <w:r>
            <w:rPr>
              <w:color w:val="000000"/>
            </w:rPr>
            <w:tab/>
          </w:r>
          <w:r>
            <w:fldChar w:fldCharType="begin"/>
          </w:r>
          <w:r>
            <w:instrText xml:space="preserve"> PAGEREF _5kra6cyzg21w \h </w:instrText>
          </w:r>
          <w:r>
            <w:fldChar w:fldCharType="separate"/>
          </w:r>
          <w:r>
            <w:rPr>
              <w:color w:val="000000"/>
            </w:rPr>
            <w:t>29</w:t>
          </w:r>
          <w:r>
            <w:fldChar w:fldCharType="end"/>
          </w:r>
        </w:p>
        <w:p w14:paraId="5ABF5527" w14:textId="77777777" w:rsidR="005A724B" w:rsidRDefault="005D2FFE">
          <w:pPr>
            <w:tabs>
              <w:tab w:val="right" w:pos="9360"/>
            </w:tabs>
            <w:spacing w:before="60" w:line="240" w:lineRule="auto"/>
            <w:ind w:left="720"/>
            <w:rPr>
              <w:color w:val="000000"/>
            </w:rPr>
          </w:pPr>
          <w:hyperlink w:anchor="_qdpqp95eu1zb">
            <w:r>
              <w:rPr>
                <w:color w:val="000000"/>
              </w:rPr>
              <w:t>Habitat Conservation Area Maps</w:t>
            </w:r>
          </w:hyperlink>
          <w:r>
            <w:rPr>
              <w:color w:val="000000"/>
            </w:rPr>
            <w:tab/>
          </w:r>
          <w:r>
            <w:fldChar w:fldCharType="begin"/>
          </w:r>
          <w:r>
            <w:instrText xml:space="preserve"> PAGEREF _qdpqp95eu1zb</w:instrText>
          </w:r>
          <w:r>
            <w:instrText xml:space="preserve"> \h </w:instrText>
          </w:r>
          <w:r>
            <w:fldChar w:fldCharType="separate"/>
          </w:r>
          <w:r>
            <w:rPr>
              <w:color w:val="000000"/>
            </w:rPr>
            <w:t>29</w:t>
          </w:r>
          <w:r>
            <w:fldChar w:fldCharType="end"/>
          </w:r>
        </w:p>
        <w:p w14:paraId="7932AD14" w14:textId="77777777" w:rsidR="005A724B" w:rsidRDefault="005D2FFE">
          <w:pPr>
            <w:tabs>
              <w:tab w:val="right" w:pos="9360"/>
            </w:tabs>
            <w:spacing w:before="60" w:line="240" w:lineRule="auto"/>
            <w:ind w:left="720"/>
            <w:rPr>
              <w:color w:val="000000"/>
            </w:rPr>
          </w:pPr>
          <w:hyperlink w:anchor="_83a8jbz4oacs">
            <w:r>
              <w:rPr>
                <w:color w:val="000000"/>
              </w:rPr>
              <w:t>Steller Sea Lion Protection Measures</w:t>
            </w:r>
          </w:hyperlink>
          <w:r>
            <w:rPr>
              <w:color w:val="000000"/>
            </w:rPr>
            <w:tab/>
          </w:r>
          <w:r>
            <w:fldChar w:fldCharType="begin"/>
          </w:r>
          <w:r>
            <w:instrText xml:space="preserve"> PAGEREF _83a8jbz4oacs \h </w:instrText>
          </w:r>
          <w:r>
            <w:fldChar w:fldCharType="separate"/>
          </w:r>
          <w:r>
            <w:rPr>
              <w:color w:val="000000"/>
            </w:rPr>
            <w:t>30</w:t>
          </w:r>
          <w:r>
            <w:fldChar w:fldCharType="end"/>
          </w:r>
        </w:p>
        <w:p w14:paraId="2826D865" w14:textId="77777777" w:rsidR="005A724B" w:rsidRDefault="005D2FFE">
          <w:pPr>
            <w:tabs>
              <w:tab w:val="right" w:pos="9360"/>
            </w:tabs>
            <w:spacing w:before="60" w:line="240" w:lineRule="auto"/>
            <w:ind w:left="720"/>
            <w:rPr>
              <w:color w:val="000000"/>
            </w:rPr>
          </w:pPr>
          <w:hyperlink w:anchor="_rixvzcigvju2">
            <w:r>
              <w:rPr>
                <w:color w:val="000000"/>
              </w:rPr>
              <w:t>Special Area Maps</w:t>
            </w:r>
          </w:hyperlink>
          <w:r>
            <w:rPr>
              <w:color w:val="000000"/>
            </w:rPr>
            <w:tab/>
          </w:r>
          <w:r>
            <w:fldChar w:fldCharType="begin"/>
          </w:r>
          <w:r>
            <w:instrText xml:space="preserve"> PAGEREF _rixvzcigvju2 \h </w:instrText>
          </w:r>
          <w:r>
            <w:fldChar w:fldCharType="separate"/>
          </w:r>
          <w:r>
            <w:rPr>
              <w:color w:val="000000"/>
            </w:rPr>
            <w:t>30</w:t>
          </w:r>
          <w:r>
            <w:fldChar w:fldCharType="end"/>
          </w:r>
        </w:p>
        <w:p w14:paraId="7548658B" w14:textId="77777777" w:rsidR="005A724B" w:rsidRDefault="005D2FFE">
          <w:pPr>
            <w:tabs>
              <w:tab w:val="right" w:pos="9360"/>
            </w:tabs>
            <w:spacing w:before="60" w:line="240" w:lineRule="auto"/>
            <w:ind w:left="360"/>
            <w:rPr>
              <w:color w:val="000000"/>
            </w:rPr>
          </w:pPr>
          <w:hyperlink w:anchor="_r85446f3osje">
            <w:r>
              <w:rPr>
                <w:color w:val="000000"/>
              </w:rPr>
              <w:t>Monit</w:t>
            </w:r>
            <w:r>
              <w:rPr>
                <w:color w:val="000000"/>
              </w:rPr>
              <w:t>oring</w:t>
            </w:r>
          </w:hyperlink>
          <w:r>
            <w:rPr>
              <w:color w:val="000000"/>
            </w:rPr>
            <w:tab/>
          </w:r>
          <w:r>
            <w:fldChar w:fldCharType="begin"/>
          </w:r>
          <w:r>
            <w:instrText xml:space="preserve"> PAGEREF _r85446f3osje \h </w:instrText>
          </w:r>
          <w:r>
            <w:fldChar w:fldCharType="separate"/>
          </w:r>
          <w:r>
            <w:rPr>
              <w:color w:val="000000"/>
            </w:rPr>
            <w:t>30</w:t>
          </w:r>
          <w:r>
            <w:fldChar w:fldCharType="end"/>
          </w:r>
        </w:p>
        <w:p w14:paraId="756C70F1" w14:textId="77777777" w:rsidR="005A724B" w:rsidRDefault="005D2FFE">
          <w:pPr>
            <w:tabs>
              <w:tab w:val="right" w:pos="9360"/>
            </w:tabs>
            <w:spacing w:before="60" w:line="240" w:lineRule="auto"/>
            <w:ind w:left="360"/>
            <w:rPr>
              <w:color w:val="000000"/>
            </w:rPr>
          </w:pPr>
          <w:hyperlink w:anchor="_s484s4yqb0b5">
            <w:r>
              <w:rPr>
                <w:color w:val="000000"/>
              </w:rPr>
              <w:t>Data Acquisition</w:t>
            </w:r>
          </w:hyperlink>
          <w:r>
            <w:rPr>
              <w:color w:val="000000"/>
            </w:rPr>
            <w:tab/>
          </w:r>
          <w:r>
            <w:fldChar w:fldCharType="begin"/>
          </w:r>
          <w:r>
            <w:instrText xml:space="preserve"> PAGEREF _s484s4yqb0b5 \h </w:instrText>
          </w:r>
          <w:r>
            <w:fldChar w:fldCharType="separate"/>
          </w:r>
          <w:r>
            <w:rPr>
              <w:color w:val="000000"/>
            </w:rPr>
            <w:t>31</w:t>
          </w:r>
          <w:r>
            <w:fldChar w:fldCharType="end"/>
          </w:r>
        </w:p>
        <w:p w14:paraId="5C35B9AC" w14:textId="77777777" w:rsidR="005A724B" w:rsidRDefault="005D2FFE">
          <w:pPr>
            <w:tabs>
              <w:tab w:val="right" w:pos="9360"/>
            </w:tabs>
            <w:spacing w:before="200" w:line="240" w:lineRule="auto"/>
            <w:rPr>
              <w:b/>
              <w:color w:val="000000"/>
            </w:rPr>
          </w:pPr>
          <w:hyperlink w:anchor="_qwkyuf2qusyc">
            <w:r>
              <w:rPr>
                <w:b/>
                <w:color w:val="000000"/>
              </w:rPr>
              <w:t>Section 2: SAFE Report Review [3770 words]</w:t>
            </w:r>
          </w:hyperlink>
          <w:r>
            <w:rPr>
              <w:b/>
              <w:color w:val="000000"/>
            </w:rPr>
            <w:tab/>
          </w:r>
          <w:r>
            <w:fldChar w:fldCharType="begin"/>
          </w:r>
          <w:r>
            <w:instrText xml:space="preserve"> PAGEREF _qwkyuf2qusyc \h </w:instrText>
          </w:r>
          <w:r>
            <w:fldChar w:fldCharType="separate"/>
          </w:r>
          <w:r>
            <w:rPr>
              <w:b/>
              <w:color w:val="000000"/>
            </w:rPr>
            <w:t>32</w:t>
          </w:r>
          <w:r>
            <w:fldChar w:fldCharType="end"/>
          </w:r>
        </w:p>
        <w:p w14:paraId="1420D986" w14:textId="77777777" w:rsidR="005A724B" w:rsidRDefault="005D2FFE">
          <w:pPr>
            <w:tabs>
              <w:tab w:val="right" w:pos="9360"/>
            </w:tabs>
            <w:spacing w:before="60" w:line="240" w:lineRule="auto"/>
            <w:ind w:left="360"/>
            <w:rPr>
              <w:color w:val="000000"/>
            </w:rPr>
          </w:pPr>
          <w:hyperlink w:anchor="_4uo4s0z33ntg">
            <w:r>
              <w:rPr>
                <w:color w:val="000000"/>
              </w:rPr>
              <w:t>Ranking Methodology</w:t>
            </w:r>
          </w:hyperlink>
          <w:r>
            <w:rPr>
              <w:color w:val="000000"/>
            </w:rPr>
            <w:tab/>
          </w:r>
          <w:r>
            <w:fldChar w:fldCharType="begin"/>
          </w:r>
          <w:r>
            <w:instrText xml:space="preserve"> PAGEREF _4uo4s0z33ntg \h </w:instrText>
          </w:r>
          <w:r>
            <w:fldChar w:fldCharType="separate"/>
          </w:r>
          <w:r>
            <w:rPr>
              <w:color w:val="000000"/>
            </w:rPr>
            <w:t>32</w:t>
          </w:r>
          <w:r>
            <w:fldChar w:fldCharType="end"/>
          </w:r>
        </w:p>
        <w:p w14:paraId="4B459B95" w14:textId="77777777" w:rsidR="005A724B" w:rsidRDefault="005D2FFE">
          <w:pPr>
            <w:tabs>
              <w:tab w:val="right" w:pos="9360"/>
            </w:tabs>
            <w:spacing w:before="60" w:line="240" w:lineRule="auto"/>
            <w:ind w:left="1080"/>
            <w:rPr>
              <w:color w:val="000000"/>
            </w:rPr>
          </w:pPr>
          <w:hyperlink w:anchor="_avdc3sqx4ym">
            <w:r>
              <w:rPr>
                <w:color w:val="000000"/>
              </w:rPr>
              <w:t>Table 2.1.  DRAFT Climate readiness ranking criteria for section 2.</w:t>
            </w:r>
          </w:hyperlink>
          <w:r>
            <w:rPr>
              <w:color w:val="000000"/>
            </w:rPr>
            <w:tab/>
          </w:r>
          <w:r>
            <w:fldChar w:fldCharType="begin"/>
          </w:r>
          <w:r>
            <w:instrText xml:space="preserve"> PAGEREF _avdc3sqx4ym \h </w:instrText>
          </w:r>
          <w:r>
            <w:fldChar w:fldCharType="separate"/>
          </w:r>
          <w:r>
            <w:rPr>
              <w:color w:val="000000"/>
            </w:rPr>
            <w:t>32</w:t>
          </w:r>
          <w:r>
            <w:fldChar w:fldCharType="end"/>
          </w:r>
        </w:p>
        <w:p w14:paraId="486E7BEB" w14:textId="77777777" w:rsidR="005A724B" w:rsidRDefault="005D2FFE">
          <w:pPr>
            <w:tabs>
              <w:tab w:val="right" w:pos="9360"/>
            </w:tabs>
            <w:spacing w:before="60" w:line="240" w:lineRule="auto"/>
            <w:ind w:left="360"/>
            <w:rPr>
              <w:color w:val="000000"/>
            </w:rPr>
          </w:pPr>
          <w:hyperlink w:anchor="_gjdgxs">
            <w:r>
              <w:rPr>
                <w:color w:val="000000"/>
              </w:rPr>
              <w:t>Introduction</w:t>
            </w:r>
          </w:hyperlink>
          <w:r>
            <w:rPr>
              <w:color w:val="000000"/>
            </w:rPr>
            <w:tab/>
          </w:r>
          <w:r>
            <w:fldChar w:fldCharType="begin"/>
          </w:r>
          <w:r>
            <w:instrText xml:space="preserve"> PAGEREF _gjdgxs \h </w:instrText>
          </w:r>
          <w:r>
            <w:fldChar w:fldCharType="separate"/>
          </w:r>
          <w:r>
            <w:rPr>
              <w:color w:val="000000"/>
            </w:rPr>
            <w:t>32</w:t>
          </w:r>
          <w:r>
            <w:fldChar w:fldCharType="end"/>
          </w:r>
        </w:p>
        <w:p w14:paraId="5194C993" w14:textId="77777777" w:rsidR="005A724B" w:rsidRDefault="005D2FFE">
          <w:pPr>
            <w:tabs>
              <w:tab w:val="right" w:pos="9360"/>
            </w:tabs>
            <w:spacing w:before="60" w:line="240" w:lineRule="auto"/>
            <w:ind w:left="360"/>
            <w:rPr>
              <w:color w:val="000000"/>
            </w:rPr>
          </w:pPr>
          <w:hyperlink w:anchor="_30j0zll">
            <w:r>
              <w:rPr>
                <w:color w:val="000000"/>
              </w:rPr>
              <w:t>Methods</w:t>
            </w:r>
          </w:hyperlink>
          <w:r>
            <w:rPr>
              <w:color w:val="000000"/>
            </w:rPr>
            <w:tab/>
          </w:r>
          <w:r>
            <w:fldChar w:fldCharType="begin"/>
          </w:r>
          <w:r>
            <w:instrText xml:space="preserve"> PAGEREF _30j0zll \h </w:instrText>
          </w:r>
          <w:r>
            <w:fldChar w:fldCharType="separate"/>
          </w:r>
          <w:r>
            <w:rPr>
              <w:color w:val="000000"/>
            </w:rPr>
            <w:t>33</w:t>
          </w:r>
          <w:r>
            <w:fldChar w:fldCharType="end"/>
          </w:r>
        </w:p>
        <w:p w14:paraId="5405F91F" w14:textId="77777777" w:rsidR="005A724B" w:rsidRDefault="005D2FFE">
          <w:pPr>
            <w:tabs>
              <w:tab w:val="right" w:pos="9360"/>
            </w:tabs>
            <w:spacing w:before="60" w:line="240" w:lineRule="auto"/>
            <w:ind w:left="1080"/>
            <w:rPr>
              <w:color w:val="000000"/>
            </w:rPr>
          </w:pPr>
          <w:hyperlink w:anchor="_sthkjz7cof9">
            <w:r>
              <w:rPr>
                <w:color w:val="000000"/>
              </w:rPr>
              <w:t>Table 2.2.  Categories of inclusion of climate change information in stock assessments</w:t>
            </w:r>
          </w:hyperlink>
          <w:r>
            <w:rPr>
              <w:color w:val="000000"/>
            </w:rPr>
            <w:tab/>
          </w:r>
          <w:r>
            <w:fldChar w:fldCharType="begin"/>
          </w:r>
          <w:r>
            <w:instrText xml:space="preserve"> PAGEREF _sthkjz7cof9 \h </w:instrText>
          </w:r>
          <w:r>
            <w:fldChar w:fldCharType="separate"/>
          </w:r>
          <w:r>
            <w:rPr>
              <w:color w:val="000000"/>
            </w:rPr>
            <w:t>34</w:t>
          </w:r>
          <w:r>
            <w:fldChar w:fldCharType="end"/>
          </w:r>
        </w:p>
        <w:p w14:paraId="0433099C" w14:textId="77777777" w:rsidR="005A724B" w:rsidRDefault="005D2FFE">
          <w:pPr>
            <w:tabs>
              <w:tab w:val="right" w:pos="9360"/>
            </w:tabs>
            <w:spacing w:before="60" w:line="240" w:lineRule="auto"/>
            <w:ind w:left="720"/>
            <w:rPr>
              <w:color w:val="000000"/>
            </w:rPr>
          </w:pPr>
          <w:hyperlink w:anchor="_k7ouzz6lslhq">
            <w:r>
              <w:rPr>
                <w:color w:val="000000"/>
              </w:rPr>
              <w:t>Plan Team Minutes-Reports</w:t>
            </w:r>
          </w:hyperlink>
          <w:r>
            <w:rPr>
              <w:color w:val="000000"/>
            </w:rPr>
            <w:tab/>
          </w:r>
          <w:r>
            <w:fldChar w:fldCharType="begin"/>
          </w:r>
          <w:r>
            <w:instrText xml:space="preserve"> PAGEREF _k7ouzz6lslhq \h </w:instrText>
          </w:r>
          <w:r>
            <w:fldChar w:fldCharType="separate"/>
          </w:r>
          <w:r>
            <w:rPr>
              <w:color w:val="000000"/>
            </w:rPr>
            <w:t>35</w:t>
          </w:r>
          <w:r>
            <w:fldChar w:fldCharType="end"/>
          </w:r>
        </w:p>
        <w:p w14:paraId="35045600" w14:textId="77777777" w:rsidR="005A724B" w:rsidRDefault="005D2FFE">
          <w:pPr>
            <w:tabs>
              <w:tab w:val="right" w:pos="9360"/>
            </w:tabs>
            <w:spacing w:before="60" w:line="240" w:lineRule="auto"/>
            <w:ind w:left="720"/>
            <w:rPr>
              <w:color w:val="000000"/>
            </w:rPr>
          </w:pPr>
          <w:hyperlink w:anchor="_pvwrvrxdqjak">
            <w:r>
              <w:rPr>
                <w:color w:val="000000"/>
              </w:rPr>
              <w:t>Ecosystem Status Reports (ESR)</w:t>
            </w:r>
          </w:hyperlink>
          <w:r>
            <w:rPr>
              <w:color w:val="000000"/>
            </w:rPr>
            <w:tab/>
          </w:r>
          <w:r>
            <w:fldChar w:fldCharType="begin"/>
          </w:r>
          <w:r>
            <w:instrText xml:space="preserve"> PAGEREF _pvwrvrxdqjak \h </w:instrText>
          </w:r>
          <w:r>
            <w:fldChar w:fldCharType="separate"/>
          </w:r>
          <w:r>
            <w:rPr>
              <w:color w:val="000000"/>
            </w:rPr>
            <w:t>35</w:t>
          </w:r>
          <w:r>
            <w:fldChar w:fldCharType="end"/>
          </w:r>
        </w:p>
        <w:p w14:paraId="02641DEA" w14:textId="77777777" w:rsidR="005A724B" w:rsidRDefault="005D2FFE">
          <w:pPr>
            <w:tabs>
              <w:tab w:val="right" w:pos="9360"/>
            </w:tabs>
            <w:spacing w:before="60" w:line="240" w:lineRule="auto"/>
            <w:ind w:left="720"/>
            <w:rPr>
              <w:color w:val="000000"/>
            </w:rPr>
          </w:pPr>
          <w:hyperlink w:anchor="_2tq6f6qtiofx">
            <w:r>
              <w:rPr>
                <w:color w:val="000000"/>
              </w:rPr>
              <w:t>Economic Status Reports (Econ SAFE)</w:t>
            </w:r>
          </w:hyperlink>
          <w:r>
            <w:rPr>
              <w:color w:val="000000"/>
            </w:rPr>
            <w:tab/>
          </w:r>
          <w:r>
            <w:fldChar w:fldCharType="begin"/>
          </w:r>
          <w:r>
            <w:instrText xml:space="preserve"> PAGEREF _2tq6f6qtiofx \h </w:instrText>
          </w:r>
          <w:r>
            <w:fldChar w:fldCharType="separate"/>
          </w:r>
          <w:r>
            <w:rPr>
              <w:color w:val="000000"/>
            </w:rPr>
            <w:t>35</w:t>
          </w:r>
          <w:r>
            <w:fldChar w:fldCharType="end"/>
          </w:r>
        </w:p>
        <w:p w14:paraId="55DC3A4D" w14:textId="77777777" w:rsidR="005A724B" w:rsidRDefault="005D2FFE">
          <w:pPr>
            <w:tabs>
              <w:tab w:val="right" w:pos="9360"/>
            </w:tabs>
            <w:spacing w:before="60" w:line="240" w:lineRule="auto"/>
            <w:ind w:left="720"/>
            <w:rPr>
              <w:color w:val="000000"/>
            </w:rPr>
          </w:pPr>
          <w:hyperlink w:anchor="_1zq68god2rev">
            <w:r>
              <w:rPr>
                <w:color w:val="000000"/>
              </w:rPr>
              <w:t>SAFE Report Introduction</w:t>
            </w:r>
          </w:hyperlink>
          <w:r>
            <w:rPr>
              <w:color w:val="000000"/>
            </w:rPr>
            <w:tab/>
          </w:r>
          <w:r>
            <w:fldChar w:fldCharType="begin"/>
          </w:r>
          <w:r>
            <w:instrText xml:space="preserve"> PAGEREF _1zq68god2rev \h </w:instrText>
          </w:r>
          <w:r>
            <w:fldChar w:fldCharType="separate"/>
          </w:r>
          <w:r>
            <w:rPr>
              <w:color w:val="000000"/>
            </w:rPr>
            <w:t>36</w:t>
          </w:r>
          <w:r>
            <w:fldChar w:fldCharType="end"/>
          </w:r>
        </w:p>
        <w:p w14:paraId="7CB580D3" w14:textId="77777777" w:rsidR="005A724B" w:rsidRDefault="005D2FFE">
          <w:pPr>
            <w:tabs>
              <w:tab w:val="right" w:pos="9360"/>
            </w:tabs>
            <w:spacing w:before="60" w:line="240" w:lineRule="auto"/>
            <w:ind w:left="720"/>
            <w:rPr>
              <w:color w:val="000000"/>
            </w:rPr>
          </w:pPr>
          <w:hyperlink w:anchor="_q9rzr33kgqfu">
            <w:r>
              <w:rPr>
                <w:color w:val="000000"/>
              </w:rPr>
              <w:t>Groundfish SAFE: Species Specific Assessments</w:t>
            </w:r>
          </w:hyperlink>
          <w:r>
            <w:rPr>
              <w:color w:val="000000"/>
            </w:rPr>
            <w:tab/>
          </w:r>
          <w:r>
            <w:fldChar w:fldCharType="begin"/>
          </w:r>
          <w:r>
            <w:instrText xml:space="preserve"> PAGEREF _q9rzr33kgqfu \h </w:instrText>
          </w:r>
          <w:r>
            <w:fldChar w:fldCharType="separate"/>
          </w:r>
          <w:r>
            <w:rPr>
              <w:color w:val="000000"/>
            </w:rPr>
            <w:t>36</w:t>
          </w:r>
          <w:r>
            <w:fldChar w:fldCharType="end"/>
          </w:r>
        </w:p>
        <w:p w14:paraId="5A1C223A" w14:textId="77777777" w:rsidR="005A724B" w:rsidRDefault="005D2FFE">
          <w:pPr>
            <w:tabs>
              <w:tab w:val="right" w:pos="9360"/>
            </w:tabs>
            <w:spacing w:before="60" w:line="240" w:lineRule="auto"/>
            <w:ind w:left="720"/>
            <w:rPr>
              <w:color w:val="000000"/>
            </w:rPr>
          </w:pPr>
          <w:hyperlink w:anchor="_gxh58875dnqz">
            <w:r>
              <w:rPr>
                <w:color w:val="000000"/>
              </w:rPr>
              <w:t>Crab SAFE: Species Specific Assessments:</w:t>
            </w:r>
          </w:hyperlink>
          <w:r>
            <w:rPr>
              <w:color w:val="000000"/>
            </w:rPr>
            <w:tab/>
          </w:r>
          <w:r>
            <w:fldChar w:fldCharType="begin"/>
          </w:r>
          <w:r>
            <w:instrText xml:space="preserve"> PAGEREF _gxh58875dnqz \h </w:instrText>
          </w:r>
          <w:r>
            <w:fldChar w:fldCharType="separate"/>
          </w:r>
          <w:r>
            <w:rPr>
              <w:color w:val="000000"/>
            </w:rPr>
            <w:t>37</w:t>
          </w:r>
          <w:r>
            <w:fldChar w:fldCharType="end"/>
          </w:r>
        </w:p>
        <w:p w14:paraId="0459E36A" w14:textId="77777777" w:rsidR="005A724B" w:rsidRDefault="005D2FFE">
          <w:pPr>
            <w:tabs>
              <w:tab w:val="right" w:pos="9360"/>
            </w:tabs>
            <w:spacing w:before="60" w:line="240" w:lineRule="auto"/>
            <w:ind w:left="360"/>
            <w:rPr>
              <w:color w:val="000000"/>
            </w:rPr>
          </w:pPr>
          <w:hyperlink w:anchor="_esv2qm1p46us">
            <w:r>
              <w:rPr>
                <w:color w:val="000000"/>
              </w:rPr>
              <w:t>Results</w:t>
            </w:r>
          </w:hyperlink>
          <w:r>
            <w:rPr>
              <w:color w:val="000000"/>
            </w:rPr>
            <w:tab/>
          </w:r>
          <w:r>
            <w:fldChar w:fldCharType="begin"/>
          </w:r>
          <w:r>
            <w:instrText xml:space="preserve"> PAGEREF _esv2qm1p46us \h </w:instrText>
          </w:r>
          <w:r>
            <w:fldChar w:fldCharType="separate"/>
          </w:r>
          <w:r>
            <w:rPr>
              <w:color w:val="000000"/>
            </w:rPr>
            <w:t>37</w:t>
          </w:r>
          <w:r>
            <w:fldChar w:fldCharType="end"/>
          </w:r>
        </w:p>
        <w:p w14:paraId="077612E8" w14:textId="77777777" w:rsidR="005A724B" w:rsidRDefault="005D2FFE">
          <w:pPr>
            <w:tabs>
              <w:tab w:val="right" w:pos="9360"/>
            </w:tabs>
            <w:spacing w:before="60" w:line="240" w:lineRule="auto"/>
            <w:ind w:left="720"/>
            <w:rPr>
              <w:color w:val="000000"/>
            </w:rPr>
          </w:pPr>
          <w:hyperlink w:anchor="_7581dhu3zgof">
            <w:r>
              <w:rPr>
                <w:color w:val="000000"/>
              </w:rPr>
              <w:t>Plan Team Minutes</w:t>
            </w:r>
            <w:r>
              <w:rPr>
                <w:color w:val="000000"/>
              </w:rPr>
              <w:t>-Reports</w:t>
            </w:r>
          </w:hyperlink>
          <w:r>
            <w:rPr>
              <w:color w:val="000000"/>
            </w:rPr>
            <w:tab/>
          </w:r>
          <w:r>
            <w:fldChar w:fldCharType="begin"/>
          </w:r>
          <w:r>
            <w:instrText xml:space="preserve"> PAGEREF _7581dhu3zgof \h </w:instrText>
          </w:r>
          <w:r>
            <w:fldChar w:fldCharType="separate"/>
          </w:r>
          <w:r>
            <w:rPr>
              <w:color w:val="000000"/>
            </w:rPr>
            <w:t>37</w:t>
          </w:r>
          <w:r>
            <w:fldChar w:fldCharType="end"/>
          </w:r>
        </w:p>
        <w:p w14:paraId="57C00700" w14:textId="77777777" w:rsidR="005A724B" w:rsidRDefault="005D2FFE">
          <w:pPr>
            <w:tabs>
              <w:tab w:val="right" w:pos="9360"/>
            </w:tabs>
            <w:spacing w:before="60" w:line="240" w:lineRule="auto"/>
            <w:ind w:left="720"/>
            <w:rPr>
              <w:color w:val="000000"/>
            </w:rPr>
          </w:pPr>
          <w:hyperlink w:anchor="_qg0ws4lq5mke">
            <w:r>
              <w:rPr>
                <w:color w:val="000000"/>
              </w:rPr>
              <w:t>Ecosystem Status Report (ESR): Is climate change information included in the Bering Sea ESR?</w:t>
            </w:r>
          </w:hyperlink>
          <w:r>
            <w:rPr>
              <w:color w:val="000000"/>
            </w:rPr>
            <w:tab/>
          </w:r>
          <w:r>
            <w:fldChar w:fldCharType="begin"/>
          </w:r>
          <w:r>
            <w:instrText xml:space="preserve"> PAGEREF _qg0ws4lq5mke \h </w:instrText>
          </w:r>
          <w:r>
            <w:fldChar w:fldCharType="separate"/>
          </w:r>
          <w:r>
            <w:rPr>
              <w:color w:val="000000"/>
            </w:rPr>
            <w:t>37</w:t>
          </w:r>
          <w:r>
            <w:fldChar w:fldCharType="end"/>
          </w:r>
        </w:p>
        <w:p w14:paraId="7CD97818" w14:textId="77777777" w:rsidR="005A724B" w:rsidRDefault="005D2FFE">
          <w:pPr>
            <w:tabs>
              <w:tab w:val="right" w:pos="9360"/>
            </w:tabs>
            <w:spacing w:before="60" w:line="240" w:lineRule="auto"/>
            <w:ind w:left="720"/>
            <w:rPr>
              <w:color w:val="000000"/>
            </w:rPr>
          </w:pPr>
          <w:hyperlink w:anchor="_3arpic9jv54q">
            <w:r>
              <w:rPr>
                <w:color w:val="000000"/>
              </w:rPr>
              <w:t>Economic Status Reports (Econ SAFE)</w:t>
            </w:r>
          </w:hyperlink>
          <w:r>
            <w:rPr>
              <w:color w:val="000000"/>
            </w:rPr>
            <w:tab/>
          </w:r>
          <w:r>
            <w:fldChar w:fldCharType="begin"/>
          </w:r>
          <w:r>
            <w:instrText xml:space="preserve"> PAGEREF _3arpic9jv54q \h </w:instrText>
          </w:r>
          <w:r>
            <w:fldChar w:fldCharType="separate"/>
          </w:r>
          <w:r>
            <w:rPr>
              <w:color w:val="000000"/>
            </w:rPr>
            <w:t>38</w:t>
          </w:r>
          <w:r>
            <w:fldChar w:fldCharType="end"/>
          </w:r>
        </w:p>
        <w:p w14:paraId="3DE11C8B" w14:textId="77777777" w:rsidR="005A724B" w:rsidRDefault="005D2FFE">
          <w:pPr>
            <w:tabs>
              <w:tab w:val="right" w:pos="9360"/>
            </w:tabs>
            <w:spacing w:before="60" w:line="240" w:lineRule="auto"/>
            <w:ind w:left="720"/>
            <w:rPr>
              <w:color w:val="000000"/>
            </w:rPr>
          </w:pPr>
          <w:hyperlink w:anchor="_lllqhox71iqv">
            <w:r>
              <w:rPr>
                <w:color w:val="000000"/>
              </w:rPr>
              <w:t xml:space="preserve">SAFE Intro: Is the introduction raising the issue of </w:t>
            </w:r>
            <w:r>
              <w:rPr>
                <w:color w:val="000000"/>
              </w:rPr>
              <w:t>climate change impacts?</w:t>
            </w:r>
          </w:hyperlink>
          <w:r>
            <w:rPr>
              <w:color w:val="000000"/>
            </w:rPr>
            <w:tab/>
          </w:r>
          <w:r>
            <w:fldChar w:fldCharType="begin"/>
          </w:r>
          <w:r>
            <w:instrText xml:space="preserve"> PAGEREF _lllqhox71iqv \h </w:instrText>
          </w:r>
          <w:r>
            <w:fldChar w:fldCharType="separate"/>
          </w:r>
          <w:r>
            <w:rPr>
              <w:color w:val="000000"/>
            </w:rPr>
            <w:t>38</w:t>
          </w:r>
          <w:r>
            <w:fldChar w:fldCharType="end"/>
          </w:r>
        </w:p>
        <w:p w14:paraId="0010C2A9" w14:textId="77777777" w:rsidR="005A724B" w:rsidRDefault="005D2FFE">
          <w:pPr>
            <w:tabs>
              <w:tab w:val="right" w:pos="9360"/>
            </w:tabs>
            <w:spacing w:before="60" w:line="240" w:lineRule="auto"/>
            <w:ind w:left="720"/>
            <w:rPr>
              <w:color w:val="000000"/>
            </w:rPr>
          </w:pPr>
          <w:hyperlink w:anchor="_1kne4xbpbaxw">
            <w:r>
              <w:rPr>
                <w:color w:val="000000"/>
              </w:rPr>
              <w:t>Individual Stock Assessment Chapters:</w:t>
            </w:r>
          </w:hyperlink>
          <w:r>
            <w:rPr>
              <w:color w:val="000000"/>
            </w:rPr>
            <w:tab/>
          </w:r>
          <w:r>
            <w:fldChar w:fldCharType="begin"/>
          </w:r>
          <w:r>
            <w:instrText xml:space="preserve"> PAGEREF _1kne4xbpbaxw \h </w:instrText>
          </w:r>
          <w:r>
            <w:fldChar w:fldCharType="separate"/>
          </w:r>
          <w:r>
            <w:rPr>
              <w:color w:val="000000"/>
            </w:rPr>
            <w:t>38</w:t>
          </w:r>
          <w:r>
            <w:fldChar w:fldCharType="end"/>
          </w:r>
        </w:p>
        <w:p w14:paraId="1E088FC9" w14:textId="77777777" w:rsidR="005A724B" w:rsidRDefault="005D2FFE">
          <w:pPr>
            <w:tabs>
              <w:tab w:val="right" w:pos="9360"/>
            </w:tabs>
            <w:spacing w:before="60" w:line="240" w:lineRule="auto"/>
            <w:ind w:left="1080"/>
            <w:rPr>
              <w:color w:val="000000"/>
            </w:rPr>
          </w:pPr>
          <w:hyperlink w:anchor="_3dy6vkm">
            <w:r>
              <w:rPr>
                <w:color w:val="000000"/>
              </w:rPr>
              <w:t>Table 2.3. DRAFT Total number of in-text mentions of climate change terms in SAFE documents</w:t>
            </w:r>
          </w:hyperlink>
          <w:r>
            <w:rPr>
              <w:color w:val="000000"/>
            </w:rPr>
            <w:tab/>
          </w:r>
          <w:r>
            <w:fldChar w:fldCharType="begin"/>
          </w:r>
          <w:r>
            <w:instrText xml:space="preserve"> PAGEREF _3dy6vkm \h </w:instrText>
          </w:r>
          <w:r>
            <w:fldChar w:fldCharType="separate"/>
          </w:r>
          <w:r>
            <w:rPr>
              <w:color w:val="000000"/>
            </w:rPr>
            <w:t>39</w:t>
          </w:r>
          <w:r>
            <w:fldChar w:fldCharType="end"/>
          </w:r>
        </w:p>
        <w:p w14:paraId="4980C2F3" w14:textId="77777777" w:rsidR="005A724B" w:rsidRDefault="005D2FFE">
          <w:pPr>
            <w:tabs>
              <w:tab w:val="right" w:pos="9360"/>
            </w:tabs>
            <w:spacing w:before="60" w:line="240" w:lineRule="auto"/>
            <w:ind w:left="1080"/>
            <w:rPr>
              <w:color w:val="000000"/>
            </w:rPr>
          </w:pPr>
          <w:hyperlink w:anchor="_ozqdwrvne4ra">
            <w:r>
              <w:rPr>
                <w:color w:val="000000"/>
              </w:rPr>
              <w:t>Table 2.4.a DRAFT Summary of the average number of in text mentions of various climate change search terms in groundfish SAFE documents</w:t>
            </w:r>
          </w:hyperlink>
          <w:r>
            <w:rPr>
              <w:color w:val="000000"/>
            </w:rPr>
            <w:tab/>
          </w:r>
          <w:r>
            <w:fldChar w:fldCharType="begin"/>
          </w:r>
          <w:r>
            <w:instrText xml:space="preserve"> PAGEREF _ozqdwrvne4ra \h </w:instrText>
          </w:r>
          <w:r>
            <w:fldChar w:fldCharType="separate"/>
          </w:r>
          <w:r>
            <w:rPr>
              <w:color w:val="000000"/>
            </w:rPr>
            <w:t>41</w:t>
          </w:r>
          <w:r>
            <w:fldChar w:fldCharType="end"/>
          </w:r>
        </w:p>
        <w:p w14:paraId="6BC3BCD7" w14:textId="77777777" w:rsidR="005A724B" w:rsidRDefault="005D2FFE">
          <w:pPr>
            <w:tabs>
              <w:tab w:val="right" w:pos="9360"/>
            </w:tabs>
            <w:spacing w:before="60" w:line="240" w:lineRule="auto"/>
            <w:ind w:left="1080"/>
            <w:rPr>
              <w:color w:val="000000"/>
            </w:rPr>
          </w:pPr>
          <w:hyperlink w:anchor="_oty9gbvhga5l">
            <w:r>
              <w:rPr>
                <w:color w:val="000000"/>
              </w:rPr>
              <w:t>Table 2.4.b DRAFT Summary of the average number of in text mentions of various climate change search terms in crab SAFE documents</w:t>
            </w:r>
          </w:hyperlink>
          <w:r>
            <w:rPr>
              <w:color w:val="000000"/>
            </w:rPr>
            <w:tab/>
          </w:r>
          <w:r>
            <w:fldChar w:fldCharType="begin"/>
          </w:r>
          <w:r>
            <w:instrText xml:space="preserve"> PAGEREF _oty9gbvhga5l \h </w:instrText>
          </w:r>
          <w:r>
            <w:fldChar w:fldCharType="separate"/>
          </w:r>
          <w:r>
            <w:rPr>
              <w:color w:val="000000"/>
            </w:rPr>
            <w:t>42</w:t>
          </w:r>
          <w:r>
            <w:fldChar w:fldCharType="end"/>
          </w:r>
        </w:p>
        <w:p w14:paraId="4F3078C5" w14:textId="77777777" w:rsidR="005A724B" w:rsidRDefault="005D2FFE">
          <w:pPr>
            <w:tabs>
              <w:tab w:val="right" w:pos="9360"/>
            </w:tabs>
            <w:spacing w:before="60" w:line="240" w:lineRule="auto"/>
            <w:ind w:left="360"/>
            <w:rPr>
              <w:color w:val="000000"/>
            </w:rPr>
          </w:pPr>
          <w:hyperlink w:anchor="_8kdum8s3xqh6">
            <w:r>
              <w:rPr>
                <w:color w:val="000000"/>
              </w:rPr>
              <w:t>Future directions</w:t>
            </w:r>
          </w:hyperlink>
          <w:r>
            <w:rPr>
              <w:color w:val="000000"/>
            </w:rPr>
            <w:tab/>
          </w:r>
          <w:r>
            <w:fldChar w:fldCharType="begin"/>
          </w:r>
          <w:r>
            <w:instrText xml:space="preserve"> PAGEREF _8kdum8s3xqh6 \h </w:instrText>
          </w:r>
          <w:r>
            <w:fldChar w:fldCharType="separate"/>
          </w:r>
          <w:r>
            <w:rPr>
              <w:color w:val="000000"/>
            </w:rPr>
            <w:t>44</w:t>
          </w:r>
          <w:r>
            <w:fldChar w:fldCharType="end"/>
          </w:r>
        </w:p>
        <w:p w14:paraId="1195F05E" w14:textId="77777777" w:rsidR="005A724B" w:rsidRDefault="005D2FFE">
          <w:pPr>
            <w:tabs>
              <w:tab w:val="right" w:pos="9360"/>
            </w:tabs>
            <w:spacing w:before="60" w:line="240" w:lineRule="auto"/>
            <w:ind w:left="720"/>
            <w:rPr>
              <w:color w:val="000000"/>
            </w:rPr>
          </w:pPr>
          <w:hyperlink w:anchor="_nnskvjb7z6dh">
            <w:r>
              <w:rPr>
                <w:color w:val="000000"/>
              </w:rPr>
              <w:t>Nearterm implementation (low hanging fruit to be discussed in SEP 2022)</w:t>
            </w:r>
          </w:hyperlink>
          <w:r>
            <w:rPr>
              <w:color w:val="000000"/>
            </w:rPr>
            <w:tab/>
          </w:r>
          <w:r>
            <w:fldChar w:fldCharType="begin"/>
          </w:r>
          <w:r>
            <w:instrText xml:space="preserve"> PAGEREF _nnskvjb7z6dh \h </w:instrText>
          </w:r>
          <w:r>
            <w:fldChar w:fldCharType="separate"/>
          </w:r>
          <w:r>
            <w:rPr>
              <w:color w:val="000000"/>
            </w:rPr>
            <w:t>44</w:t>
          </w:r>
          <w:r>
            <w:fldChar w:fldCharType="end"/>
          </w:r>
        </w:p>
        <w:p w14:paraId="4032EE9C" w14:textId="77777777" w:rsidR="005A724B" w:rsidRDefault="005D2FFE">
          <w:pPr>
            <w:tabs>
              <w:tab w:val="right" w:pos="9360"/>
            </w:tabs>
            <w:spacing w:before="60" w:line="240" w:lineRule="auto"/>
            <w:ind w:left="720"/>
            <w:rPr>
              <w:color w:val="000000"/>
            </w:rPr>
          </w:pPr>
          <w:hyperlink w:anchor="_qqthrixubcqp">
            <w:r>
              <w:rPr>
                <w:color w:val="000000"/>
              </w:rPr>
              <w:t>Longer term Implementation ideas for the full climate report</w:t>
            </w:r>
          </w:hyperlink>
          <w:r>
            <w:rPr>
              <w:color w:val="000000"/>
            </w:rPr>
            <w:tab/>
          </w:r>
          <w:r>
            <w:fldChar w:fldCharType="begin"/>
          </w:r>
          <w:r>
            <w:instrText xml:space="preserve"> PAGEREF _qqthrixubcqp \h </w:instrText>
          </w:r>
          <w:r>
            <w:fldChar w:fldCharType="separate"/>
          </w:r>
          <w:r>
            <w:rPr>
              <w:color w:val="000000"/>
            </w:rPr>
            <w:t>45</w:t>
          </w:r>
          <w:r>
            <w:fldChar w:fldCharType="end"/>
          </w:r>
        </w:p>
        <w:p w14:paraId="7CF8B3CE" w14:textId="77777777" w:rsidR="005A724B" w:rsidRDefault="005D2FFE">
          <w:pPr>
            <w:tabs>
              <w:tab w:val="right" w:pos="9360"/>
            </w:tabs>
            <w:spacing w:before="200" w:line="240" w:lineRule="auto"/>
            <w:rPr>
              <w:b/>
              <w:color w:val="000000"/>
            </w:rPr>
          </w:pPr>
          <w:hyperlink w:anchor="_aqx6cmni37x">
            <w:r>
              <w:rPr>
                <w:b/>
                <w:color w:val="000000"/>
              </w:rPr>
              <w:t>Section 3: Kno</w:t>
            </w:r>
            <w:r>
              <w:rPr>
                <w:b/>
                <w:color w:val="000000"/>
              </w:rPr>
              <w:t>wledge base overview [4859 words]</w:t>
            </w:r>
          </w:hyperlink>
          <w:r>
            <w:rPr>
              <w:b/>
              <w:color w:val="000000"/>
            </w:rPr>
            <w:tab/>
          </w:r>
          <w:r>
            <w:fldChar w:fldCharType="begin"/>
          </w:r>
          <w:r>
            <w:instrText xml:space="preserve"> PAGEREF _aqx6cmni37x \h </w:instrText>
          </w:r>
          <w:r>
            <w:fldChar w:fldCharType="separate"/>
          </w:r>
          <w:r>
            <w:rPr>
              <w:b/>
              <w:color w:val="000000"/>
            </w:rPr>
            <w:t>46</w:t>
          </w:r>
          <w:r>
            <w:fldChar w:fldCharType="end"/>
          </w:r>
        </w:p>
        <w:p w14:paraId="6C16DD92" w14:textId="77777777" w:rsidR="005A724B" w:rsidRDefault="005D2FFE">
          <w:pPr>
            <w:tabs>
              <w:tab w:val="right" w:pos="9360"/>
            </w:tabs>
            <w:spacing w:before="60" w:line="240" w:lineRule="auto"/>
            <w:ind w:left="360"/>
            <w:rPr>
              <w:color w:val="000000"/>
            </w:rPr>
          </w:pPr>
          <w:hyperlink w:anchor="_8t3xnvb1u7mt">
            <w:r>
              <w:rPr>
                <w:color w:val="000000"/>
              </w:rPr>
              <w:t>Ranking Methodology</w:t>
            </w:r>
          </w:hyperlink>
          <w:r>
            <w:rPr>
              <w:color w:val="000000"/>
            </w:rPr>
            <w:tab/>
          </w:r>
          <w:r>
            <w:fldChar w:fldCharType="begin"/>
          </w:r>
          <w:r>
            <w:instrText xml:space="preserve"> PAGEREF _8t3xnvb1u7mt \h </w:instrText>
          </w:r>
          <w:r>
            <w:fldChar w:fldCharType="separate"/>
          </w:r>
          <w:r>
            <w:rPr>
              <w:color w:val="000000"/>
            </w:rPr>
            <w:t>46</w:t>
          </w:r>
          <w:r>
            <w:fldChar w:fldCharType="end"/>
          </w:r>
        </w:p>
        <w:p w14:paraId="443F0E12" w14:textId="77777777" w:rsidR="005A724B" w:rsidRDefault="005D2FFE">
          <w:pPr>
            <w:tabs>
              <w:tab w:val="right" w:pos="9360"/>
            </w:tabs>
            <w:spacing w:before="60" w:line="240" w:lineRule="auto"/>
            <w:ind w:left="1080"/>
            <w:rPr>
              <w:color w:val="000000"/>
            </w:rPr>
          </w:pPr>
          <w:hyperlink w:anchor="_tda0b4apnxzc">
            <w:r>
              <w:rPr>
                <w:color w:val="000000"/>
              </w:rPr>
              <w:t>Table 3.1.  DRAFT Climate readiness ranking criteria for section 3</w:t>
            </w:r>
          </w:hyperlink>
          <w:r>
            <w:rPr>
              <w:color w:val="000000"/>
            </w:rPr>
            <w:tab/>
          </w:r>
          <w:r>
            <w:fldChar w:fldCharType="begin"/>
          </w:r>
          <w:r>
            <w:instrText xml:space="preserve"> PAGEREF _tda0b4apnxzc \h </w:instrText>
          </w:r>
          <w:r>
            <w:fldChar w:fldCharType="separate"/>
          </w:r>
          <w:r>
            <w:rPr>
              <w:color w:val="000000"/>
            </w:rPr>
            <w:t>46</w:t>
          </w:r>
          <w:r>
            <w:fldChar w:fldCharType="end"/>
          </w:r>
        </w:p>
        <w:p w14:paraId="420B8EE6" w14:textId="77777777" w:rsidR="005A724B" w:rsidRDefault="005D2FFE">
          <w:pPr>
            <w:tabs>
              <w:tab w:val="right" w:pos="9360"/>
            </w:tabs>
            <w:spacing w:before="60" w:line="240" w:lineRule="auto"/>
            <w:ind w:left="360"/>
            <w:rPr>
              <w:color w:val="000000"/>
            </w:rPr>
          </w:pPr>
          <w:hyperlink w:anchor="_hzioe9kursie">
            <w:r>
              <w:rPr>
                <w:color w:val="000000"/>
              </w:rPr>
              <w:t>3.0 Introduction</w:t>
            </w:r>
          </w:hyperlink>
          <w:r>
            <w:rPr>
              <w:color w:val="000000"/>
            </w:rPr>
            <w:tab/>
          </w:r>
          <w:r>
            <w:fldChar w:fldCharType="begin"/>
          </w:r>
          <w:r>
            <w:instrText xml:space="preserve"> PAGEREF _hzioe9kursie \h </w:instrText>
          </w:r>
          <w:r>
            <w:fldChar w:fldCharType="separate"/>
          </w:r>
          <w:r>
            <w:rPr>
              <w:color w:val="000000"/>
            </w:rPr>
            <w:t>46</w:t>
          </w:r>
          <w:r>
            <w:fldChar w:fldCharType="end"/>
          </w:r>
        </w:p>
        <w:p w14:paraId="5075D689" w14:textId="77777777" w:rsidR="005A724B" w:rsidRDefault="005D2FFE">
          <w:pPr>
            <w:tabs>
              <w:tab w:val="right" w:pos="9360"/>
            </w:tabs>
            <w:spacing w:before="60" w:line="240" w:lineRule="auto"/>
            <w:ind w:left="360"/>
            <w:rPr>
              <w:color w:val="000000"/>
            </w:rPr>
          </w:pPr>
          <w:hyperlink w:anchor="_3al01gdz7k0e">
            <w:r>
              <w:rPr>
                <w:color w:val="000000"/>
              </w:rPr>
              <w:t>3.1: Summary and evaluation of knowledge bases feeding into current clima</w:t>
            </w:r>
            <w:r>
              <w:rPr>
                <w:color w:val="000000"/>
              </w:rPr>
              <w:t>te readiness and adaptation measures in Bering Sea fisheries</w:t>
            </w:r>
          </w:hyperlink>
          <w:r>
            <w:rPr>
              <w:color w:val="000000"/>
            </w:rPr>
            <w:tab/>
          </w:r>
          <w:r>
            <w:fldChar w:fldCharType="begin"/>
          </w:r>
          <w:r>
            <w:instrText xml:space="preserve"> PAGEREF _3al01gdz7k0e \h </w:instrText>
          </w:r>
          <w:r>
            <w:fldChar w:fldCharType="separate"/>
          </w:r>
          <w:r>
            <w:rPr>
              <w:color w:val="000000"/>
            </w:rPr>
            <w:t>47</w:t>
          </w:r>
          <w:r>
            <w:fldChar w:fldCharType="end"/>
          </w:r>
        </w:p>
        <w:p w14:paraId="53B41C76" w14:textId="77777777" w:rsidR="005A724B" w:rsidRDefault="005D2FFE">
          <w:pPr>
            <w:tabs>
              <w:tab w:val="right" w:pos="9360"/>
            </w:tabs>
            <w:spacing w:before="60" w:line="240" w:lineRule="auto"/>
            <w:ind w:left="720"/>
            <w:rPr>
              <w:color w:val="000000"/>
            </w:rPr>
          </w:pPr>
          <w:hyperlink w:anchor="_p0pb6rddnocz">
            <w:r>
              <w:rPr>
                <w:color w:val="000000"/>
              </w:rPr>
              <w:t>3.1.1: Community knowledge base: Indigenous marine stewardship,</w:t>
            </w:r>
            <w:r>
              <w:rPr>
                <w:color w:val="000000"/>
              </w:rPr>
              <w:t xml:space="preserve"> subsistence, and co-management contributes to current climate readiness and adaptation</w:t>
            </w:r>
          </w:hyperlink>
          <w:r>
            <w:rPr>
              <w:color w:val="000000"/>
            </w:rPr>
            <w:tab/>
          </w:r>
          <w:r>
            <w:fldChar w:fldCharType="begin"/>
          </w:r>
          <w:r>
            <w:instrText xml:space="preserve"> PAGEREF _p0pb6rddnocz \h </w:instrText>
          </w:r>
          <w:r>
            <w:fldChar w:fldCharType="separate"/>
          </w:r>
          <w:r>
            <w:rPr>
              <w:color w:val="000000"/>
            </w:rPr>
            <w:t>47</w:t>
          </w:r>
          <w:r>
            <w:fldChar w:fldCharType="end"/>
          </w:r>
        </w:p>
        <w:p w14:paraId="3FB4BAC7" w14:textId="77777777" w:rsidR="005A724B" w:rsidRDefault="005D2FFE">
          <w:pPr>
            <w:tabs>
              <w:tab w:val="right" w:pos="9360"/>
            </w:tabs>
            <w:spacing w:before="60" w:line="240" w:lineRule="auto"/>
            <w:ind w:left="1440"/>
            <w:rPr>
              <w:color w:val="000000"/>
            </w:rPr>
          </w:pPr>
          <w:hyperlink w:anchor="_3gi3jndrm414">
            <w:r>
              <w:rPr>
                <w:color w:val="000000"/>
              </w:rPr>
              <w:t>Knowledge base of Bering Sea Indige</w:t>
            </w:r>
            <w:r>
              <w:rPr>
                <w:color w:val="000000"/>
              </w:rPr>
              <w:t>nous communities</w:t>
            </w:r>
          </w:hyperlink>
          <w:r>
            <w:rPr>
              <w:color w:val="000000"/>
            </w:rPr>
            <w:tab/>
          </w:r>
          <w:r>
            <w:fldChar w:fldCharType="begin"/>
          </w:r>
          <w:r>
            <w:instrText xml:space="preserve"> PAGEREF _3gi3jndrm414 \h </w:instrText>
          </w:r>
          <w:r>
            <w:fldChar w:fldCharType="separate"/>
          </w:r>
          <w:r>
            <w:rPr>
              <w:color w:val="000000"/>
            </w:rPr>
            <w:t>47</w:t>
          </w:r>
          <w:r>
            <w:fldChar w:fldCharType="end"/>
          </w:r>
        </w:p>
        <w:p w14:paraId="136E2AF4" w14:textId="77777777" w:rsidR="005A724B" w:rsidRDefault="005D2FFE">
          <w:pPr>
            <w:tabs>
              <w:tab w:val="right" w:pos="9360"/>
            </w:tabs>
            <w:spacing w:before="60" w:line="240" w:lineRule="auto"/>
            <w:ind w:left="1440"/>
            <w:rPr>
              <w:color w:val="000000"/>
            </w:rPr>
          </w:pPr>
          <w:hyperlink w:anchor="_iagm43s4u0k3">
            <w:r>
              <w:rPr>
                <w:color w:val="000000"/>
              </w:rPr>
              <w:t>Observations, Perspectives, and Interpretation of Changes and Impacts from Changes</w:t>
            </w:r>
          </w:hyperlink>
          <w:r>
            <w:rPr>
              <w:color w:val="000000"/>
            </w:rPr>
            <w:tab/>
          </w:r>
          <w:r>
            <w:fldChar w:fldCharType="begin"/>
          </w:r>
          <w:r>
            <w:instrText xml:space="preserve"> PAGEREF _iagm43s4u0k3 \</w:instrText>
          </w:r>
          <w:r>
            <w:instrText xml:space="preserve">h </w:instrText>
          </w:r>
          <w:r>
            <w:fldChar w:fldCharType="separate"/>
          </w:r>
          <w:r>
            <w:rPr>
              <w:color w:val="000000"/>
            </w:rPr>
            <w:t>48</w:t>
          </w:r>
          <w:r>
            <w:fldChar w:fldCharType="end"/>
          </w:r>
        </w:p>
        <w:p w14:paraId="04729123" w14:textId="77777777" w:rsidR="005A724B" w:rsidRDefault="005D2FFE">
          <w:pPr>
            <w:tabs>
              <w:tab w:val="right" w:pos="9360"/>
            </w:tabs>
            <w:spacing w:before="60" w:line="240" w:lineRule="auto"/>
            <w:ind w:left="1080"/>
            <w:rPr>
              <w:color w:val="000000"/>
            </w:rPr>
          </w:pPr>
          <w:hyperlink w:anchor="_ndwynjvwardo">
            <w:r>
              <w:rPr>
                <w:color w:val="000000"/>
              </w:rPr>
              <w:t>Box 1. Critically examining climate change, impacts, and adaptation</w:t>
            </w:r>
          </w:hyperlink>
          <w:r>
            <w:rPr>
              <w:color w:val="000000"/>
            </w:rPr>
            <w:tab/>
          </w:r>
          <w:r>
            <w:fldChar w:fldCharType="begin"/>
          </w:r>
          <w:r>
            <w:instrText xml:space="preserve"> PAGEREF _ndwynjvwardo \h </w:instrText>
          </w:r>
          <w:r>
            <w:fldChar w:fldCharType="separate"/>
          </w:r>
          <w:r>
            <w:rPr>
              <w:color w:val="000000"/>
            </w:rPr>
            <w:t>49</w:t>
          </w:r>
          <w:r>
            <w:fldChar w:fldCharType="end"/>
          </w:r>
        </w:p>
        <w:p w14:paraId="3A368B8F" w14:textId="77777777" w:rsidR="005A724B" w:rsidRDefault="005D2FFE">
          <w:pPr>
            <w:tabs>
              <w:tab w:val="right" w:pos="9360"/>
            </w:tabs>
            <w:spacing w:before="60" w:line="240" w:lineRule="auto"/>
            <w:ind w:left="1440"/>
            <w:rPr>
              <w:color w:val="000000"/>
            </w:rPr>
          </w:pPr>
          <w:hyperlink w:anchor="_6ssafijjlgjp">
            <w:r>
              <w:rPr>
                <w:color w:val="000000"/>
              </w:rPr>
              <w:t>Resilience Tools</w:t>
            </w:r>
          </w:hyperlink>
          <w:r>
            <w:rPr>
              <w:color w:val="000000"/>
            </w:rPr>
            <w:tab/>
          </w:r>
          <w:r>
            <w:fldChar w:fldCharType="begin"/>
          </w:r>
          <w:r>
            <w:instrText xml:space="preserve"> PAGEREF _6ssafijjlgjp \h </w:instrText>
          </w:r>
          <w:r>
            <w:fldChar w:fldCharType="separate"/>
          </w:r>
          <w:r>
            <w:rPr>
              <w:color w:val="000000"/>
            </w:rPr>
            <w:t>49</w:t>
          </w:r>
          <w:r>
            <w:fldChar w:fldCharType="end"/>
          </w:r>
        </w:p>
        <w:p w14:paraId="5994CE5B" w14:textId="77777777" w:rsidR="005A724B" w:rsidRDefault="005D2FFE">
          <w:pPr>
            <w:tabs>
              <w:tab w:val="right" w:pos="9360"/>
            </w:tabs>
            <w:spacing w:before="60" w:line="240" w:lineRule="auto"/>
            <w:ind w:left="720"/>
            <w:rPr>
              <w:color w:val="000000"/>
            </w:rPr>
          </w:pPr>
          <w:hyperlink w:anchor="_klvj4na5komr">
            <w:r>
              <w:rPr>
                <w:color w:val="000000"/>
              </w:rPr>
              <w:t>The Climate-Relevant Knowledge Base from Co-Management Activities</w:t>
            </w:r>
          </w:hyperlink>
          <w:r>
            <w:rPr>
              <w:color w:val="000000"/>
            </w:rPr>
            <w:tab/>
          </w:r>
          <w:r>
            <w:fldChar w:fldCharType="begin"/>
          </w:r>
          <w:r>
            <w:instrText xml:space="preserve"> PAGEREF _klvj4na5komr \h </w:instrText>
          </w:r>
          <w:r>
            <w:fldChar w:fldCharType="separate"/>
          </w:r>
          <w:r>
            <w:rPr>
              <w:color w:val="000000"/>
            </w:rPr>
            <w:t>51</w:t>
          </w:r>
          <w:r>
            <w:fldChar w:fldCharType="end"/>
          </w:r>
        </w:p>
        <w:p w14:paraId="3CBD57FE" w14:textId="77777777" w:rsidR="005A724B" w:rsidRDefault="005D2FFE">
          <w:pPr>
            <w:tabs>
              <w:tab w:val="right" w:pos="9360"/>
            </w:tabs>
            <w:spacing w:before="60" w:line="240" w:lineRule="auto"/>
            <w:ind w:left="720"/>
            <w:rPr>
              <w:color w:val="000000"/>
            </w:rPr>
          </w:pPr>
          <w:hyperlink w:anchor="_k7phapu3u1i">
            <w:r>
              <w:rPr>
                <w:color w:val="000000"/>
              </w:rPr>
              <w:t>NPFMC- and NMFS-related processes which include community knowledge</w:t>
            </w:r>
          </w:hyperlink>
          <w:r>
            <w:rPr>
              <w:color w:val="000000"/>
            </w:rPr>
            <w:tab/>
          </w:r>
          <w:r>
            <w:fldChar w:fldCharType="begin"/>
          </w:r>
          <w:r>
            <w:instrText xml:space="preserve"> PAGEREF _k7phapu3u1i \h </w:instrText>
          </w:r>
          <w:r>
            <w:fldChar w:fldCharType="separate"/>
          </w:r>
          <w:r>
            <w:rPr>
              <w:color w:val="000000"/>
            </w:rPr>
            <w:t>53</w:t>
          </w:r>
          <w:r>
            <w:fldChar w:fldCharType="end"/>
          </w:r>
        </w:p>
        <w:p w14:paraId="46E58A6F" w14:textId="77777777" w:rsidR="005A724B" w:rsidRDefault="005D2FFE">
          <w:pPr>
            <w:tabs>
              <w:tab w:val="right" w:pos="9360"/>
            </w:tabs>
            <w:spacing w:before="60" w:line="240" w:lineRule="auto"/>
            <w:ind w:left="720"/>
            <w:rPr>
              <w:color w:val="000000"/>
            </w:rPr>
          </w:pPr>
          <w:hyperlink w:anchor="_1hgx27ixjpos">
            <w:r>
              <w:rPr>
                <w:color w:val="000000"/>
              </w:rPr>
              <w:t>3.1.2: Local and Industry Knowledge bases: Climate change information from local and industry expertise</w:t>
            </w:r>
          </w:hyperlink>
          <w:r>
            <w:rPr>
              <w:color w:val="000000"/>
            </w:rPr>
            <w:tab/>
          </w:r>
          <w:r>
            <w:fldChar w:fldCharType="begin"/>
          </w:r>
          <w:r>
            <w:instrText xml:space="preserve"> PAGEREF _1hgx27ixjpos \h </w:instrText>
          </w:r>
          <w:r>
            <w:fldChar w:fldCharType="separate"/>
          </w:r>
          <w:r>
            <w:rPr>
              <w:color w:val="000000"/>
            </w:rPr>
            <w:t>53</w:t>
          </w:r>
          <w:r>
            <w:fldChar w:fldCharType="end"/>
          </w:r>
        </w:p>
        <w:p w14:paraId="6EFC9206" w14:textId="77777777" w:rsidR="005A724B" w:rsidRDefault="005D2FFE">
          <w:pPr>
            <w:tabs>
              <w:tab w:val="right" w:pos="9360"/>
            </w:tabs>
            <w:spacing w:before="60" w:line="240" w:lineRule="auto"/>
            <w:ind w:left="720"/>
            <w:rPr>
              <w:color w:val="000000"/>
            </w:rPr>
          </w:pPr>
          <w:hyperlink w:anchor="_prwhimjq2fkk">
            <w:r>
              <w:rPr>
                <w:color w:val="000000"/>
              </w:rPr>
              <w:t>“Industry” - Fleet-Based, SeaState, AKFIN, etc.</w:t>
            </w:r>
          </w:hyperlink>
          <w:r>
            <w:rPr>
              <w:color w:val="000000"/>
            </w:rPr>
            <w:tab/>
          </w:r>
          <w:r>
            <w:fldChar w:fldCharType="begin"/>
          </w:r>
          <w:r>
            <w:instrText xml:space="preserve"> PAGEREF _prwhimjq2fkk \h </w:instrText>
          </w:r>
          <w:r>
            <w:fldChar w:fldCharType="separate"/>
          </w:r>
          <w:r>
            <w:rPr>
              <w:color w:val="000000"/>
            </w:rPr>
            <w:t>53</w:t>
          </w:r>
          <w:r>
            <w:fldChar w:fldCharType="end"/>
          </w:r>
        </w:p>
        <w:p w14:paraId="6A7AD7E1" w14:textId="77777777" w:rsidR="005A724B" w:rsidRDefault="005D2FFE">
          <w:pPr>
            <w:tabs>
              <w:tab w:val="right" w:pos="9360"/>
            </w:tabs>
            <w:spacing w:before="60" w:line="240" w:lineRule="auto"/>
            <w:ind w:left="1440"/>
            <w:rPr>
              <w:color w:val="000000"/>
            </w:rPr>
          </w:pPr>
          <w:hyperlink w:anchor="_lbt7ourv87um">
            <w:r>
              <w:rPr>
                <w:color w:val="000000"/>
              </w:rPr>
              <w:t>Climate Readiness</w:t>
            </w:r>
          </w:hyperlink>
          <w:r>
            <w:rPr>
              <w:color w:val="000000"/>
            </w:rPr>
            <w:tab/>
          </w:r>
          <w:r>
            <w:fldChar w:fldCharType="begin"/>
          </w:r>
          <w:r>
            <w:instrText xml:space="preserve"> PAGEREF _lbt7ourv87um \h </w:instrText>
          </w:r>
          <w:r>
            <w:fldChar w:fldCharType="separate"/>
          </w:r>
          <w:r>
            <w:rPr>
              <w:color w:val="000000"/>
            </w:rPr>
            <w:t>53</w:t>
          </w:r>
          <w:r>
            <w:fldChar w:fldCharType="end"/>
          </w:r>
        </w:p>
        <w:p w14:paraId="05B8BB91" w14:textId="77777777" w:rsidR="005A724B" w:rsidRDefault="005D2FFE">
          <w:pPr>
            <w:tabs>
              <w:tab w:val="right" w:pos="9360"/>
            </w:tabs>
            <w:spacing w:before="60" w:line="240" w:lineRule="auto"/>
            <w:ind w:left="1440"/>
            <w:rPr>
              <w:color w:val="000000"/>
            </w:rPr>
          </w:pPr>
          <w:hyperlink w:anchor="_kgruc3l5d7ei">
            <w:r>
              <w:rPr>
                <w:color w:val="000000"/>
              </w:rPr>
              <w:t>Climate Resilience</w:t>
            </w:r>
          </w:hyperlink>
          <w:r>
            <w:rPr>
              <w:color w:val="000000"/>
            </w:rPr>
            <w:tab/>
          </w:r>
          <w:r>
            <w:fldChar w:fldCharType="begin"/>
          </w:r>
          <w:r>
            <w:instrText xml:space="preserve"> PAGEREF _kgruc3l5d7ei \h </w:instrText>
          </w:r>
          <w:r>
            <w:fldChar w:fldCharType="separate"/>
          </w:r>
          <w:r>
            <w:rPr>
              <w:color w:val="000000"/>
            </w:rPr>
            <w:t>54</w:t>
          </w:r>
          <w:r>
            <w:fldChar w:fldCharType="end"/>
          </w:r>
        </w:p>
        <w:p w14:paraId="1B006193" w14:textId="77777777" w:rsidR="005A724B" w:rsidRDefault="005D2FFE">
          <w:pPr>
            <w:tabs>
              <w:tab w:val="right" w:pos="9360"/>
            </w:tabs>
            <w:spacing w:before="60" w:line="240" w:lineRule="auto"/>
            <w:ind w:left="1440"/>
            <w:rPr>
              <w:color w:val="000000"/>
            </w:rPr>
          </w:pPr>
          <w:hyperlink w:anchor="_bwpfunphntt2">
            <w:r>
              <w:rPr>
                <w:color w:val="000000"/>
              </w:rPr>
              <w:t>Climate Adaptation</w:t>
            </w:r>
          </w:hyperlink>
          <w:r>
            <w:rPr>
              <w:color w:val="000000"/>
            </w:rPr>
            <w:tab/>
          </w:r>
          <w:r>
            <w:fldChar w:fldCharType="begin"/>
          </w:r>
          <w:r>
            <w:instrText xml:space="preserve"> PAGEREF _bwpfunphntt2 \h </w:instrText>
          </w:r>
          <w:r>
            <w:fldChar w:fldCharType="separate"/>
          </w:r>
          <w:r>
            <w:rPr>
              <w:color w:val="000000"/>
            </w:rPr>
            <w:t>54</w:t>
          </w:r>
          <w:r>
            <w:fldChar w:fldCharType="end"/>
          </w:r>
        </w:p>
        <w:p w14:paraId="78AC0B35" w14:textId="77777777" w:rsidR="005A724B" w:rsidRDefault="005D2FFE">
          <w:pPr>
            <w:tabs>
              <w:tab w:val="right" w:pos="9360"/>
            </w:tabs>
            <w:spacing w:before="60" w:line="240" w:lineRule="auto"/>
            <w:ind w:left="360"/>
            <w:rPr>
              <w:color w:val="000000"/>
            </w:rPr>
          </w:pPr>
          <w:hyperlink w:anchor="_tyxulji2abin">
            <w:r>
              <w:rPr>
                <w:color w:val="000000"/>
              </w:rPr>
              <w:t>3.1.3: Other knowledge bases</w:t>
            </w:r>
          </w:hyperlink>
          <w:r>
            <w:rPr>
              <w:color w:val="000000"/>
            </w:rPr>
            <w:tab/>
          </w:r>
          <w:r>
            <w:fldChar w:fldCharType="begin"/>
          </w:r>
          <w:r>
            <w:instrText xml:space="preserve"> PAGEREF _tyxulji2abin \h </w:instrText>
          </w:r>
          <w:r>
            <w:fldChar w:fldCharType="separate"/>
          </w:r>
          <w:r>
            <w:rPr>
              <w:color w:val="000000"/>
            </w:rPr>
            <w:t>54</w:t>
          </w:r>
          <w:r>
            <w:fldChar w:fldCharType="end"/>
          </w:r>
        </w:p>
        <w:p w14:paraId="7B36E30A" w14:textId="77777777" w:rsidR="005A724B" w:rsidRDefault="005D2FFE">
          <w:pPr>
            <w:tabs>
              <w:tab w:val="right" w:pos="9360"/>
            </w:tabs>
            <w:spacing w:before="60" w:line="240" w:lineRule="auto"/>
            <w:ind w:left="360"/>
            <w:rPr>
              <w:color w:val="000000"/>
            </w:rPr>
          </w:pPr>
          <w:hyperlink w:anchor="_mt3lp9m4mr6q">
            <w:r>
              <w:rPr>
                <w:color w:val="000000"/>
              </w:rPr>
              <w:t>3.1.4: “Agency” knowledge base: Climate readiness and adaptation knowledge currently integrated into the NPFMC and NMFS management process</w:t>
            </w:r>
          </w:hyperlink>
          <w:r>
            <w:rPr>
              <w:color w:val="000000"/>
            </w:rPr>
            <w:tab/>
          </w:r>
          <w:r>
            <w:fldChar w:fldCharType="begin"/>
          </w:r>
          <w:r>
            <w:instrText xml:space="preserve"> PAGEREF _mt3lp9m4mr6q \h </w:instrText>
          </w:r>
          <w:r>
            <w:fldChar w:fldCharType="separate"/>
          </w:r>
          <w:r>
            <w:rPr>
              <w:color w:val="000000"/>
            </w:rPr>
            <w:t>55</w:t>
          </w:r>
          <w:r>
            <w:fldChar w:fldCharType="end"/>
          </w:r>
        </w:p>
        <w:p w14:paraId="03B10154" w14:textId="77777777" w:rsidR="005A724B" w:rsidRDefault="005D2FFE">
          <w:pPr>
            <w:tabs>
              <w:tab w:val="right" w:pos="9360"/>
            </w:tabs>
            <w:spacing w:before="60" w:line="240" w:lineRule="auto"/>
            <w:ind w:left="720"/>
            <w:rPr>
              <w:color w:val="000000"/>
            </w:rPr>
          </w:pPr>
          <w:hyperlink w:anchor="_s3ikrxfbzohg">
            <w:r>
              <w:rPr>
                <w:color w:val="000000"/>
              </w:rPr>
              <w:t>Council bodies and activities</w:t>
            </w:r>
          </w:hyperlink>
          <w:r>
            <w:rPr>
              <w:color w:val="000000"/>
            </w:rPr>
            <w:tab/>
          </w:r>
          <w:r>
            <w:fldChar w:fldCharType="begin"/>
          </w:r>
          <w:r>
            <w:instrText xml:space="preserve"> PAGEREF _s3ikrxfbzohg \h </w:instrText>
          </w:r>
          <w:r>
            <w:fldChar w:fldCharType="separate"/>
          </w:r>
          <w:r>
            <w:rPr>
              <w:color w:val="000000"/>
            </w:rPr>
            <w:t>55</w:t>
          </w:r>
          <w:r>
            <w:fldChar w:fldCharType="end"/>
          </w:r>
        </w:p>
        <w:p w14:paraId="388CAF62" w14:textId="77777777" w:rsidR="005A724B" w:rsidRDefault="005D2FFE">
          <w:pPr>
            <w:tabs>
              <w:tab w:val="right" w:pos="9360"/>
            </w:tabs>
            <w:spacing w:before="60" w:line="240" w:lineRule="auto"/>
            <w:ind w:left="1440"/>
            <w:rPr>
              <w:color w:val="000000"/>
            </w:rPr>
          </w:pPr>
          <w:hyperlink w:anchor="_s9z492x60x4w">
            <w:r>
              <w:rPr>
                <w:color w:val="000000"/>
              </w:rPr>
              <w:t>NMFS: AFSC</w:t>
            </w:r>
          </w:hyperlink>
          <w:r>
            <w:rPr>
              <w:color w:val="000000"/>
            </w:rPr>
            <w:tab/>
          </w:r>
          <w:r>
            <w:fldChar w:fldCharType="begin"/>
          </w:r>
          <w:r>
            <w:instrText xml:space="preserve"> PAGEREF _s9z492x60x4w \h </w:instrText>
          </w:r>
          <w:r>
            <w:fldChar w:fldCharType="separate"/>
          </w:r>
          <w:r>
            <w:rPr>
              <w:color w:val="000000"/>
            </w:rPr>
            <w:t>57</w:t>
          </w:r>
          <w:r>
            <w:fldChar w:fldCharType="end"/>
          </w:r>
        </w:p>
        <w:p w14:paraId="08312177" w14:textId="77777777" w:rsidR="005A724B" w:rsidRDefault="005D2FFE">
          <w:pPr>
            <w:tabs>
              <w:tab w:val="right" w:pos="9360"/>
            </w:tabs>
            <w:spacing w:before="60" w:line="240" w:lineRule="auto"/>
            <w:ind w:left="1440"/>
            <w:rPr>
              <w:color w:val="000000"/>
            </w:rPr>
          </w:pPr>
          <w:hyperlink w:anchor="_imd3y2b706g4">
            <w:r>
              <w:rPr>
                <w:color w:val="000000"/>
              </w:rPr>
              <w:t>(NMFS: Knowledge from co-management activities are discussed above in 3.1.1)</w:t>
            </w:r>
          </w:hyperlink>
          <w:r>
            <w:rPr>
              <w:color w:val="000000"/>
            </w:rPr>
            <w:tab/>
          </w:r>
          <w:r>
            <w:fldChar w:fldCharType="begin"/>
          </w:r>
          <w:r>
            <w:instrText xml:space="preserve"> PAGEREF _imd3y2b706g4 \h </w:instrText>
          </w:r>
          <w:r>
            <w:fldChar w:fldCharType="separate"/>
          </w:r>
          <w:r>
            <w:rPr>
              <w:color w:val="000000"/>
            </w:rPr>
            <w:t>57</w:t>
          </w:r>
          <w:r>
            <w:fldChar w:fldCharType="end"/>
          </w:r>
        </w:p>
        <w:p w14:paraId="5FDD840E" w14:textId="77777777" w:rsidR="005A724B" w:rsidRDefault="005D2FFE">
          <w:pPr>
            <w:tabs>
              <w:tab w:val="right" w:pos="9360"/>
            </w:tabs>
            <w:spacing w:before="60" w:line="240" w:lineRule="auto"/>
            <w:ind w:left="1440"/>
            <w:rPr>
              <w:color w:val="000000"/>
            </w:rPr>
          </w:pPr>
          <w:hyperlink w:anchor="_9v81s24i9dv5">
            <w:r>
              <w:rPr>
                <w:color w:val="000000"/>
              </w:rPr>
              <w:t>NMFS: Other (surveys, monitoring, etc.)</w:t>
            </w:r>
          </w:hyperlink>
          <w:r>
            <w:rPr>
              <w:color w:val="000000"/>
            </w:rPr>
            <w:tab/>
          </w:r>
          <w:r>
            <w:fldChar w:fldCharType="begin"/>
          </w:r>
          <w:r>
            <w:instrText xml:space="preserve"> PAGEREF _9v81s24i9dv5 \h </w:instrText>
          </w:r>
          <w:r>
            <w:fldChar w:fldCharType="separate"/>
          </w:r>
          <w:r>
            <w:rPr>
              <w:color w:val="000000"/>
            </w:rPr>
            <w:t>57</w:t>
          </w:r>
          <w:r>
            <w:fldChar w:fldCharType="end"/>
          </w:r>
        </w:p>
        <w:p w14:paraId="50200545" w14:textId="77777777" w:rsidR="005A724B" w:rsidRDefault="005D2FFE">
          <w:pPr>
            <w:tabs>
              <w:tab w:val="right" w:pos="9360"/>
            </w:tabs>
            <w:spacing w:before="60" w:line="240" w:lineRule="auto"/>
            <w:ind w:left="360"/>
            <w:rPr>
              <w:color w:val="000000"/>
            </w:rPr>
          </w:pPr>
          <w:hyperlink w:anchor="_h3gwv2y7s0ms">
            <w:r>
              <w:rPr>
                <w:color w:val="000000"/>
              </w:rPr>
              <w:t>3.2: Gaps and next steps: knowledge base elements and activities which can potentially be brought into the existing management system in the near-term</w:t>
            </w:r>
          </w:hyperlink>
          <w:r>
            <w:rPr>
              <w:color w:val="000000"/>
            </w:rPr>
            <w:tab/>
          </w:r>
          <w:r>
            <w:fldChar w:fldCharType="begin"/>
          </w:r>
          <w:r>
            <w:instrText xml:space="preserve"> PAGEREF _h3gwv2y7s0ms \h </w:instrText>
          </w:r>
          <w:r>
            <w:fldChar w:fldCharType="separate"/>
          </w:r>
          <w:r>
            <w:rPr>
              <w:color w:val="000000"/>
            </w:rPr>
            <w:t>57</w:t>
          </w:r>
          <w:r>
            <w:fldChar w:fldCharType="end"/>
          </w:r>
        </w:p>
        <w:p w14:paraId="77770F64" w14:textId="77777777" w:rsidR="005A724B" w:rsidRDefault="005D2FFE">
          <w:pPr>
            <w:tabs>
              <w:tab w:val="right" w:pos="9360"/>
            </w:tabs>
            <w:spacing w:before="200" w:after="80" w:line="240" w:lineRule="auto"/>
            <w:rPr>
              <w:b/>
              <w:color w:val="000000"/>
            </w:rPr>
          </w:pPr>
          <w:hyperlink w:anchor="_v3lzp2ytkwtp">
            <w:r>
              <w:rPr>
                <w:b/>
                <w:color w:val="000000"/>
              </w:rPr>
              <w:t>References</w:t>
            </w:r>
          </w:hyperlink>
          <w:r>
            <w:rPr>
              <w:b/>
              <w:color w:val="000000"/>
            </w:rPr>
            <w:tab/>
          </w:r>
          <w:r>
            <w:fldChar w:fldCharType="begin"/>
          </w:r>
          <w:r>
            <w:instrText xml:space="preserve"> PAGEREF _v3lzp2ytkwtp \h </w:instrText>
          </w:r>
          <w:r>
            <w:fldChar w:fldCharType="separate"/>
          </w:r>
          <w:r>
            <w:rPr>
              <w:b/>
              <w:color w:val="000000"/>
            </w:rPr>
            <w:t>58</w:t>
          </w:r>
          <w:r>
            <w:fldChar w:fldCharType="end"/>
          </w:r>
          <w:r>
            <w:fldChar w:fldCharType="end"/>
          </w:r>
        </w:p>
      </w:sdtContent>
    </w:sdt>
    <w:p w14:paraId="2D965BAD" w14:textId="77777777" w:rsidR="005A724B" w:rsidRDefault="005A724B">
      <w:pPr>
        <w:rPr>
          <w:color w:val="FF0000"/>
          <w:sz w:val="24"/>
          <w:szCs w:val="24"/>
        </w:rPr>
      </w:pPr>
    </w:p>
    <w:p w14:paraId="7C47C87F" w14:textId="77777777" w:rsidR="005A724B" w:rsidRDefault="005D2FFE">
      <w:pPr>
        <w:pStyle w:val="Heading2"/>
      </w:pPr>
      <w:bookmarkStart w:id="2" w:name="_urt8o6m9yslz" w:colFirst="0" w:colLast="0"/>
      <w:bookmarkEnd w:id="2"/>
      <w:r>
        <w:br w:type="page"/>
      </w:r>
    </w:p>
    <w:p w14:paraId="6BB89326" w14:textId="2F7FECEE" w:rsidR="005A724B" w:rsidRDefault="005A724B">
      <w:pPr>
        <w:pStyle w:val="Heading2"/>
        <w:spacing w:before="0"/>
      </w:pPr>
      <w:bookmarkStart w:id="3" w:name="_9auiq59ohx0v" w:colFirst="0" w:colLast="0"/>
      <w:bookmarkEnd w:id="3"/>
    </w:p>
    <w:p w14:paraId="22F21078" w14:textId="77777777" w:rsidR="005A724B" w:rsidRDefault="005D2FFE">
      <w:pPr>
        <w:pStyle w:val="Heading2"/>
        <w:spacing w:before="0"/>
      </w:pPr>
      <w:bookmarkStart w:id="4" w:name="_ookn4axw7kfk" w:colFirst="0" w:colLast="0"/>
      <w:bookmarkEnd w:id="4"/>
      <w:r>
        <w:t>Climate Readiness Synthesis</w:t>
      </w:r>
    </w:p>
    <w:p w14:paraId="3B6E8238" w14:textId="77777777" w:rsidR="005A724B" w:rsidRDefault="005D2FFE">
      <w:r>
        <w:t>The Climate Change Taskforce (CCTF) has compiled this climate readiness synthesis as a starting point for the North Pacific Fishery Management Council (Council) in ascertaining how “climate ready” the current management system is and to assist in augmentin</w:t>
      </w:r>
      <w:r>
        <w:t>g existing management for improved climate resilience.  As such, this synthesis is organized into three sections.  Section 1 provides a management overview of the current system highlighting measures that are more or less flexible to climate adaptation and</w:t>
      </w:r>
      <w:r>
        <w:t xml:space="preserve"> resilience.  Section 2 provides a review of information—including climate-related information–currently included in the stock assessment and fishery evaluation (SAFE) report, which describe the past, present, and near future status (1-4 years) of Bering s</w:t>
      </w:r>
      <w:r>
        <w:t>ea fishery resources on a stock-by-stock basis as well as the role of the target species in the broader social-ecological system.  Section 3 focuses on the various knowledge bases which support climate readiness and adaptation measures. Each section includ</w:t>
      </w:r>
      <w:r>
        <w:t>es a table for ranking the various components included in that section.  An overall ranking of the entire synthesis is also provided.</w:t>
      </w:r>
    </w:p>
    <w:p w14:paraId="198661C8" w14:textId="77777777" w:rsidR="005A724B" w:rsidRDefault="005A724B"/>
    <w:p w14:paraId="5361FB6A" w14:textId="451684E4" w:rsidR="005A724B" w:rsidRDefault="005D2FFE">
      <w:pPr>
        <w:pStyle w:val="Heading2"/>
        <w:rPr>
          <w:sz w:val="24"/>
          <w:szCs w:val="24"/>
        </w:rPr>
      </w:pPr>
      <w:bookmarkStart w:id="5" w:name="_kh75t7agzrsq" w:colFirst="0" w:colLast="0"/>
      <w:bookmarkEnd w:id="5"/>
      <w:r>
        <w:t xml:space="preserve">Section 1: Management Overview </w:t>
      </w:r>
    </w:p>
    <w:p w14:paraId="7C6FD25C" w14:textId="77777777" w:rsidR="005A724B" w:rsidRDefault="005D2FFE">
      <w:pPr>
        <w:pStyle w:val="Heading3"/>
        <w:spacing w:after="80" w:line="240" w:lineRule="auto"/>
        <w:rPr>
          <w:color w:val="337AB7"/>
        </w:rPr>
      </w:pPr>
      <w:bookmarkStart w:id="6" w:name="_md7wszymvglj" w:colFirst="0" w:colLast="0"/>
      <w:bookmarkEnd w:id="6"/>
      <w:r>
        <w:rPr>
          <w:color w:val="337AB7"/>
        </w:rPr>
        <w:t>Ranking Methodology</w:t>
      </w:r>
    </w:p>
    <w:p w14:paraId="68E61259" w14:textId="77777777" w:rsidR="005A724B" w:rsidRDefault="005D2FFE">
      <w:pPr>
        <w:pStyle w:val="Heading5"/>
      </w:pPr>
      <w:bookmarkStart w:id="7" w:name="_b7biq8k239m2" w:colFirst="0" w:colLast="0"/>
      <w:bookmarkEnd w:id="7"/>
      <w:r>
        <w:t>Table 1.1.  DRAFT Climate readiness ranking criteria for fisheries management</w:t>
      </w:r>
    </w:p>
    <w:tbl>
      <w:tblPr>
        <w:tblStyle w:val="a"/>
        <w:tblW w:w="9405" w:type="dxa"/>
        <w:tblLayout w:type="fixed"/>
        <w:tblLook w:val="0600" w:firstRow="0" w:lastRow="0" w:firstColumn="0" w:lastColumn="0" w:noHBand="1" w:noVBand="1"/>
      </w:tblPr>
      <w:tblGrid>
        <w:gridCol w:w="2250"/>
        <w:gridCol w:w="2055"/>
        <w:gridCol w:w="5100"/>
      </w:tblGrid>
      <w:tr w:rsidR="005A724B" w14:paraId="2FFA0775" w14:textId="77777777">
        <w:trPr>
          <w:trHeight w:val="435"/>
        </w:trPr>
        <w:tc>
          <w:tcPr>
            <w:tcW w:w="2250"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5D5AD525" w14:textId="77777777" w:rsidR="005A724B" w:rsidRDefault="005D2FFE">
            <w:pPr>
              <w:spacing w:before="0" w:line="240" w:lineRule="auto"/>
              <w:rPr>
                <w:b/>
                <w:color w:val="243F61"/>
              </w:rPr>
            </w:pPr>
            <w:r>
              <w:rPr>
                <w:b/>
                <w:color w:val="243F61"/>
              </w:rPr>
              <w:t>Ranking</w:t>
            </w:r>
          </w:p>
        </w:tc>
        <w:tc>
          <w:tcPr>
            <w:tcW w:w="2055"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00AFCD1A" w14:textId="77777777" w:rsidR="005A724B" w:rsidRDefault="005D2FFE">
            <w:pPr>
              <w:spacing w:before="0" w:line="240" w:lineRule="auto"/>
              <w:rPr>
                <w:b/>
                <w:color w:val="243F61"/>
              </w:rPr>
            </w:pPr>
            <w:r>
              <w:rPr>
                <w:b/>
                <w:color w:val="243F61"/>
              </w:rPr>
              <w:t>Description</w:t>
            </w:r>
          </w:p>
        </w:tc>
        <w:tc>
          <w:tcPr>
            <w:tcW w:w="5100"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735C1E0E" w14:textId="77777777" w:rsidR="005A724B" w:rsidRDefault="005D2FFE">
            <w:pPr>
              <w:spacing w:before="0" w:line="240" w:lineRule="auto"/>
              <w:rPr>
                <w:b/>
                <w:color w:val="243F61"/>
              </w:rPr>
            </w:pPr>
            <w:r>
              <w:rPr>
                <w:b/>
                <w:color w:val="243F61"/>
              </w:rPr>
              <w:t>Section specific details</w:t>
            </w:r>
          </w:p>
        </w:tc>
      </w:tr>
      <w:tr w:rsidR="005A724B" w14:paraId="2DC872A3" w14:textId="77777777">
        <w:tc>
          <w:tcPr>
            <w:tcW w:w="2250" w:type="dxa"/>
            <w:tcBorders>
              <w:top w:val="single" w:sz="12" w:space="0" w:color="243F61"/>
              <w:left w:val="nil"/>
              <w:bottom w:val="nil"/>
              <w:right w:val="nil"/>
            </w:tcBorders>
            <w:tcMar>
              <w:top w:w="40" w:type="dxa"/>
              <w:left w:w="40" w:type="dxa"/>
              <w:bottom w:w="40" w:type="dxa"/>
              <w:right w:w="40" w:type="dxa"/>
            </w:tcMar>
            <w:vAlign w:val="center"/>
          </w:tcPr>
          <w:p w14:paraId="25FCE900" w14:textId="77777777" w:rsidR="005A724B" w:rsidRDefault="005D2FFE">
            <w:pPr>
              <w:numPr>
                <w:ilvl w:val="0"/>
                <w:numId w:val="20"/>
              </w:numPr>
              <w:spacing w:before="0" w:line="240" w:lineRule="auto"/>
              <w:jc w:val="left"/>
              <w:rPr>
                <w:color w:val="243F61"/>
                <w:sz w:val="20"/>
                <w:szCs w:val="20"/>
              </w:rPr>
            </w:pPr>
            <w:r>
              <w:rPr>
                <w:color w:val="243F61"/>
                <w:sz w:val="20"/>
                <w:szCs w:val="20"/>
              </w:rPr>
              <w:t>Not Ready</w:t>
            </w:r>
          </w:p>
        </w:tc>
        <w:tc>
          <w:tcPr>
            <w:tcW w:w="205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72836224" w14:textId="77777777" w:rsidR="005A724B" w:rsidRDefault="005D2FFE">
            <w:pPr>
              <w:spacing w:before="0" w:line="240" w:lineRule="auto"/>
              <w:jc w:val="left"/>
              <w:rPr>
                <w:color w:val="243F61"/>
                <w:sz w:val="20"/>
                <w:szCs w:val="20"/>
              </w:rPr>
            </w:pPr>
            <w:r>
              <w:rPr>
                <w:color w:val="243F61"/>
                <w:sz w:val="20"/>
                <w:szCs w:val="20"/>
              </w:rPr>
              <w:t>No climate information included in management measures thus  inflexible management measures</w:t>
            </w:r>
          </w:p>
        </w:tc>
        <w:tc>
          <w:tcPr>
            <w:tcW w:w="5100"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3558E14F" w14:textId="77777777" w:rsidR="005A724B" w:rsidRDefault="005D2FFE">
            <w:pPr>
              <w:spacing w:before="0" w:line="240" w:lineRule="auto"/>
              <w:jc w:val="left"/>
              <w:rPr>
                <w:color w:val="243F61"/>
                <w:sz w:val="20"/>
                <w:szCs w:val="20"/>
              </w:rPr>
            </w:pPr>
            <w:r>
              <w:rPr>
                <w:color w:val="243F61"/>
                <w:sz w:val="20"/>
                <w:szCs w:val="20"/>
              </w:rPr>
              <w:t>Management measures are inflexible to climate change</w:t>
            </w:r>
          </w:p>
        </w:tc>
      </w:tr>
      <w:tr w:rsidR="005A724B" w14:paraId="4E045766"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7DE29002" w14:textId="77777777" w:rsidR="005A724B" w:rsidRDefault="005D2FFE">
            <w:pPr>
              <w:numPr>
                <w:ilvl w:val="0"/>
                <w:numId w:val="20"/>
              </w:numPr>
              <w:spacing w:before="0" w:line="240" w:lineRule="auto"/>
              <w:jc w:val="left"/>
              <w:rPr>
                <w:color w:val="243F61"/>
                <w:sz w:val="20"/>
                <w:szCs w:val="20"/>
              </w:rPr>
            </w:pPr>
            <w:r>
              <w:rPr>
                <w:color w:val="243F61"/>
                <w:sz w:val="20"/>
                <w:szCs w:val="20"/>
              </w:rPr>
              <w:t>On the way to climate advice</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77BB90CA" w14:textId="77777777" w:rsidR="005A724B" w:rsidRDefault="005D2FFE">
            <w:pPr>
              <w:spacing w:before="0" w:line="240" w:lineRule="auto"/>
              <w:jc w:val="left"/>
              <w:rPr>
                <w:color w:val="243F61"/>
                <w:sz w:val="20"/>
                <w:szCs w:val="20"/>
              </w:rPr>
            </w:pPr>
            <w:r>
              <w:rPr>
                <w:color w:val="243F61"/>
                <w:sz w:val="20"/>
                <w:szCs w:val="20"/>
              </w:rPr>
              <w:t>Some implicit climate variability information associated with  management measures</w:t>
            </w:r>
          </w:p>
        </w:tc>
        <w:tc>
          <w:tcPr>
            <w:tcW w:w="5100" w:type="dxa"/>
            <w:tcBorders>
              <w:top w:val="nil"/>
              <w:left w:val="nil"/>
              <w:bottom w:val="nil"/>
              <w:right w:val="nil"/>
            </w:tcBorders>
            <w:shd w:val="clear" w:color="auto" w:fill="CFE2F3"/>
            <w:tcMar>
              <w:top w:w="100" w:type="dxa"/>
              <w:left w:w="100" w:type="dxa"/>
              <w:bottom w:w="100" w:type="dxa"/>
              <w:right w:w="100" w:type="dxa"/>
            </w:tcMar>
            <w:vAlign w:val="center"/>
          </w:tcPr>
          <w:p w14:paraId="71AE7D28" w14:textId="77777777" w:rsidR="005A724B" w:rsidRDefault="005D2FFE">
            <w:pPr>
              <w:spacing w:before="0" w:line="240" w:lineRule="auto"/>
              <w:jc w:val="left"/>
              <w:rPr>
                <w:color w:val="243F61"/>
                <w:sz w:val="20"/>
                <w:szCs w:val="20"/>
              </w:rPr>
            </w:pPr>
            <w:r>
              <w:rPr>
                <w:color w:val="243F61"/>
                <w:sz w:val="20"/>
                <w:szCs w:val="20"/>
              </w:rPr>
              <w:t>Conceptually climate information informs management measure but is not yet directly implemented</w:t>
            </w:r>
          </w:p>
        </w:tc>
      </w:tr>
      <w:tr w:rsidR="005A724B" w14:paraId="6B7E8CF1" w14:textId="77777777">
        <w:tc>
          <w:tcPr>
            <w:tcW w:w="2250" w:type="dxa"/>
            <w:tcBorders>
              <w:top w:val="nil"/>
              <w:left w:val="nil"/>
              <w:bottom w:val="nil"/>
              <w:right w:val="nil"/>
            </w:tcBorders>
            <w:tcMar>
              <w:top w:w="40" w:type="dxa"/>
              <w:left w:w="40" w:type="dxa"/>
              <w:bottom w:w="40" w:type="dxa"/>
              <w:right w:w="40" w:type="dxa"/>
            </w:tcMar>
            <w:vAlign w:val="center"/>
          </w:tcPr>
          <w:p w14:paraId="1799C53D" w14:textId="77777777" w:rsidR="005A724B" w:rsidRDefault="005D2FFE">
            <w:pPr>
              <w:numPr>
                <w:ilvl w:val="0"/>
                <w:numId w:val="20"/>
              </w:numPr>
              <w:spacing w:before="0" w:line="240" w:lineRule="auto"/>
              <w:jc w:val="left"/>
              <w:rPr>
                <w:color w:val="243F61"/>
                <w:sz w:val="20"/>
                <w:szCs w:val="20"/>
              </w:rPr>
            </w:pPr>
            <w:r>
              <w:rPr>
                <w:color w:val="243F61"/>
                <w:sz w:val="20"/>
                <w:szCs w:val="20"/>
              </w:rPr>
              <w:t>Somewhat ready</w:t>
            </w:r>
          </w:p>
        </w:tc>
        <w:tc>
          <w:tcPr>
            <w:tcW w:w="2055" w:type="dxa"/>
            <w:tcBorders>
              <w:top w:val="nil"/>
              <w:left w:val="nil"/>
              <w:bottom w:val="nil"/>
              <w:right w:val="nil"/>
            </w:tcBorders>
            <w:tcMar>
              <w:top w:w="100" w:type="dxa"/>
              <w:left w:w="100" w:type="dxa"/>
              <w:bottom w:w="100" w:type="dxa"/>
              <w:right w:w="100" w:type="dxa"/>
            </w:tcMar>
            <w:vAlign w:val="center"/>
          </w:tcPr>
          <w:p w14:paraId="01307F32" w14:textId="77777777" w:rsidR="005A724B" w:rsidRDefault="005D2FFE">
            <w:pPr>
              <w:spacing w:before="0" w:line="240" w:lineRule="auto"/>
              <w:jc w:val="left"/>
              <w:rPr>
                <w:color w:val="243F61"/>
                <w:sz w:val="20"/>
                <w:szCs w:val="20"/>
              </w:rPr>
            </w:pPr>
            <w:r>
              <w:rPr>
                <w:color w:val="243F61"/>
                <w:sz w:val="20"/>
                <w:szCs w:val="20"/>
              </w:rPr>
              <w:t>Some implicit climate change information included in manageme</w:t>
            </w:r>
            <w:r>
              <w:rPr>
                <w:color w:val="243F61"/>
                <w:sz w:val="20"/>
                <w:szCs w:val="20"/>
              </w:rPr>
              <w:t xml:space="preserve">nt </w:t>
            </w:r>
            <w:r>
              <w:rPr>
                <w:color w:val="243F61"/>
                <w:sz w:val="20"/>
                <w:szCs w:val="20"/>
              </w:rPr>
              <w:lastRenderedPageBreak/>
              <w:t>and/or increased flexibility in management measures</w:t>
            </w:r>
          </w:p>
        </w:tc>
        <w:tc>
          <w:tcPr>
            <w:tcW w:w="5100" w:type="dxa"/>
            <w:tcBorders>
              <w:top w:val="nil"/>
              <w:left w:val="nil"/>
              <w:bottom w:val="nil"/>
              <w:right w:val="nil"/>
            </w:tcBorders>
            <w:shd w:val="clear" w:color="auto" w:fill="CFE2F3"/>
            <w:tcMar>
              <w:top w:w="100" w:type="dxa"/>
              <w:left w:w="100" w:type="dxa"/>
              <w:bottom w:w="100" w:type="dxa"/>
              <w:right w:w="100" w:type="dxa"/>
            </w:tcMar>
            <w:vAlign w:val="center"/>
          </w:tcPr>
          <w:p w14:paraId="3C8C3FF6" w14:textId="77777777" w:rsidR="005A724B" w:rsidRDefault="005D2FFE">
            <w:pPr>
              <w:spacing w:before="0" w:line="240" w:lineRule="auto"/>
              <w:jc w:val="left"/>
              <w:rPr>
                <w:color w:val="243F61"/>
                <w:sz w:val="20"/>
                <w:szCs w:val="20"/>
              </w:rPr>
            </w:pPr>
            <w:r>
              <w:rPr>
                <w:color w:val="243F61"/>
                <w:sz w:val="20"/>
                <w:szCs w:val="20"/>
              </w:rPr>
              <w:lastRenderedPageBreak/>
              <w:t>Some flexibility built into management measures to address climate change or changing environmental conditions</w:t>
            </w:r>
          </w:p>
        </w:tc>
      </w:tr>
      <w:tr w:rsidR="005A724B" w14:paraId="6BD24154"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70F1F747" w14:textId="77777777" w:rsidR="005A724B" w:rsidRDefault="005D2FFE">
            <w:pPr>
              <w:numPr>
                <w:ilvl w:val="0"/>
                <w:numId w:val="20"/>
              </w:numPr>
              <w:spacing w:before="0" w:line="240" w:lineRule="auto"/>
              <w:jc w:val="left"/>
              <w:rPr>
                <w:color w:val="243F61"/>
                <w:sz w:val="20"/>
                <w:szCs w:val="20"/>
              </w:rPr>
            </w:pPr>
            <w:r>
              <w:rPr>
                <w:color w:val="243F61"/>
                <w:sz w:val="20"/>
                <w:szCs w:val="20"/>
              </w:rPr>
              <w:t>Nearly ready</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0DA85735" w14:textId="77777777" w:rsidR="005A724B" w:rsidRDefault="005D2FFE">
            <w:pPr>
              <w:spacing w:before="0" w:line="240" w:lineRule="auto"/>
              <w:jc w:val="left"/>
              <w:rPr>
                <w:color w:val="243F61"/>
                <w:sz w:val="20"/>
                <w:szCs w:val="20"/>
              </w:rPr>
            </w:pPr>
            <w:r>
              <w:rPr>
                <w:color w:val="243F61"/>
                <w:sz w:val="20"/>
                <w:szCs w:val="20"/>
              </w:rPr>
              <w:t>Few modifications would result in climate readiness</w:t>
            </w:r>
          </w:p>
        </w:tc>
        <w:tc>
          <w:tcPr>
            <w:tcW w:w="5100" w:type="dxa"/>
            <w:tcBorders>
              <w:top w:val="nil"/>
              <w:left w:val="nil"/>
              <w:bottom w:val="nil"/>
              <w:right w:val="nil"/>
            </w:tcBorders>
            <w:shd w:val="clear" w:color="auto" w:fill="CFE2F3"/>
            <w:tcMar>
              <w:top w:w="100" w:type="dxa"/>
              <w:left w:w="100" w:type="dxa"/>
              <w:bottom w:w="100" w:type="dxa"/>
              <w:right w:w="100" w:type="dxa"/>
            </w:tcMar>
            <w:vAlign w:val="center"/>
          </w:tcPr>
          <w:p w14:paraId="0E263BD6" w14:textId="77777777" w:rsidR="005A724B" w:rsidRDefault="005D2FFE">
            <w:pPr>
              <w:spacing w:before="0" w:line="240" w:lineRule="auto"/>
              <w:jc w:val="left"/>
              <w:rPr>
                <w:color w:val="243F61"/>
                <w:sz w:val="20"/>
                <w:szCs w:val="20"/>
              </w:rPr>
            </w:pPr>
            <w:r>
              <w:rPr>
                <w:color w:val="243F61"/>
                <w:sz w:val="20"/>
                <w:szCs w:val="20"/>
              </w:rPr>
              <w:t>Management measures have built in mechanisms to be responsive to changing environmental conditions and climate change</w:t>
            </w:r>
          </w:p>
        </w:tc>
      </w:tr>
      <w:tr w:rsidR="005A724B" w14:paraId="132FFBC1" w14:textId="77777777">
        <w:tc>
          <w:tcPr>
            <w:tcW w:w="2250" w:type="dxa"/>
            <w:tcBorders>
              <w:top w:val="nil"/>
              <w:left w:val="nil"/>
              <w:bottom w:val="single" w:sz="8" w:space="0" w:color="243F61"/>
              <w:right w:val="nil"/>
            </w:tcBorders>
            <w:tcMar>
              <w:top w:w="40" w:type="dxa"/>
              <w:left w:w="40" w:type="dxa"/>
              <w:bottom w:w="40" w:type="dxa"/>
              <w:right w:w="40" w:type="dxa"/>
            </w:tcMar>
            <w:vAlign w:val="center"/>
          </w:tcPr>
          <w:p w14:paraId="7C212361" w14:textId="77777777" w:rsidR="005A724B" w:rsidRDefault="005D2FFE">
            <w:pPr>
              <w:numPr>
                <w:ilvl w:val="0"/>
                <w:numId w:val="20"/>
              </w:numPr>
              <w:spacing w:before="0" w:line="240" w:lineRule="auto"/>
              <w:jc w:val="left"/>
              <w:rPr>
                <w:color w:val="243F61"/>
                <w:sz w:val="20"/>
                <w:szCs w:val="20"/>
              </w:rPr>
            </w:pPr>
            <w:r>
              <w:rPr>
                <w:color w:val="243F61"/>
                <w:sz w:val="20"/>
                <w:szCs w:val="20"/>
              </w:rPr>
              <w:t>Climate ready</w:t>
            </w:r>
          </w:p>
        </w:tc>
        <w:tc>
          <w:tcPr>
            <w:tcW w:w="2055" w:type="dxa"/>
            <w:tcBorders>
              <w:top w:val="nil"/>
              <w:left w:val="nil"/>
              <w:bottom w:val="single" w:sz="8" w:space="0" w:color="243F61"/>
              <w:right w:val="nil"/>
            </w:tcBorders>
            <w:tcMar>
              <w:top w:w="100" w:type="dxa"/>
              <w:left w:w="100" w:type="dxa"/>
              <w:bottom w:w="100" w:type="dxa"/>
              <w:right w:w="100" w:type="dxa"/>
            </w:tcMar>
            <w:vAlign w:val="center"/>
          </w:tcPr>
          <w:p w14:paraId="1E5747C9" w14:textId="77777777" w:rsidR="005A724B" w:rsidRDefault="005D2FFE">
            <w:pPr>
              <w:spacing w:before="0" w:line="240" w:lineRule="auto"/>
              <w:jc w:val="left"/>
              <w:rPr>
                <w:color w:val="243F61"/>
                <w:sz w:val="20"/>
                <w:szCs w:val="20"/>
              </w:rPr>
            </w:pPr>
            <w:r>
              <w:rPr>
                <w:color w:val="243F61"/>
                <w:sz w:val="20"/>
                <w:szCs w:val="20"/>
              </w:rPr>
              <w:t>Process  in place for regular (operational) climate change informed man</w:t>
            </w:r>
            <w:r>
              <w:rPr>
                <w:color w:val="243F61"/>
                <w:sz w:val="20"/>
                <w:szCs w:val="20"/>
              </w:rPr>
              <w:t>agement</w:t>
            </w:r>
          </w:p>
        </w:tc>
        <w:tc>
          <w:tcPr>
            <w:tcW w:w="5100" w:type="dxa"/>
            <w:tcBorders>
              <w:top w:val="nil"/>
              <w:left w:val="nil"/>
              <w:bottom w:val="single" w:sz="8" w:space="0" w:color="243F61"/>
              <w:right w:val="nil"/>
            </w:tcBorders>
            <w:tcMar>
              <w:top w:w="100" w:type="dxa"/>
              <w:left w:w="100" w:type="dxa"/>
              <w:bottom w:w="100" w:type="dxa"/>
              <w:right w:w="100" w:type="dxa"/>
            </w:tcMar>
            <w:vAlign w:val="center"/>
          </w:tcPr>
          <w:p w14:paraId="1569B420" w14:textId="77777777" w:rsidR="005A724B" w:rsidRDefault="005D2FFE">
            <w:pPr>
              <w:spacing w:before="0" w:line="240" w:lineRule="auto"/>
              <w:jc w:val="left"/>
              <w:rPr>
                <w:color w:val="243F61"/>
                <w:sz w:val="20"/>
                <w:szCs w:val="20"/>
              </w:rPr>
            </w:pPr>
            <w:r>
              <w:rPr>
                <w:color w:val="243F61"/>
                <w:sz w:val="20"/>
                <w:szCs w:val="20"/>
              </w:rPr>
              <w:t>Management measures are inherently flexible to climate change and provide informative feedback on performance</w:t>
            </w:r>
          </w:p>
        </w:tc>
      </w:tr>
    </w:tbl>
    <w:p w14:paraId="32D9E392" w14:textId="77777777" w:rsidR="005A724B" w:rsidRDefault="005A724B">
      <w:pPr>
        <w:spacing w:before="0"/>
        <w:rPr>
          <w:sz w:val="24"/>
          <w:szCs w:val="24"/>
        </w:rPr>
      </w:pPr>
    </w:p>
    <w:p w14:paraId="6BFC2450" w14:textId="77777777" w:rsidR="005A724B" w:rsidRDefault="005D2FFE">
      <w:pPr>
        <w:pStyle w:val="Heading3"/>
      </w:pPr>
      <w:bookmarkStart w:id="8" w:name="_s932qvtzwl9o" w:colFirst="0" w:colLast="0"/>
      <w:bookmarkEnd w:id="8"/>
      <w:r>
        <w:t xml:space="preserve">Introduction </w:t>
      </w:r>
    </w:p>
    <w:p w14:paraId="430A0DD1" w14:textId="77777777" w:rsidR="005A724B" w:rsidRDefault="005D2FFE">
      <w:r>
        <w:t>This section provides context for the work presented in this report by providing background for “climate readiness” and the manner in which “resilience” and “adaptation” are used here.  It then provides an overview of the limits and opportunities presented</w:t>
      </w:r>
      <w:r>
        <w:t xml:space="preserve"> by the current management system. This begins with a general overview of the NPFMC management structure, including limits and opportunities that exist within the statutory and regulatory system. A series of case studies are then presented in order to iden</w:t>
      </w:r>
      <w:r>
        <w:t xml:space="preserve">tify provisions implemented under the management system that are more or less flexible and resilient to climate change. </w:t>
      </w:r>
    </w:p>
    <w:p w14:paraId="73C0F565" w14:textId="77777777" w:rsidR="005A724B" w:rsidRDefault="005D2FFE">
      <w:pPr>
        <w:pStyle w:val="Heading4"/>
        <w:spacing w:after="240"/>
      </w:pPr>
      <w:bookmarkStart w:id="9" w:name="_3t6ln4h5t7sg" w:colFirst="0" w:colLast="0"/>
      <w:bookmarkEnd w:id="9"/>
      <w:r>
        <w:t>Definition of climate readiness, resilience and adaptation</w:t>
      </w:r>
    </w:p>
    <w:p w14:paraId="4C93282A" w14:textId="77777777" w:rsidR="005A724B" w:rsidRDefault="005D2FFE">
      <w:pPr>
        <w:rPr>
          <w:i/>
          <w:color w:val="666666"/>
        </w:rPr>
      </w:pPr>
      <w:r>
        <w:rPr>
          <w:i/>
          <w:color w:val="666666"/>
        </w:rPr>
        <w:t>Climate readiness</w:t>
      </w:r>
    </w:p>
    <w:p w14:paraId="4478B27E" w14:textId="77777777" w:rsidR="005A724B" w:rsidRDefault="005D2FFE">
      <w:pPr>
        <w:rPr>
          <w:rFonts w:ascii="Times New Roman" w:eastAsia="Times New Roman" w:hAnsi="Times New Roman" w:cs="Times New Roman"/>
        </w:rPr>
      </w:pPr>
      <w:r>
        <w:t>As used in this document, “c</w:t>
      </w:r>
      <w:r>
        <w:t>limate readiness” is intended as a measure of the system to be resilient to climate-related changes. It includes the ability to support social and ecological systems that are robust to change, absorb climate shocks, and facilitate equitable and timely resp</w:t>
      </w:r>
      <w:r>
        <w:t>onses that minimize impacts and avoid long-term damage to ecosystems, people, and livelihoods. The understandings of resilience and adaptation are related and reproduced below.</w:t>
      </w:r>
    </w:p>
    <w:p w14:paraId="65646071" w14:textId="77777777" w:rsidR="005A724B" w:rsidRDefault="005D2FFE">
      <w:pPr>
        <w:pStyle w:val="Heading6"/>
        <w:spacing w:after="240"/>
      </w:pPr>
      <w:bookmarkStart w:id="10" w:name="_v4rmpqtbnzxp" w:colFirst="0" w:colLast="0"/>
      <w:bookmarkEnd w:id="10"/>
      <w:r>
        <w:t>Climate resilience</w:t>
      </w:r>
    </w:p>
    <w:p w14:paraId="56D4B2A1" w14:textId="77777777" w:rsidR="005A724B" w:rsidRDefault="005D2FFE">
      <w:r>
        <w:t>As with ‘adaptation’, the CCTF will work collaboratively wit</w:t>
      </w:r>
      <w:r>
        <w:t>h stakeholders to develop a working definition of the important and linked concept of ‘resilience.’  What is offered herein is a starting point for that work.</w:t>
      </w:r>
      <w:r>
        <w:t xml:space="preserve"> Community resilience has numerous interconnected aspects, including the epistemic (e.g. access</w:t>
      </w:r>
      <w:r>
        <w:t xml:space="preserve"> to information, rich involvement in scientific-management-policy activities, etc.), the individual (e.g. mental and physical health), and the sociocultural (e.g. social cohesion, self-determination, integration of community with natural resources, thrivin</w:t>
      </w:r>
      <w:r>
        <w:t>g intergenerational relationships, community sustainability and vibrancy, food security, economic diversity, adaptability to change, etc.).  The ecological biological resilience of marine resources likewise spans a wide array of considerations including bi</w:t>
      </w:r>
      <w:r>
        <w:t xml:space="preserve">ological and genetic diversity, healthy habitats </w:t>
      </w:r>
      <w:r>
        <w:lastRenderedPageBreak/>
        <w:t>and populations, adequate resources, sustained recruitment, and a balanced trophic structure. Resilience must be considered at the nexus of these two domains, i.e. coupled social-ecological systems. This inc</w:t>
      </w:r>
      <w:r>
        <w:t>ludes, for example: sustained strong connections between harvest species and humans and communities that rely on them; management that is capable of being adaptive and flexible while also sustaining ecosystems and livelihoods; strengthened resource managem</w:t>
      </w:r>
      <w:r>
        <w:t xml:space="preserve">ent through co-management, community engagement, and co-production of knowledge; alignment of knowledge, management, and policy to challenges of variability and unpredictability; and strong information-based decision making that includes diverse knowledge </w:t>
      </w:r>
      <w:r>
        <w:t>sources and perspectives in order to ensure inclusive and just assessment of risks, impacts and tradeoffs.</w:t>
      </w:r>
    </w:p>
    <w:p w14:paraId="38D5B3B0" w14:textId="77777777" w:rsidR="005A724B" w:rsidRDefault="005D2FFE">
      <w:pPr>
        <w:pStyle w:val="Heading6"/>
        <w:spacing w:after="240"/>
      </w:pPr>
      <w:bookmarkStart w:id="11" w:name="_s3z5utkkuo14" w:colFirst="0" w:colLast="0"/>
      <w:bookmarkEnd w:id="11"/>
      <w:r>
        <w:t>Climate adaptation</w:t>
      </w:r>
    </w:p>
    <w:p w14:paraId="795B41AC" w14:textId="77777777" w:rsidR="005A724B" w:rsidRDefault="005D2FFE">
      <w:r>
        <w:t>The IPCC defines adaptation as “the process of adjustment to actual or expected climate change and its effects” (IPCC 2014, p. 5).</w:t>
      </w:r>
      <w:r>
        <w:t xml:space="preserve"> In the context of Bering Sea fisheries, adaptation to support climate resilient social-ecological systems includes ecosystem-based management policies that embrace uncertainty, adjust at a rate that is consistent with observed changes (e.g., allows commun</w:t>
      </w:r>
      <w:r>
        <w:t>ities and fisheries to adapt in a proactive rather than a solely reactive manner), are inclusive of diverse knowledge sources and information that may change and evolve over time, and consider both direct and indirect impacts and interactions with other sp</w:t>
      </w:r>
      <w:r>
        <w:t>ecies</w:t>
      </w:r>
      <w:r>
        <w:t>, sectors, and stakeholders and the environment. The latter relies on understanding and considering biological trajectories of change as well as the social, cultural and economic implications and scope of adaptation in the intricately coupled socia</w:t>
      </w:r>
      <w:r>
        <w:t>l-ecological Bering Sea ecosystem. Co-production of knowledge is essential for understanding changes as well as identifying, understanding and promoting pathways of adaptation in both fisheries and fishing communities. Some social and ecological changes co</w:t>
      </w:r>
      <w:r>
        <w:t>uld help promote adaptation, but others might intensify negative impacts of climate-driven change. Adaptation can include reactive responses as well as proactive, anticipatory planning and prevention. Adaptation is separate from, but can be synergistic wit</w:t>
      </w:r>
      <w:r>
        <w:t xml:space="preserve">h (i.e., have co-benefits for), “carbon mitigation” measures, which are actions at global or regional scales that aim to reduce or recapture atmospheric CO2. Climate adaptation planning is a multi-step and iterative process that includes evaluation of key </w:t>
      </w:r>
      <w:r>
        <w:t>risks and needs, assessment of available potential tools and approaches, understanding of institutional capacity and feasibility for adaptation planning and implementation (and evolving limits and constraints to adaptation), and interactive inclusive discu</w:t>
      </w:r>
      <w:r>
        <w:t xml:space="preserve">ssions regarding realized costs, </w:t>
      </w:r>
      <w:proofErr w:type="spellStart"/>
      <w:r>
        <w:t>trade offs</w:t>
      </w:r>
      <w:proofErr w:type="spellEnd"/>
      <w:r>
        <w:t>, and benefits of adaptation measures (Meredith et al. 2019). This evolving definition will serve as the basis for ongoing climate-biological-social-economic evaluations of management actions that address climate-</w:t>
      </w:r>
      <w:r>
        <w:t>driven impacts, utilize novel opportunities, and identify and promote equitable adaptive pathways.</w:t>
      </w:r>
    </w:p>
    <w:p w14:paraId="3CF3626A" w14:textId="77777777" w:rsidR="005A724B" w:rsidRDefault="005D2FFE">
      <w:pPr>
        <w:pStyle w:val="Heading4"/>
      </w:pPr>
      <w:bookmarkStart w:id="12" w:name="_96o6wr1a833v" w:colFirst="0" w:colLast="0"/>
      <w:bookmarkEnd w:id="12"/>
      <w:r>
        <w:t>Process overview</w:t>
      </w:r>
    </w:p>
    <w:p w14:paraId="60134AF5" w14:textId="77777777" w:rsidR="005A724B" w:rsidRDefault="005D2FFE">
      <w:r>
        <w:t>The Council manages the fisheries in the North Pacific under the authority of the Magnuson-Stevens Fishery Conservation and Management Act (</w:t>
      </w:r>
      <w:r>
        <w:t>MSA) and the respective fishery management plans (FMPs).  The Council has six FMPs: BSAI groundfish, GOA groundfish, BSAI crab, Alaskan Scallop, salmon and the Arctic FMP</w:t>
      </w:r>
      <w:r>
        <w:t>.  In establishing and amending FMPs the Council adheres to the statutory requireme</w:t>
      </w:r>
      <w:r>
        <w:t>nts of the MSA, the National Environmental Policy Act (NEPA) as well as other requisite laws (e.g., ESA, MMPA).</w:t>
      </w:r>
    </w:p>
    <w:p w14:paraId="5F2F79A9" w14:textId="77777777" w:rsidR="005A724B" w:rsidRDefault="005D2FFE">
      <w:r>
        <w:lastRenderedPageBreak/>
        <w:t>FMPs must include conservation and management measures that are “necessary and appropriate for the conservation and management of the fishery to</w:t>
      </w:r>
      <w:r>
        <w:t xml:space="preserve"> prevent overfishing and rebuild overfished stocks, and to protect, restore, and promote the long-term health and stability of the fishery” (16 U.S.C. 1853(a)(1)(A)). They also must comport with ten “National Standards for Fishery Conservation and Manageme</w:t>
      </w:r>
      <w:r>
        <w:t xml:space="preserve">nt” (16 U.S.C. 1851) and set out the maximum sustainable yield (MSY) and optimum yield (OY) for each fishery ((16 U.S.C. 1853(a)(3)), among other requirements. </w:t>
      </w:r>
    </w:p>
    <w:p w14:paraId="3B5B2E5F" w14:textId="77777777" w:rsidR="005A724B" w:rsidRDefault="005D2FFE">
      <w:r>
        <w:t xml:space="preserve">For most fisheries, these requirements are carried out by the Council in cooperation with NMFS </w:t>
      </w:r>
      <w:r>
        <w:t>and/or the State of Alaska. The Council (in cooperation with NMFS) has sole jurisdiction over the management of groundfish in the BSAI and GOA (3-200 miles off shore) (see figure below).  For BSAI Crab and Alaska Scallops, this management is in cooperation</w:t>
      </w:r>
      <w:r>
        <w:t xml:space="preserve"> with the State of Alaska: the Council has responsibility for federal requirements in cooperation with NMFS and delegated management measures under the FMP to the State of Alaska.   </w:t>
      </w:r>
    </w:p>
    <w:p w14:paraId="340ED485" w14:textId="77777777" w:rsidR="005A724B" w:rsidRDefault="005D2FFE">
      <w:r>
        <w:t>Pacific halibut is subject to somewhat different rules. The International</w:t>
      </w:r>
      <w:r>
        <w:t xml:space="preserve"> Pacific Halibut Commission (IPHC) and NMFS manage Pacific halibut fisheries through regulations established under the authority of the Northern Pacific Halibut Act of 1982 (Halibut Act) (16 U.S.C. 773-773k). For the United States, regulations governing th</w:t>
      </w:r>
      <w:r>
        <w:t>e fishery for Pacific halibut developed by the IPHC are subject to acceptance by the Secretary of State with concurrence from the Secretary of Commerce. After acceptance and concurrence, NMFS publishes the IPHC regulations in the Federal Register as annual</w:t>
      </w:r>
      <w:r>
        <w:t xml:space="preserve"> management measures pursuant to 50 CFR 300.62. Section 5(c) of the Halibut Act also provides the Council with authority to develop regulations that are in addition to, and not in conflict with, approved IPHC regulations.  </w:t>
      </w:r>
    </w:p>
    <w:p w14:paraId="37FBBC45" w14:textId="77777777" w:rsidR="005A724B" w:rsidRDefault="005D2FFE">
      <w:r>
        <w:t>The Council is widely recognized</w:t>
      </w:r>
      <w:r>
        <w:t xml:space="preserve"> as a leader in ensuring that fisheries management is sustainable and ecosystem-based. Many fisheries in the BSAI are certified as sustainable by the </w:t>
      </w:r>
      <w:hyperlink r:id="rId7">
        <w:r>
          <w:rPr>
            <w:color w:val="1155CC"/>
            <w:u w:val="single"/>
          </w:rPr>
          <w:t>Marine Stewardship Council</w:t>
        </w:r>
      </w:hyperlink>
      <w:r>
        <w:t xml:space="preserve"> and the </w:t>
      </w:r>
      <w:hyperlink r:id="rId8">
        <w:r>
          <w:rPr>
            <w:color w:val="1155CC"/>
            <w:u w:val="single"/>
          </w:rPr>
          <w:t>Responsible Fisheries Management Certification Program</w:t>
        </w:r>
      </w:hyperlink>
      <w:r>
        <w:t>, and seafood products from Alaska are often held out as sustainably harvested. In addition, the Council has led the creation of the Bering Sea  and Aleu</w:t>
      </w:r>
      <w:r>
        <w:t xml:space="preserve">tian Islands Fishery Ecosystem Plans (FEP), an ecosystem vision statement, and the Arctic Fishery Management Plan. </w:t>
      </w:r>
    </w:p>
    <w:p w14:paraId="4F72879F" w14:textId="77777777" w:rsidR="005A724B" w:rsidRDefault="005D2FFE">
      <w:r>
        <w:t>In furthering this work, the Council has prioritized finding ways to create resilience and adaptation in the face of rapidly changing climat</w:t>
      </w:r>
      <w:r>
        <w:t>e. The rapid changes in the Bering Sea have been documented elsewhere, are summarized in the Task Force’s workplan, and will not be repeated here. These rapid, and often unanticipated changes create substantial challenges for managers, commercial fisheries</w:t>
      </w:r>
      <w:r>
        <w:t xml:space="preserve">, and subsistence and others who depend on ocean resources. </w:t>
      </w:r>
    </w:p>
    <w:p w14:paraId="77C9AF75" w14:textId="77777777" w:rsidR="005A724B" w:rsidRDefault="005D2FFE">
      <w:r>
        <w:t>As explained in more detail below, despite the advances made by the Council, there are not always tools available to respond to those changes. In some part, this challenge can be attributed to th</w:t>
      </w:r>
      <w:r>
        <w:t xml:space="preserve">e system described above. The MSA and the Council’s rulemaking and policy processes were created at a time when climate change was not considered a significant threat. In fact, the phrase “climate change” appears nowhere in the MSA. Similarly, even though </w:t>
      </w:r>
      <w:r>
        <w:t>it has substantial advantages, the current ecosystem-based fishery management (EBFM) framework in Alaska was not established to address climate change directly (</w:t>
      </w:r>
      <w:proofErr w:type="spellStart"/>
      <w:r>
        <w:t>Holsman</w:t>
      </w:r>
      <w:proofErr w:type="spellEnd"/>
      <w:r>
        <w:t xml:space="preserve"> et al., 2020).</w:t>
      </w:r>
    </w:p>
    <w:p w14:paraId="0F5D0D66" w14:textId="77777777" w:rsidR="005A724B" w:rsidRDefault="005D2FFE">
      <w:r>
        <w:lastRenderedPageBreak/>
        <w:t>The remainder of this report focuses on the manner in which measures und</w:t>
      </w:r>
      <w:r>
        <w:t>er existing management, within the system described above, provide–or do not–flexibility to adapt to rapid or unexpected changes in the marine environment  The evaluation in this paper is intended to  provide a backdrop for discussion about how climate iss</w:t>
      </w:r>
      <w:r>
        <w:t>ues and management measures could be considered in the Council’s decision making process.  This paper is not intended to provide a comprehensive description of every management measure nor to suggest specific changes in management, but rather to start buil</w:t>
      </w:r>
      <w:r>
        <w:t xml:space="preserve">ding a framework from which to examine climate adaptations.  </w:t>
      </w:r>
    </w:p>
    <w:p w14:paraId="7FD7B920" w14:textId="77777777" w:rsidR="005A724B" w:rsidRDefault="005D2FFE">
      <w:pPr>
        <w:pStyle w:val="Heading3"/>
      </w:pPr>
      <w:bookmarkStart w:id="13" w:name="_9pg9w7af4isb" w:colFirst="0" w:colLast="0"/>
      <w:bookmarkEnd w:id="13"/>
      <w:r>
        <w:t xml:space="preserve">Selected management provisions to prevent or address fisheries vulnerability and more static measures that are less flexible </w:t>
      </w:r>
      <w:r>
        <w:t xml:space="preserve"> </w:t>
      </w:r>
    </w:p>
    <w:p w14:paraId="11E5EDE0" w14:textId="77777777" w:rsidR="005A724B" w:rsidRDefault="005D2FFE">
      <w:r>
        <w:t>Federal measures that govern the in-season management of the BSA</w:t>
      </w:r>
      <w:r>
        <w:t>I are implemented through  a complex set of</w:t>
      </w:r>
      <w:hyperlink r:id="rId9">
        <w:r>
          <w:rPr>
            <w:color w:val="1155CC"/>
            <w:u w:val="single"/>
          </w:rPr>
          <w:t xml:space="preserve"> regulations</w:t>
        </w:r>
      </w:hyperlink>
      <w:r>
        <w:t xml:space="preserve"> that have been developed through Council and agency pro</w:t>
      </w:r>
      <w:r>
        <w:t>cesses. These regulations form the backbone of fishery management and govern basic functions of the fisheries that include allowable catch limits, allocations, area closures and bycatch control measures, monitoring and data collection, seasons, community m</w:t>
      </w:r>
      <w:r>
        <w:t>easures, and provide for protected species and habitat. Some regulations are designed to provide flexibility to react to limited inter-annual variability in fishing activity or harvestable biomass while others have been put into place to address specific c</w:t>
      </w:r>
      <w:r>
        <w:t xml:space="preserve">oncerns and management objectives; these latter measures may prove less flexible to changes in stock status or environmental changes. </w:t>
      </w:r>
    </w:p>
    <w:p w14:paraId="3CE3578F" w14:textId="77777777" w:rsidR="005A724B" w:rsidRDefault="005D2FFE">
      <w:r>
        <w:t>Climate change adaptation will require developing methods to assess and improve elasticity in Bering Sea fishery manageme</w:t>
      </w:r>
      <w:r>
        <w:t>nt systems to respond to climate changes and shocks. As shown in Table 1.2, a wide variety of regulatory actions govern fisheries in the BSAI. These regulatory measures rely on scientific and MSA processes used to establish stock status, Allowable Biologic</w:t>
      </w:r>
      <w:r>
        <w:t>al Catches (ABC), and Overfishing Levels (OFL) (cite document</w:t>
      </w:r>
      <w:r>
        <w:t xml:space="preserve">). Thus, there is likely some resilience built into the current management system (e.g., </w:t>
      </w:r>
      <w:proofErr w:type="spellStart"/>
      <w:r>
        <w:t>Holsman</w:t>
      </w:r>
      <w:proofErr w:type="spellEnd"/>
      <w:r>
        <w:t xml:space="preserve"> et al. 2021); however, the degree to which the current in-season regulations may be leveraged to mitigate climate impacts has not been investigated. This is li</w:t>
      </w:r>
      <w:r>
        <w:t xml:space="preserve">kely a priority area of future research for the Council. </w:t>
      </w:r>
    </w:p>
    <w:p w14:paraId="78A2D0BA" w14:textId="77777777" w:rsidR="005A724B" w:rsidRDefault="005D2FFE">
      <w:r>
        <w:t xml:space="preserve">At a very high level, some general patterns can be identified from the current management environment (Table 1.2). For example, many types of management measures build off the harvest specification </w:t>
      </w:r>
      <w:r>
        <w:t>process (e.g., catch limits, PSC limits, ABC, and OFL).</w:t>
      </w:r>
      <w:r>
        <w:t xml:space="preserve"> This includes  species-specific allocations that are established via quota programs or managed in-season (e.g., Amendment 91, A-80, IFQ); spatial management measures (e.g., PSC management areas and associated limits and seasons); programs designed to prov</w:t>
      </w:r>
      <w:r>
        <w:t>ide harvest flexibility under the 2 Million OY and for quota management (e.g., flatfish flexibility and non-specified reserve). Other measures are outside of the harvest specification process and these provide specific controls over vessel, gear, areas, an</w:t>
      </w:r>
      <w:r>
        <w:t xml:space="preserve">d retention of species. Further, supporting many of these measures is a comprehensive fishery-dependent data collection and monitoring program (Section 3). </w:t>
      </w:r>
    </w:p>
    <w:p w14:paraId="192E703A" w14:textId="77777777" w:rsidR="005A724B" w:rsidRDefault="005D2FFE">
      <w:r>
        <w:t>Given the complexity and variety of measures, building resilience into the management system may re</w:t>
      </w:r>
      <w:r>
        <w:t xml:space="preserve">quire looking at the overall portfolio of management actions. This evaluation may show adaptive characteristics (i.e., flexibility and positive or neutral outcomes for participants) or </w:t>
      </w:r>
      <w:r>
        <w:lastRenderedPageBreak/>
        <w:t>maladaptive characteristics (e.g., negative outcomes), some of which ar</w:t>
      </w:r>
      <w:r>
        <w:t>e only identified if interactions among components of the regulatory system are considered (e.g., spatial management area with competing objectives). For example, flatfish exchanges and non-specified reserves provide flexibility to meet both ecosystem cons</w:t>
      </w:r>
      <w:r>
        <w:t>traints (i.e., 2 million OY) and market variability (Table 1.2). Further, some management measures, such as cooperative development and data sharing, leverage regulations to improve the fleets ability to address specific management objectives such as bycat</w:t>
      </w:r>
      <w:r>
        <w:t>ch avoidance (e.g., rolling hotspot closures), community access to marine resources and food security (e.g., CDQ, processor quota shares). Gaps in management response may also exist, particularly in situations where stocks are driven to extremes due to cli</w:t>
      </w:r>
      <w:r>
        <w:t>mate shocks, resulting in direct loss of fishing opportunity for marine fishery participants or issues that impact participants in multiple sectors (e.g., large sablefish recruitment events, Bering Sea snow crab population decline, GOA Pacific cod decline)</w:t>
      </w:r>
      <w:r>
        <w:t xml:space="preserve">. </w:t>
      </w:r>
    </w:p>
    <w:p w14:paraId="25940FE7" w14:textId="77777777" w:rsidR="005A724B" w:rsidRDefault="005D2FFE">
      <w:pPr>
        <w:pStyle w:val="Heading3"/>
      </w:pPr>
      <w:bookmarkStart w:id="14" w:name="_px3eat1ab5lx" w:colFirst="0" w:colLast="0"/>
      <w:bookmarkEnd w:id="14"/>
      <w:r>
        <w:t>Potential Future Work</w:t>
      </w:r>
    </w:p>
    <w:p w14:paraId="3C32D88D" w14:textId="77777777" w:rsidR="005A724B" w:rsidRDefault="005D2FFE">
      <w:r>
        <w:t xml:space="preserve">As previously discussed, this report is not intended to be a comprehensive overview of all management measures in the BSAI. Future work could create a set of metrics that provide measures of climate resilience across management </w:t>
      </w:r>
      <w:r>
        <w:t>actions and, potentially, climate warming scenarios. These key metrics could provide detail that better ties management actions to adaptation, maladaptation, limits to adaptation, and amount of adaptive flexibility relative to anticipated climate outcomes.</w:t>
      </w:r>
      <w:r>
        <w:t xml:space="preserve"> In addition, time scales related to management response could also be considered such that some events may require a large and rapid response (e.g., heat waves), whereas other events may be slow to develop and offer a longer lead-in period for management </w:t>
      </w:r>
      <w:r>
        <w:t xml:space="preserve">response (e.g., movement of core stock areas). </w:t>
      </w:r>
    </w:p>
    <w:p w14:paraId="05AA6594" w14:textId="77777777" w:rsidR="005A724B" w:rsidRDefault="005A724B">
      <w:pPr>
        <w:pStyle w:val="Heading5"/>
        <w:sectPr w:rsidR="005A724B">
          <w:headerReference w:type="default" r:id="rId10"/>
          <w:headerReference w:type="first" r:id="rId11"/>
          <w:pgSz w:w="12240" w:h="15840"/>
          <w:pgMar w:top="1440" w:right="1440" w:bottom="1440" w:left="1440" w:header="720" w:footer="720" w:gutter="0"/>
          <w:pgNumType w:start="1"/>
          <w:cols w:space="720"/>
          <w:titlePg/>
        </w:sectPr>
      </w:pPr>
      <w:bookmarkStart w:id="15" w:name="_7cnyy969rkgu" w:colFirst="0" w:colLast="0"/>
      <w:bookmarkEnd w:id="15"/>
    </w:p>
    <w:p w14:paraId="750795C3" w14:textId="77777777" w:rsidR="005A724B" w:rsidRDefault="005D2FFE">
      <w:pPr>
        <w:pStyle w:val="Heading5"/>
      </w:pPr>
      <w:bookmarkStart w:id="16" w:name="_22jdqsj0vlwm" w:colFirst="0" w:colLast="0"/>
      <w:bookmarkEnd w:id="16"/>
      <w:r>
        <w:lastRenderedPageBreak/>
        <w:t>Table 1.2.  Management measures and potential strengths and weaknesses.  (See Also Figure 1.2 for a snapshot of associated area closures.)</w:t>
      </w:r>
    </w:p>
    <w:p w14:paraId="3F09401E" w14:textId="77777777" w:rsidR="005A724B" w:rsidRDefault="005A724B"/>
    <w:tbl>
      <w:tblPr>
        <w:tblStyle w:val="a0"/>
        <w:tblW w:w="12630" w:type="dxa"/>
        <w:tblLayout w:type="fixed"/>
        <w:tblLook w:val="0600" w:firstRow="0" w:lastRow="0" w:firstColumn="0" w:lastColumn="0" w:noHBand="1" w:noVBand="1"/>
      </w:tblPr>
      <w:tblGrid>
        <w:gridCol w:w="1350"/>
        <w:gridCol w:w="1665"/>
        <w:gridCol w:w="1515"/>
        <w:gridCol w:w="1470"/>
        <w:gridCol w:w="1590"/>
        <w:gridCol w:w="1785"/>
        <w:gridCol w:w="1620"/>
        <w:gridCol w:w="1635"/>
      </w:tblGrid>
      <w:tr w:rsidR="005A724B" w14:paraId="13E7998D" w14:textId="77777777">
        <w:trPr>
          <w:trHeight w:val="420"/>
        </w:trPr>
        <w:tc>
          <w:tcPr>
            <w:tcW w:w="1350" w:type="dxa"/>
            <w:vMerge w:val="restart"/>
            <w:shd w:val="clear" w:color="auto" w:fill="auto"/>
            <w:tcMar>
              <w:top w:w="100" w:type="dxa"/>
              <w:left w:w="100" w:type="dxa"/>
              <w:bottom w:w="100" w:type="dxa"/>
              <w:right w:w="100" w:type="dxa"/>
            </w:tcMar>
          </w:tcPr>
          <w:p w14:paraId="60ED967D" w14:textId="77777777" w:rsidR="005A724B" w:rsidRDefault="005A724B">
            <w:pPr>
              <w:widowControl w:val="0"/>
              <w:spacing w:line="240" w:lineRule="auto"/>
              <w:rPr>
                <w:sz w:val="20"/>
                <w:szCs w:val="20"/>
              </w:rPr>
            </w:pPr>
          </w:p>
        </w:tc>
        <w:tc>
          <w:tcPr>
            <w:tcW w:w="11280" w:type="dxa"/>
            <w:gridSpan w:val="7"/>
            <w:shd w:val="clear" w:color="auto" w:fill="CFE2F3"/>
            <w:tcMar>
              <w:top w:w="100" w:type="dxa"/>
              <w:left w:w="100" w:type="dxa"/>
              <w:bottom w:w="100" w:type="dxa"/>
              <w:right w:w="100" w:type="dxa"/>
            </w:tcMar>
          </w:tcPr>
          <w:p w14:paraId="15B32037" w14:textId="77777777" w:rsidR="005A724B" w:rsidRDefault="005D2FFE">
            <w:pPr>
              <w:widowControl w:val="0"/>
              <w:spacing w:line="240" w:lineRule="auto"/>
              <w:jc w:val="center"/>
              <w:rPr>
                <w:b/>
                <w:sz w:val="24"/>
                <w:szCs w:val="24"/>
              </w:rPr>
            </w:pPr>
            <w:r>
              <w:rPr>
                <w:b/>
                <w:sz w:val="24"/>
                <w:szCs w:val="24"/>
              </w:rPr>
              <w:t>Management Measures</w:t>
            </w:r>
          </w:p>
        </w:tc>
      </w:tr>
      <w:tr w:rsidR="005A724B" w14:paraId="58585FE9" w14:textId="77777777">
        <w:trPr>
          <w:trHeight w:val="400"/>
        </w:trPr>
        <w:tc>
          <w:tcPr>
            <w:tcW w:w="1350" w:type="dxa"/>
            <w:vMerge/>
            <w:shd w:val="clear" w:color="auto" w:fill="auto"/>
            <w:tcMar>
              <w:top w:w="100" w:type="dxa"/>
              <w:left w:w="100" w:type="dxa"/>
              <w:bottom w:w="100" w:type="dxa"/>
              <w:right w:w="100" w:type="dxa"/>
            </w:tcMar>
          </w:tcPr>
          <w:p w14:paraId="36FA7936" w14:textId="77777777" w:rsidR="005A724B" w:rsidRDefault="005A724B">
            <w:pPr>
              <w:widowControl w:val="0"/>
              <w:spacing w:line="240" w:lineRule="auto"/>
              <w:rPr>
                <w:b/>
                <w:sz w:val="20"/>
                <w:szCs w:val="20"/>
              </w:rPr>
            </w:pPr>
          </w:p>
        </w:tc>
        <w:tc>
          <w:tcPr>
            <w:tcW w:w="1665" w:type="dxa"/>
            <w:shd w:val="clear" w:color="auto" w:fill="9FC5E8"/>
            <w:tcMar>
              <w:top w:w="100" w:type="dxa"/>
              <w:left w:w="100" w:type="dxa"/>
              <w:bottom w:w="100" w:type="dxa"/>
              <w:right w:w="100" w:type="dxa"/>
            </w:tcMar>
          </w:tcPr>
          <w:p w14:paraId="4208CEEE" w14:textId="77777777" w:rsidR="005A724B" w:rsidRDefault="005D2FFE">
            <w:pPr>
              <w:widowControl w:val="0"/>
              <w:spacing w:line="240" w:lineRule="auto"/>
              <w:jc w:val="left"/>
              <w:rPr>
                <w:b/>
                <w:sz w:val="20"/>
                <w:szCs w:val="20"/>
              </w:rPr>
            </w:pPr>
            <w:r>
              <w:rPr>
                <w:b/>
                <w:sz w:val="20"/>
                <w:szCs w:val="20"/>
              </w:rPr>
              <w:t>Special Area Management</w:t>
            </w:r>
          </w:p>
        </w:tc>
        <w:tc>
          <w:tcPr>
            <w:tcW w:w="1515" w:type="dxa"/>
            <w:shd w:val="clear" w:color="auto" w:fill="9FC5E8"/>
            <w:tcMar>
              <w:top w:w="100" w:type="dxa"/>
              <w:left w:w="100" w:type="dxa"/>
              <w:bottom w:w="100" w:type="dxa"/>
              <w:right w:w="100" w:type="dxa"/>
            </w:tcMar>
          </w:tcPr>
          <w:p w14:paraId="66F750C8" w14:textId="77777777" w:rsidR="005A724B" w:rsidRDefault="005D2FFE">
            <w:pPr>
              <w:widowControl w:val="0"/>
              <w:spacing w:line="240" w:lineRule="auto"/>
              <w:jc w:val="left"/>
              <w:rPr>
                <w:b/>
                <w:sz w:val="20"/>
                <w:szCs w:val="20"/>
              </w:rPr>
            </w:pPr>
            <w:r>
              <w:rPr>
                <w:b/>
                <w:sz w:val="20"/>
                <w:szCs w:val="20"/>
              </w:rPr>
              <w:t>Quota Programs</w:t>
            </w:r>
          </w:p>
        </w:tc>
        <w:tc>
          <w:tcPr>
            <w:tcW w:w="1470" w:type="dxa"/>
            <w:shd w:val="clear" w:color="auto" w:fill="9FC5E8"/>
            <w:tcMar>
              <w:top w:w="100" w:type="dxa"/>
              <w:left w:w="100" w:type="dxa"/>
              <w:bottom w:w="100" w:type="dxa"/>
              <w:right w:w="100" w:type="dxa"/>
            </w:tcMar>
          </w:tcPr>
          <w:p w14:paraId="38E2FE12" w14:textId="77777777" w:rsidR="005A724B" w:rsidRDefault="005D2FFE">
            <w:pPr>
              <w:widowControl w:val="0"/>
              <w:spacing w:line="240" w:lineRule="auto"/>
              <w:jc w:val="left"/>
              <w:rPr>
                <w:b/>
                <w:sz w:val="20"/>
                <w:szCs w:val="20"/>
              </w:rPr>
            </w:pPr>
            <w:r>
              <w:rPr>
                <w:b/>
                <w:sz w:val="20"/>
                <w:szCs w:val="20"/>
              </w:rPr>
              <w:t>Seasonal Allocations in Regulation</w:t>
            </w:r>
          </w:p>
        </w:tc>
        <w:tc>
          <w:tcPr>
            <w:tcW w:w="1590" w:type="dxa"/>
            <w:shd w:val="clear" w:color="auto" w:fill="9FC5E8"/>
            <w:tcMar>
              <w:top w:w="100" w:type="dxa"/>
              <w:left w:w="100" w:type="dxa"/>
              <w:bottom w:w="100" w:type="dxa"/>
              <w:right w:w="100" w:type="dxa"/>
            </w:tcMar>
          </w:tcPr>
          <w:p w14:paraId="7739C437" w14:textId="77777777" w:rsidR="005A724B" w:rsidRDefault="005D2FFE">
            <w:pPr>
              <w:widowControl w:val="0"/>
              <w:spacing w:line="240" w:lineRule="auto"/>
              <w:jc w:val="left"/>
              <w:rPr>
                <w:b/>
                <w:sz w:val="20"/>
                <w:szCs w:val="20"/>
              </w:rPr>
            </w:pPr>
            <w:r>
              <w:rPr>
                <w:b/>
                <w:sz w:val="20"/>
                <w:szCs w:val="20"/>
              </w:rPr>
              <w:t>Gear/Vessel/ Retention Restrictions</w:t>
            </w:r>
          </w:p>
        </w:tc>
        <w:tc>
          <w:tcPr>
            <w:tcW w:w="1785" w:type="dxa"/>
            <w:shd w:val="clear" w:color="auto" w:fill="9FC5E8"/>
            <w:tcMar>
              <w:top w:w="100" w:type="dxa"/>
              <w:left w:w="100" w:type="dxa"/>
              <w:bottom w:w="100" w:type="dxa"/>
              <w:right w:w="100" w:type="dxa"/>
            </w:tcMar>
          </w:tcPr>
          <w:p w14:paraId="7E295D59" w14:textId="77777777" w:rsidR="005A724B" w:rsidRDefault="005D2FFE">
            <w:pPr>
              <w:widowControl w:val="0"/>
              <w:spacing w:line="240" w:lineRule="auto"/>
              <w:jc w:val="left"/>
              <w:rPr>
                <w:b/>
                <w:sz w:val="20"/>
                <w:szCs w:val="20"/>
              </w:rPr>
            </w:pPr>
            <w:r>
              <w:rPr>
                <w:b/>
                <w:sz w:val="20"/>
                <w:szCs w:val="20"/>
              </w:rPr>
              <w:t>TAC Adjustments/ Exchanges</w:t>
            </w:r>
          </w:p>
        </w:tc>
        <w:tc>
          <w:tcPr>
            <w:tcW w:w="1620" w:type="dxa"/>
            <w:shd w:val="clear" w:color="auto" w:fill="9FC5E8"/>
            <w:tcMar>
              <w:top w:w="100" w:type="dxa"/>
              <w:left w:w="100" w:type="dxa"/>
              <w:bottom w:w="100" w:type="dxa"/>
              <w:right w:w="100" w:type="dxa"/>
            </w:tcMar>
          </w:tcPr>
          <w:p w14:paraId="13EF2AC7" w14:textId="77777777" w:rsidR="005A724B" w:rsidRDefault="005D2FFE">
            <w:pPr>
              <w:widowControl w:val="0"/>
              <w:spacing w:line="240" w:lineRule="auto"/>
              <w:jc w:val="left"/>
              <w:rPr>
                <w:b/>
                <w:sz w:val="20"/>
                <w:szCs w:val="20"/>
              </w:rPr>
            </w:pPr>
            <w:r>
              <w:rPr>
                <w:b/>
                <w:sz w:val="20"/>
                <w:szCs w:val="20"/>
              </w:rPr>
              <w:t>Data Integration</w:t>
            </w:r>
          </w:p>
        </w:tc>
        <w:tc>
          <w:tcPr>
            <w:tcW w:w="1635" w:type="dxa"/>
            <w:shd w:val="clear" w:color="auto" w:fill="9FC5E8"/>
            <w:tcMar>
              <w:top w:w="100" w:type="dxa"/>
              <w:left w:w="100" w:type="dxa"/>
              <w:bottom w:w="100" w:type="dxa"/>
              <w:right w:w="100" w:type="dxa"/>
            </w:tcMar>
          </w:tcPr>
          <w:p w14:paraId="5948C91E" w14:textId="77777777" w:rsidR="005A724B" w:rsidRDefault="005D2FFE">
            <w:pPr>
              <w:widowControl w:val="0"/>
              <w:spacing w:line="240" w:lineRule="auto"/>
              <w:jc w:val="left"/>
              <w:rPr>
                <w:b/>
                <w:sz w:val="20"/>
                <w:szCs w:val="20"/>
              </w:rPr>
            </w:pPr>
            <w:r>
              <w:rPr>
                <w:b/>
                <w:sz w:val="20"/>
                <w:szCs w:val="20"/>
              </w:rPr>
              <w:t>Industry-led Measures</w:t>
            </w:r>
          </w:p>
        </w:tc>
      </w:tr>
      <w:tr w:rsidR="005A724B" w14:paraId="0C44811A" w14:textId="77777777">
        <w:tc>
          <w:tcPr>
            <w:tcW w:w="1350" w:type="dxa"/>
            <w:shd w:val="clear" w:color="auto" w:fill="D9EAD3"/>
            <w:tcMar>
              <w:top w:w="100" w:type="dxa"/>
              <w:left w:w="100" w:type="dxa"/>
              <w:bottom w:w="100" w:type="dxa"/>
              <w:right w:w="100" w:type="dxa"/>
            </w:tcMar>
          </w:tcPr>
          <w:p w14:paraId="51644995" w14:textId="77777777" w:rsidR="005A724B" w:rsidRDefault="005D2FFE">
            <w:pPr>
              <w:widowControl w:val="0"/>
              <w:spacing w:line="240" w:lineRule="auto"/>
              <w:jc w:val="left"/>
              <w:rPr>
                <w:b/>
                <w:sz w:val="20"/>
                <w:szCs w:val="20"/>
              </w:rPr>
            </w:pPr>
            <w:r>
              <w:rPr>
                <w:b/>
                <w:sz w:val="20"/>
                <w:szCs w:val="20"/>
              </w:rPr>
              <w:t>Types of</w:t>
            </w:r>
            <w:r>
              <w:rPr>
                <w:b/>
                <w:sz w:val="20"/>
                <w:szCs w:val="20"/>
              </w:rPr>
              <w:t xml:space="preserve"> actions </w:t>
            </w:r>
          </w:p>
        </w:tc>
        <w:tc>
          <w:tcPr>
            <w:tcW w:w="1665" w:type="dxa"/>
            <w:shd w:val="clear" w:color="auto" w:fill="auto"/>
            <w:tcMar>
              <w:top w:w="100" w:type="dxa"/>
              <w:left w:w="100" w:type="dxa"/>
              <w:bottom w:w="100" w:type="dxa"/>
              <w:right w:w="100" w:type="dxa"/>
            </w:tcMar>
          </w:tcPr>
          <w:p w14:paraId="0F67AE1A" w14:textId="77777777" w:rsidR="005A724B" w:rsidRDefault="005D2FFE">
            <w:pPr>
              <w:widowControl w:val="0"/>
              <w:spacing w:line="240" w:lineRule="auto"/>
              <w:jc w:val="left"/>
              <w:rPr>
                <w:color w:val="134F5C"/>
                <w:sz w:val="20"/>
                <w:szCs w:val="20"/>
              </w:rPr>
            </w:pPr>
            <w:r>
              <w:rPr>
                <w:color w:val="134F5C"/>
                <w:sz w:val="20"/>
                <w:szCs w:val="20"/>
              </w:rPr>
              <w:t>Protects critical habitat (e.g., skate nurseries, coral areas)</w:t>
            </w:r>
          </w:p>
          <w:p w14:paraId="178ECE2D" w14:textId="77777777" w:rsidR="005A724B" w:rsidRDefault="005D2FFE">
            <w:pPr>
              <w:widowControl w:val="0"/>
              <w:spacing w:line="240" w:lineRule="auto"/>
              <w:jc w:val="left"/>
              <w:rPr>
                <w:color w:val="134F5C"/>
                <w:sz w:val="20"/>
                <w:szCs w:val="20"/>
              </w:rPr>
            </w:pPr>
            <w:r>
              <w:rPr>
                <w:color w:val="134F5C"/>
                <w:sz w:val="20"/>
                <w:szCs w:val="20"/>
              </w:rPr>
              <w:t xml:space="preserve">Bycatch control/protection measures: </w:t>
            </w:r>
          </w:p>
          <w:p w14:paraId="5C8846B3" w14:textId="77777777" w:rsidR="005A724B" w:rsidRDefault="005D2FFE">
            <w:pPr>
              <w:widowControl w:val="0"/>
              <w:spacing w:line="240" w:lineRule="auto"/>
              <w:jc w:val="left"/>
              <w:rPr>
                <w:b/>
                <w:color w:val="134F5C"/>
                <w:sz w:val="20"/>
                <w:szCs w:val="20"/>
              </w:rPr>
            </w:pPr>
            <w:r>
              <w:rPr>
                <w:b/>
                <w:color w:val="134F5C"/>
                <w:sz w:val="20"/>
                <w:szCs w:val="20"/>
              </w:rPr>
              <w:t xml:space="preserve">Salmon/Herring savings areas - winter/ summer </w:t>
            </w:r>
            <w:hyperlink r:id="rId12">
              <w:r>
                <w:rPr>
                  <w:b/>
                  <w:color w:val="134F5C"/>
                  <w:sz w:val="20"/>
                  <w:szCs w:val="20"/>
                </w:rPr>
                <w:t>herring areas</w:t>
              </w:r>
            </w:hyperlink>
            <w:r>
              <w:rPr>
                <w:b/>
                <w:color w:val="134F5C"/>
                <w:sz w:val="20"/>
                <w:szCs w:val="20"/>
              </w:rPr>
              <w:t>)</w:t>
            </w:r>
          </w:p>
          <w:p w14:paraId="730D1D43" w14:textId="77777777" w:rsidR="005A724B" w:rsidRDefault="005D2FFE">
            <w:pPr>
              <w:widowControl w:val="0"/>
              <w:spacing w:line="240" w:lineRule="auto"/>
              <w:jc w:val="left"/>
              <w:rPr>
                <w:color w:val="134F5C"/>
                <w:sz w:val="20"/>
                <w:szCs w:val="20"/>
              </w:rPr>
            </w:pPr>
            <w:r>
              <w:rPr>
                <w:color w:val="134F5C"/>
                <w:sz w:val="20"/>
                <w:szCs w:val="20"/>
              </w:rPr>
              <w:t xml:space="preserve">CVOA limits and AFA CP restriction in B season. </w:t>
            </w:r>
          </w:p>
          <w:p w14:paraId="5928842E" w14:textId="77777777" w:rsidR="005A724B" w:rsidRDefault="005D2FFE">
            <w:pPr>
              <w:widowControl w:val="0"/>
              <w:spacing w:line="240" w:lineRule="auto"/>
              <w:jc w:val="left"/>
              <w:rPr>
                <w:color w:val="134F5C"/>
                <w:sz w:val="20"/>
                <w:szCs w:val="20"/>
              </w:rPr>
            </w:pPr>
            <w:r>
              <w:rPr>
                <w:color w:val="134F5C"/>
                <w:sz w:val="20"/>
                <w:szCs w:val="20"/>
              </w:rPr>
              <w:t>PHCZ, NBSRA, Walrus Islands, etc.</w:t>
            </w:r>
          </w:p>
          <w:p w14:paraId="0263C7D5" w14:textId="77777777" w:rsidR="005A724B" w:rsidRDefault="005D2FFE">
            <w:pPr>
              <w:widowControl w:val="0"/>
              <w:spacing w:line="240" w:lineRule="auto"/>
              <w:jc w:val="left"/>
              <w:rPr>
                <w:b/>
                <w:color w:val="134F5C"/>
                <w:sz w:val="20"/>
                <w:szCs w:val="20"/>
              </w:rPr>
            </w:pPr>
            <w:r>
              <w:rPr>
                <w:b/>
                <w:color w:val="134F5C"/>
                <w:sz w:val="20"/>
                <w:szCs w:val="20"/>
              </w:rPr>
              <w:lastRenderedPageBreak/>
              <w:t>RKCSA</w:t>
            </w:r>
          </w:p>
          <w:p w14:paraId="48F5F82A" w14:textId="77777777" w:rsidR="005A724B" w:rsidRDefault="005D2FFE">
            <w:pPr>
              <w:widowControl w:val="0"/>
              <w:spacing w:line="240" w:lineRule="auto"/>
              <w:jc w:val="left"/>
              <w:rPr>
                <w:color w:val="134F5C"/>
                <w:sz w:val="20"/>
                <w:szCs w:val="20"/>
              </w:rPr>
            </w:pPr>
            <w:r>
              <w:rPr>
                <w:color w:val="134F5C"/>
                <w:sz w:val="20"/>
                <w:szCs w:val="20"/>
              </w:rPr>
              <w:t>Zones 1 and 2</w:t>
            </w:r>
          </w:p>
          <w:p w14:paraId="1F3E4F89" w14:textId="77777777" w:rsidR="005A724B" w:rsidRDefault="005D2FFE">
            <w:pPr>
              <w:widowControl w:val="0"/>
              <w:spacing w:line="240" w:lineRule="auto"/>
              <w:jc w:val="left"/>
              <w:rPr>
                <w:color w:val="134F5C"/>
                <w:sz w:val="20"/>
                <w:szCs w:val="20"/>
              </w:rPr>
            </w:pPr>
            <w:r>
              <w:rPr>
                <w:color w:val="134F5C"/>
                <w:sz w:val="20"/>
                <w:szCs w:val="20"/>
              </w:rPr>
              <w:t>SSL and other area protec</w:t>
            </w:r>
            <w:r>
              <w:rPr>
                <w:color w:val="134F5C"/>
                <w:sz w:val="20"/>
                <w:szCs w:val="20"/>
              </w:rPr>
              <w:t>tion measures</w:t>
            </w:r>
          </w:p>
        </w:tc>
        <w:tc>
          <w:tcPr>
            <w:tcW w:w="1515" w:type="dxa"/>
            <w:shd w:val="clear" w:color="auto" w:fill="auto"/>
            <w:tcMar>
              <w:top w:w="100" w:type="dxa"/>
              <w:left w:w="100" w:type="dxa"/>
              <w:bottom w:w="100" w:type="dxa"/>
              <w:right w:w="100" w:type="dxa"/>
            </w:tcMar>
          </w:tcPr>
          <w:p w14:paraId="347DF0F2" w14:textId="77777777" w:rsidR="005A724B" w:rsidRDefault="005D2FFE">
            <w:pPr>
              <w:widowControl w:val="0"/>
              <w:spacing w:line="240" w:lineRule="auto"/>
              <w:jc w:val="left"/>
              <w:rPr>
                <w:b/>
                <w:color w:val="134F5C"/>
                <w:sz w:val="20"/>
                <w:szCs w:val="20"/>
              </w:rPr>
            </w:pPr>
            <w:r>
              <w:rPr>
                <w:b/>
                <w:color w:val="134F5C"/>
                <w:sz w:val="20"/>
                <w:szCs w:val="20"/>
              </w:rPr>
              <w:lastRenderedPageBreak/>
              <w:t>IFQ/CDQ/A-80,AFA, P-cod LAPP groundfish allocations</w:t>
            </w:r>
          </w:p>
          <w:p w14:paraId="5E9133E7" w14:textId="77777777" w:rsidR="005A724B" w:rsidRDefault="005D2FFE">
            <w:pPr>
              <w:widowControl w:val="0"/>
              <w:spacing w:line="240" w:lineRule="auto"/>
              <w:jc w:val="left"/>
              <w:rPr>
                <w:color w:val="134F5C"/>
                <w:sz w:val="20"/>
                <w:szCs w:val="20"/>
              </w:rPr>
            </w:pPr>
            <w:r>
              <w:rPr>
                <w:color w:val="134F5C"/>
                <w:sz w:val="20"/>
                <w:szCs w:val="20"/>
              </w:rPr>
              <w:t>Halibut  CDQ Reserve</w:t>
            </w:r>
          </w:p>
          <w:p w14:paraId="03810368" w14:textId="77777777" w:rsidR="005A724B" w:rsidRDefault="005D2FFE">
            <w:pPr>
              <w:widowControl w:val="0"/>
              <w:spacing w:line="240" w:lineRule="auto"/>
              <w:jc w:val="left"/>
              <w:rPr>
                <w:color w:val="134F5C"/>
                <w:sz w:val="20"/>
                <w:szCs w:val="20"/>
              </w:rPr>
            </w:pPr>
            <w:r>
              <w:rPr>
                <w:color w:val="134F5C"/>
                <w:sz w:val="20"/>
                <w:szCs w:val="20"/>
              </w:rPr>
              <w:t>PSC limits designed into some programs</w:t>
            </w:r>
          </w:p>
          <w:p w14:paraId="076C6222" w14:textId="77777777" w:rsidR="005A724B" w:rsidRDefault="005A724B">
            <w:pPr>
              <w:widowControl w:val="0"/>
              <w:spacing w:line="240" w:lineRule="auto"/>
              <w:jc w:val="left"/>
              <w:rPr>
                <w:color w:val="134F5C"/>
                <w:sz w:val="20"/>
                <w:szCs w:val="20"/>
              </w:rPr>
            </w:pPr>
          </w:p>
        </w:tc>
        <w:tc>
          <w:tcPr>
            <w:tcW w:w="1470" w:type="dxa"/>
            <w:shd w:val="clear" w:color="auto" w:fill="auto"/>
            <w:tcMar>
              <w:top w:w="100" w:type="dxa"/>
              <w:left w:w="100" w:type="dxa"/>
              <w:bottom w:w="100" w:type="dxa"/>
              <w:right w:w="100" w:type="dxa"/>
            </w:tcMar>
          </w:tcPr>
          <w:p w14:paraId="63FD726A" w14:textId="77777777" w:rsidR="005A724B" w:rsidRDefault="005D2FFE">
            <w:pPr>
              <w:widowControl w:val="0"/>
              <w:spacing w:line="240" w:lineRule="auto"/>
              <w:jc w:val="left"/>
              <w:rPr>
                <w:color w:val="134F5C"/>
                <w:sz w:val="20"/>
                <w:szCs w:val="20"/>
              </w:rPr>
            </w:pPr>
            <w:r>
              <w:rPr>
                <w:color w:val="134F5C"/>
                <w:sz w:val="20"/>
                <w:szCs w:val="20"/>
              </w:rPr>
              <w:t xml:space="preserve">Most seasons are SSL protection measures, some are halibut avoidance (May 1 </w:t>
            </w:r>
            <w:proofErr w:type="spellStart"/>
            <w:r>
              <w:rPr>
                <w:color w:val="134F5C"/>
                <w:sz w:val="20"/>
                <w:szCs w:val="20"/>
              </w:rPr>
              <w:t>arrowtooth</w:t>
            </w:r>
            <w:proofErr w:type="spellEnd"/>
            <w:r>
              <w:rPr>
                <w:color w:val="134F5C"/>
                <w:sz w:val="20"/>
                <w:szCs w:val="20"/>
              </w:rPr>
              <w:t xml:space="preserve">/ Kamchatka/ </w:t>
            </w:r>
            <w:proofErr w:type="spellStart"/>
            <w:r>
              <w:rPr>
                <w:color w:val="134F5C"/>
                <w:sz w:val="20"/>
                <w:szCs w:val="20"/>
              </w:rPr>
              <w:t>Gturbot</w:t>
            </w:r>
            <w:proofErr w:type="spellEnd"/>
            <w:r>
              <w:rPr>
                <w:color w:val="134F5C"/>
                <w:sz w:val="20"/>
                <w:szCs w:val="20"/>
              </w:rPr>
              <w:t>)</w:t>
            </w:r>
          </w:p>
          <w:p w14:paraId="0D1B31F7" w14:textId="77777777" w:rsidR="005A724B" w:rsidRDefault="005D2FFE">
            <w:pPr>
              <w:widowControl w:val="0"/>
              <w:spacing w:line="240" w:lineRule="auto"/>
              <w:jc w:val="left"/>
              <w:rPr>
                <w:b/>
                <w:color w:val="134F5C"/>
                <w:sz w:val="20"/>
                <w:szCs w:val="20"/>
              </w:rPr>
            </w:pPr>
            <w:r>
              <w:rPr>
                <w:b/>
                <w:color w:val="134F5C"/>
                <w:sz w:val="20"/>
                <w:szCs w:val="20"/>
              </w:rPr>
              <w:t>Sector reallocations (P-cod)</w:t>
            </w:r>
          </w:p>
          <w:p w14:paraId="675881F5" w14:textId="77777777" w:rsidR="005A724B" w:rsidRDefault="005D2FFE">
            <w:pPr>
              <w:widowControl w:val="0"/>
              <w:spacing w:line="240" w:lineRule="auto"/>
              <w:jc w:val="left"/>
              <w:rPr>
                <w:color w:val="134F5C"/>
                <w:sz w:val="20"/>
                <w:szCs w:val="20"/>
              </w:rPr>
            </w:pPr>
            <w:r>
              <w:rPr>
                <w:color w:val="134F5C"/>
                <w:sz w:val="20"/>
                <w:szCs w:val="20"/>
              </w:rPr>
              <w:t>AI pollock reallocation</w:t>
            </w:r>
          </w:p>
          <w:p w14:paraId="497E7ACE" w14:textId="77777777" w:rsidR="005A724B" w:rsidRDefault="005D2FFE">
            <w:pPr>
              <w:widowControl w:val="0"/>
              <w:spacing w:line="240" w:lineRule="auto"/>
              <w:jc w:val="left"/>
              <w:rPr>
                <w:color w:val="134F5C"/>
                <w:sz w:val="20"/>
                <w:szCs w:val="20"/>
              </w:rPr>
            </w:pPr>
            <w:r>
              <w:rPr>
                <w:color w:val="134F5C"/>
                <w:sz w:val="20"/>
                <w:szCs w:val="20"/>
              </w:rPr>
              <w:t xml:space="preserve">Seasonal PSC limits (i.e., April 1 for BSAI </w:t>
            </w:r>
            <w:proofErr w:type="spellStart"/>
            <w:r>
              <w:rPr>
                <w:color w:val="134F5C"/>
                <w:sz w:val="20"/>
                <w:szCs w:val="20"/>
              </w:rPr>
              <w:t>tlas</w:t>
            </w:r>
            <w:proofErr w:type="spellEnd"/>
            <w:r>
              <w:rPr>
                <w:color w:val="134F5C"/>
                <w:sz w:val="20"/>
                <w:szCs w:val="20"/>
              </w:rPr>
              <w:t>/rockfish)</w:t>
            </w:r>
          </w:p>
        </w:tc>
        <w:tc>
          <w:tcPr>
            <w:tcW w:w="1590" w:type="dxa"/>
            <w:shd w:val="clear" w:color="auto" w:fill="auto"/>
            <w:tcMar>
              <w:top w:w="100" w:type="dxa"/>
              <w:left w:w="100" w:type="dxa"/>
              <w:bottom w:w="100" w:type="dxa"/>
              <w:right w:w="100" w:type="dxa"/>
            </w:tcMar>
          </w:tcPr>
          <w:p w14:paraId="143A12C5" w14:textId="77777777" w:rsidR="005A724B" w:rsidRDefault="005D2FFE">
            <w:pPr>
              <w:widowControl w:val="0"/>
              <w:spacing w:line="240" w:lineRule="auto"/>
              <w:jc w:val="left"/>
              <w:rPr>
                <w:color w:val="134F5C"/>
                <w:sz w:val="20"/>
                <w:szCs w:val="20"/>
              </w:rPr>
            </w:pPr>
            <w:r>
              <w:rPr>
                <w:color w:val="134F5C"/>
                <w:sz w:val="20"/>
                <w:szCs w:val="20"/>
              </w:rPr>
              <w:t>Small boat fisheries in State waters</w:t>
            </w:r>
            <w:r>
              <w:rPr>
                <w:color w:val="134F5C"/>
                <w:sz w:val="20"/>
                <w:szCs w:val="20"/>
              </w:rPr>
              <w:t xml:space="preserve"> (e.g., &lt;58 ft state GHL)</w:t>
            </w:r>
          </w:p>
          <w:p w14:paraId="12EED28E" w14:textId="77777777" w:rsidR="005A724B" w:rsidRDefault="005D2FFE">
            <w:pPr>
              <w:widowControl w:val="0"/>
              <w:spacing w:line="240" w:lineRule="auto"/>
              <w:jc w:val="left"/>
              <w:rPr>
                <w:color w:val="134F5C"/>
                <w:sz w:val="20"/>
                <w:szCs w:val="20"/>
              </w:rPr>
            </w:pPr>
            <w:r>
              <w:rPr>
                <w:color w:val="134F5C"/>
                <w:sz w:val="20"/>
                <w:szCs w:val="20"/>
              </w:rPr>
              <w:t xml:space="preserve">Trawl gear modifications (i.e., elevated sweeps) </w:t>
            </w:r>
          </w:p>
          <w:p w14:paraId="6F1053E5" w14:textId="77777777" w:rsidR="005A724B" w:rsidRDefault="005D2FFE">
            <w:pPr>
              <w:widowControl w:val="0"/>
              <w:spacing w:line="240" w:lineRule="auto"/>
              <w:jc w:val="left"/>
              <w:rPr>
                <w:b/>
                <w:color w:val="134F5C"/>
                <w:sz w:val="20"/>
                <w:szCs w:val="20"/>
              </w:rPr>
            </w:pPr>
            <w:r>
              <w:rPr>
                <w:b/>
                <w:color w:val="134F5C"/>
                <w:sz w:val="20"/>
                <w:szCs w:val="20"/>
              </w:rPr>
              <w:t>Pot gear escape mechanisms</w:t>
            </w:r>
          </w:p>
          <w:p w14:paraId="606F6EE0" w14:textId="77777777" w:rsidR="005A724B" w:rsidRDefault="005D2FFE">
            <w:pPr>
              <w:widowControl w:val="0"/>
              <w:spacing w:line="240" w:lineRule="auto"/>
              <w:jc w:val="left"/>
              <w:rPr>
                <w:color w:val="134F5C"/>
                <w:sz w:val="20"/>
                <w:szCs w:val="20"/>
              </w:rPr>
            </w:pPr>
            <w:r>
              <w:rPr>
                <w:color w:val="134F5C"/>
                <w:sz w:val="20"/>
                <w:szCs w:val="20"/>
              </w:rPr>
              <w:t xml:space="preserve">Seabird deterrence </w:t>
            </w:r>
          </w:p>
          <w:p w14:paraId="2DFD7CCA" w14:textId="77777777" w:rsidR="005A724B" w:rsidRDefault="005D2FFE">
            <w:pPr>
              <w:widowControl w:val="0"/>
              <w:spacing w:line="240" w:lineRule="auto"/>
              <w:jc w:val="left"/>
              <w:rPr>
                <w:color w:val="134F5C"/>
                <w:sz w:val="20"/>
                <w:szCs w:val="20"/>
              </w:rPr>
            </w:pPr>
            <w:r>
              <w:rPr>
                <w:color w:val="134F5C"/>
                <w:sz w:val="20"/>
                <w:szCs w:val="20"/>
              </w:rPr>
              <w:t>Crab retention size limits</w:t>
            </w:r>
          </w:p>
          <w:p w14:paraId="70A91D0F" w14:textId="77777777" w:rsidR="005A724B" w:rsidRDefault="005D2FFE">
            <w:pPr>
              <w:widowControl w:val="0"/>
              <w:spacing w:line="240" w:lineRule="auto"/>
              <w:jc w:val="left"/>
              <w:rPr>
                <w:b/>
                <w:color w:val="134F5C"/>
                <w:sz w:val="20"/>
                <w:szCs w:val="20"/>
              </w:rPr>
            </w:pPr>
            <w:proofErr w:type="spellStart"/>
            <w:r>
              <w:rPr>
                <w:b/>
                <w:color w:val="134F5C"/>
                <w:sz w:val="20"/>
                <w:szCs w:val="20"/>
              </w:rPr>
              <w:t>Decksorting</w:t>
            </w:r>
            <w:proofErr w:type="spellEnd"/>
          </w:p>
        </w:tc>
        <w:tc>
          <w:tcPr>
            <w:tcW w:w="1785" w:type="dxa"/>
            <w:shd w:val="clear" w:color="auto" w:fill="auto"/>
            <w:tcMar>
              <w:top w:w="100" w:type="dxa"/>
              <w:left w:w="100" w:type="dxa"/>
              <w:bottom w:w="100" w:type="dxa"/>
              <w:right w:w="100" w:type="dxa"/>
            </w:tcMar>
          </w:tcPr>
          <w:p w14:paraId="22CCB3D3" w14:textId="77777777" w:rsidR="005A724B" w:rsidRDefault="005D2FFE">
            <w:pPr>
              <w:widowControl w:val="0"/>
              <w:spacing w:line="240" w:lineRule="auto"/>
              <w:jc w:val="left"/>
              <w:rPr>
                <w:color w:val="134F5C"/>
                <w:sz w:val="20"/>
                <w:szCs w:val="20"/>
              </w:rPr>
            </w:pPr>
            <w:r>
              <w:rPr>
                <w:color w:val="134F5C"/>
                <w:sz w:val="20"/>
                <w:szCs w:val="20"/>
              </w:rPr>
              <w:t>TAC and allocations specified  in regs (e.g., AI pollock, state-water cod)</w:t>
            </w:r>
          </w:p>
          <w:p w14:paraId="221B645F" w14:textId="77777777" w:rsidR="005A724B" w:rsidRDefault="005D2FFE">
            <w:pPr>
              <w:widowControl w:val="0"/>
              <w:spacing w:line="240" w:lineRule="auto"/>
              <w:jc w:val="left"/>
              <w:rPr>
                <w:color w:val="134F5C"/>
                <w:sz w:val="20"/>
                <w:szCs w:val="20"/>
              </w:rPr>
            </w:pPr>
            <w:r>
              <w:rPr>
                <w:color w:val="134F5C"/>
                <w:sz w:val="20"/>
                <w:szCs w:val="20"/>
              </w:rPr>
              <w:t>Reallocation rules</w:t>
            </w:r>
          </w:p>
          <w:p w14:paraId="0FE64544" w14:textId="77777777" w:rsidR="005A724B" w:rsidRDefault="005D2FFE">
            <w:pPr>
              <w:widowControl w:val="0"/>
              <w:spacing w:line="240" w:lineRule="auto"/>
              <w:jc w:val="left"/>
              <w:rPr>
                <w:b/>
                <w:color w:val="134F5C"/>
                <w:sz w:val="20"/>
                <w:szCs w:val="20"/>
              </w:rPr>
            </w:pPr>
            <w:r>
              <w:rPr>
                <w:b/>
                <w:color w:val="134F5C"/>
                <w:sz w:val="20"/>
                <w:szCs w:val="20"/>
              </w:rPr>
              <w:t>Flatfish exchange (Yellowfin, Flathead, Rock Sole)</w:t>
            </w:r>
          </w:p>
          <w:p w14:paraId="0FFBF063" w14:textId="77777777" w:rsidR="005A724B" w:rsidRDefault="005D2FFE">
            <w:pPr>
              <w:widowControl w:val="0"/>
              <w:spacing w:line="240" w:lineRule="auto"/>
              <w:jc w:val="left"/>
              <w:rPr>
                <w:color w:val="134F5C"/>
                <w:sz w:val="20"/>
                <w:szCs w:val="20"/>
                <w:u w:val="single"/>
              </w:rPr>
            </w:pPr>
            <w:r>
              <w:rPr>
                <w:color w:val="134F5C"/>
                <w:sz w:val="20"/>
                <w:szCs w:val="20"/>
                <w:u w:val="single"/>
              </w:rPr>
              <w:t>Set asides</w:t>
            </w:r>
          </w:p>
          <w:p w14:paraId="4F41BFA9" w14:textId="77777777" w:rsidR="005A724B" w:rsidRDefault="005D2FFE">
            <w:pPr>
              <w:widowControl w:val="0"/>
              <w:spacing w:line="240" w:lineRule="auto"/>
              <w:jc w:val="left"/>
              <w:rPr>
                <w:color w:val="134F5C"/>
                <w:sz w:val="20"/>
                <w:szCs w:val="20"/>
              </w:rPr>
            </w:pPr>
            <w:proofErr w:type="spellStart"/>
            <w:r>
              <w:rPr>
                <w:color w:val="134F5C"/>
                <w:sz w:val="20"/>
                <w:szCs w:val="20"/>
              </w:rPr>
              <w:t>Nonspecified</w:t>
            </w:r>
            <w:proofErr w:type="spellEnd"/>
            <w:r>
              <w:rPr>
                <w:color w:val="134F5C"/>
                <w:sz w:val="20"/>
                <w:szCs w:val="20"/>
              </w:rPr>
              <w:t xml:space="preserve"> reserves for </w:t>
            </w:r>
            <w:proofErr w:type="spellStart"/>
            <w:r>
              <w:rPr>
                <w:color w:val="134F5C"/>
                <w:sz w:val="20"/>
                <w:szCs w:val="20"/>
              </w:rPr>
              <w:t>non catch</w:t>
            </w:r>
            <w:proofErr w:type="spellEnd"/>
            <w:r>
              <w:rPr>
                <w:color w:val="134F5C"/>
                <w:sz w:val="20"/>
                <w:szCs w:val="20"/>
              </w:rPr>
              <w:t xml:space="preserve"> share species.</w:t>
            </w:r>
          </w:p>
          <w:p w14:paraId="28628AFE" w14:textId="77777777" w:rsidR="005A724B" w:rsidRDefault="005D2FFE">
            <w:pPr>
              <w:widowControl w:val="0"/>
              <w:spacing w:line="240" w:lineRule="auto"/>
              <w:jc w:val="left"/>
              <w:rPr>
                <w:color w:val="134F5C"/>
                <w:sz w:val="20"/>
                <w:szCs w:val="20"/>
              </w:rPr>
            </w:pPr>
            <w:r>
              <w:rPr>
                <w:color w:val="134F5C"/>
                <w:sz w:val="20"/>
                <w:szCs w:val="20"/>
              </w:rPr>
              <w:t xml:space="preserve">Incidental Catch Allowances </w:t>
            </w:r>
          </w:p>
          <w:p w14:paraId="677AE885" w14:textId="77777777" w:rsidR="005A724B" w:rsidRDefault="005D2FFE">
            <w:pPr>
              <w:widowControl w:val="0"/>
              <w:spacing w:line="240" w:lineRule="auto"/>
              <w:jc w:val="left"/>
              <w:rPr>
                <w:b/>
                <w:color w:val="134F5C"/>
                <w:sz w:val="20"/>
                <w:szCs w:val="20"/>
              </w:rPr>
            </w:pPr>
            <w:r>
              <w:rPr>
                <w:b/>
                <w:color w:val="134F5C"/>
                <w:sz w:val="20"/>
                <w:szCs w:val="20"/>
              </w:rPr>
              <w:lastRenderedPageBreak/>
              <w:t>2 million OY</w:t>
            </w:r>
          </w:p>
        </w:tc>
        <w:tc>
          <w:tcPr>
            <w:tcW w:w="1620" w:type="dxa"/>
            <w:shd w:val="clear" w:color="auto" w:fill="auto"/>
            <w:tcMar>
              <w:top w:w="100" w:type="dxa"/>
              <w:left w:w="100" w:type="dxa"/>
              <w:bottom w:w="100" w:type="dxa"/>
              <w:right w:w="100" w:type="dxa"/>
            </w:tcMar>
          </w:tcPr>
          <w:p w14:paraId="713723A2" w14:textId="77777777" w:rsidR="005A724B" w:rsidRDefault="005D2FFE">
            <w:pPr>
              <w:widowControl w:val="0"/>
              <w:spacing w:line="240" w:lineRule="auto"/>
              <w:jc w:val="left"/>
              <w:rPr>
                <w:color w:val="134F5C"/>
                <w:sz w:val="20"/>
                <w:szCs w:val="20"/>
              </w:rPr>
            </w:pPr>
            <w:r>
              <w:rPr>
                <w:color w:val="134F5C"/>
                <w:sz w:val="20"/>
                <w:szCs w:val="20"/>
              </w:rPr>
              <w:lastRenderedPageBreak/>
              <w:t xml:space="preserve">Comprehensive landings and monitoring programs (e.g., observer and EM monitoring, </w:t>
            </w:r>
            <w:proofErr w:type="spellStart"/>
            <w:r>
              <w:rPr>
                <w:color w:val="134F5C"/>
                <w:sz w:val="20"/>
                <w:szCs w:val="20"/>
              </w:rPr>
              <w:t>eLandings</w:t>
            </w:r>
            <w:proofErr w:type="spellEnd"/>
            <w:r>
              <w:rPr>
                <w:color w:val="134F5C"/>
                <w:sz w:val="20"/>
                <w:szCs w:val="20"/>
              </w:rPr>
              <w:t xml:space="preserve">, </w:t>
            </w:r>
            <w:proofErr w:type="spellStart"/>
            <w:r>
              <w:rPr>
                <w:color w:val="134F5C"/>
                <w:sz w:val="20"/>
                <w:szCs w:val="20"/>
              </w:rPr>
              <w:t>eFish</w:t>
            </w:r>
            <w:proofErr w:type="spellEnd"/>
            <w:r>
              <w:rPr>
                <w:color w:val="134F5C"/>
                <w:sz w:val="20"/>
                <w:szCs w:val="20"/>
              </w:rPr>
              <w:t>)</w:t>
            </w:r>
          </w:p>
          <w:p w14:paraId="6B5EFE93" w14:textId="77777777" w:rsidR="005A724B" w:rsidRDefault="005D2FFE">
            <w:pPr>
              <w:widowControl w:val="0"/>
              <w:spacing w:line="240" w:lineRule="auto"/>
              <w:jc w:val="left"/>
              <w:rPr>
                <w:b/>
                <w:color w:val="134F5C"/>
                <w:sz w:val="20"/>
                <w:szCs w:val="20"/>
              </w:rPr>
            </w:pPr>
            <w:r>
              <w:rPr>
                <w:b/>
                <w:color w:val="134F5C"/>
                <w:sz w:val="20"/>
                <w:szCs w:val="20"/>
              </w:rPr>
              <w:t>D</w:t>
            </w:r>
            <w:r>
              <w:rPr>
                <w:b/>
                <w:color w:val="134F5C"/>
                <w:sz w:val="20"/>
                <w:szCs w:val="20"/>
              </w:rPr>
              <w:t>ata warehousing and data services (e.g., online reports, data feeds, fishery applications, fishery independent information)</w:t>
            </w:r>
          </w:p>
          <w:p w14:paraId="36595001" w14:textId="77777777" w:rsidR="005A724B" w:rsidRDefault="005D2FFE">
            <w:pPr>
              <w:widowControl w:val="0"/>
              <w:spacing w:line="240" w:lineRule="auto"/>
              <w:jc w:val="left"/>
              <w:rPr>
                <w:color w:val="134F5C"/>
                <w:sz w:val="20"/>
                <w:szCs w:val="20"/>
              </w:rPr>
            </w:pPr>
            <w:r>
              <w:rPr>
                <w:color w:val="134F5C"/>
                <w:sz w:val="20"/>
                <w:szCs w:val="20"/>
              </w:rPr>
              <w:t>Industry data services (e.g., Sea State)</w:t>
            </w:r>
          </w:p>
          <w:p w14:paraId="1B5F00EB" w14:textId="77777777" w:rsidR="005A724B" w:rsidRDefault="005D2FFE">
            <w:pPr>
              <w:widowControl w:val="0"/>
              <w:spacing w:line="240" w:lineRule="auto"/>
              <w:jc w:val="left"/>
              <w:rPr>
                <w:color w:val="134F5C"/>
                <w:sz w:val="20"/>
                <w:szCs w:val="20"/>
              </w:rPr>
            </w:pPr>
            <w:r>
              <w:rPr>
                <w:color w:val="134F5C"/>
                <w:sz w:val="20"/>
                <w:szCs w:val="20"/>
              </w:rPr>
              <w:lastRenderedPageBreak/>
              <w:t>EM data collection, including development of AI for improving utility of EM data and reduci</w:t>
            </w:r>
            <w:r>
              <w:rPr>
                <w:color w:val="134F5C"/>
                <w:sz w:val="20"/>
                <w:szCs w:val="20"/>
              </w:rPr>
              <w:t>ng costs</w:t>
            </w:r>
          </w:p>
          <w:p w14:paraId="26B306F2" w14:textId="77777777" w:rsidR="005A724B" w:rsidRDefault="005A724B">
            <w:pPr>
              <w:widowControl w:val="0"/>
              <w:spacing w:line="240" w:lineRule="auto"/>
              <w:jc w:val="left"/>
              <w:rPr>
                <w:color w:val="134F5C"/>
                <w:sz w:val="20"/>
                <w:szCs w:val="20"/>
              </w:rPr>
            </w:pPr>
          </w:p>
          <w:p w14:paraId="3D1E4802" w14:textId="77777777" w:rsidR="005A724B" w:rsidRDefault="005A724B">
            <w:pPr>
              <w:widowControl w:val="0"/>
              <w:spacing w:line="240" w:lineRule="auto"/>
              <w:jc w:val="left"/>
              <w:rPr>
                <w:color w:val="134F5C"/>
                <w:sz w:val="20"/>
                <w:szCs w:val="20"/>
              </w:rPr>
            </w:pPr>
          </w:p>
        </w:tc>
        <w:tc>
          <w:tcPr>
            <w:tcW w:w="1635" w:type="dxa"/>
            <w:shd w:val="clear" w:color="auto" w:fill="auto"/>
            <w:tcMar>
              <w:top w:w="100" w:type="dxa"/>
              <w:left w:w="100" w:type="dxa"/>
              <w:bottom w:w="100" w:type="dxa"/>
              <w:right w:w="100" w:type="dxa"/>
            </w:tcMar>
          </w:tcPr>
          <w:p w14:paraId="4DBD4340" w14:textId="77777777" w:rsidR="005A724B" w:rsidRDefault="005D2FFE">
            <w:pPr>
              <w:widowControl w:val="0"/>
              <w:spacing w:line="240" w:lineRule="auto"/>
              <w:jc w:val="left"/>
              <w:rPr>
                <w:b/>
                <w:color w:val="134F5C"/>
                <w:sz w:val="20"/>
                <w:szCs w:val="20"/>
              </w:rPr>
            </w:pPr>
            <w:r>
              <w:rPr>
                <w:b/>
                <w:color w:val="134F5C"/>
                <w:sz w:val="20"/>
                <w:szCs w:val="20"/>
              </w:rPr>
              <w:lastRenderedPageBreak/>
              <w:t>Cooperative bycatch monitoring and notification</w:t>
            </w:r>
          </w:p>
          <w:p w14:paraId="70C9D5E0" w14:textId="77777777" w:rsidR="005A724B" w:rsidRDefault="005A724B">
            <w:pPr>
              <w:widowControl w:val="0"/>
              <w:spacing w:line="240" w:lineRule="auto"/>
              <w:jc w:val="left"/>
              <w:rPr>
                <w:color w:val="134F5C"/>
                <w:sz w:val="20"/>
                <w:szCs w:val="20"/>
              </w:rPr>
            </w:pPr>
          </w:p>
          <w:p w14:paraId="0A1ED43C" w14:textId="77777777" w:rsidR="005A724B" w:rsidRDefault="005A724B">
            <w:pPr>
              <w:widowControl w:val="0"/>
              <w:spacing w:line="240" w:lineRule="auto"/>
              <w:jc w:val="left"/>
              <w:rPr>
                <w:color w:val="134F5C"/>
                <w:sz w:val="20"/>
                <w:szCs w:val="20"/>
              </w:rPr>
            </w:pPr>
          </w:p>
          <w:p w14:paraId="5BC0BDF7" w14:textId="77777777" w:rsidR="005A724B" w:rsidRDefault="005A724B">
            <w:pPr>
              <w:widowControl w:val="0"/>
              <w:spacing w:line="240" w:lineRule="auto"/>
              <w:jc w:val="left"/>
              <w:rPr>
                <w:color w:val="134F5C"/>
                <w:sz w:val="20"/>
                <w:szCs w:val="20"/>
              </w:rPr>
            </w:pPr>
          </w:p>
        </w:tc>
      </w:tr>
      <w:tr w:rsidR="005A724B" w14:paraId="074CB03E" w14:textId="77777777">
        <w:tc>
          <w:tcPr>
            <w:tcW w:w="1350" w:type="dxa"/>
            <w:shd w:val="clear" w:color="auto" w:fill="D0E0E3"/>
            <w:tcMar>
              <w:top w:w="100" w:type="dxa"/>
              <w:left w:w="100" w:type="dxa"/>
              <w:bottom w:w="100" w:type="dxa"/>
              <w:right w:w="100" w:type="dxa"/>
            </w:tcMar>
          </w:tcPr>
          <w:p w14:paraId="3B198A27" w14:textId="77777777" w:rsidR="005A724B" w:rsidRDefault="005D2FFE">
            <w:pPr>
              <w:widowControl w:val="0"/>
              <w:spacing w:line="240" w:lineRule="auto"/>
              <w:rPr>
                <w:b/>
                <w:sz w:val="20"/>
                <w:szCs w:val="20"/>
              </w:rPr>
            </w:pPr>
            <w:r>
              <w:rPr>
                <w:b/>
                <w:sz w:val="20"/>
                <w:szCs w:val="20"/>
              </w:rPr>
              <w:t>Potential Climate Change Adaptive Attributes (Strengths)</w:t>
            </w:r>
          </w:p>
        </w:tc>
        <w:tc>
          <w:tcPr>
            <w:tcW w:w="1665" w:type="dxa"/>
            <w:shd w:val="clear" w:color="auto" w:fill="auto"/>
            <w:tcMar>
              <w:top w:w="100" w:type="dxa"/>
              <w:left w:w="100" w:type="dxa"/>
              <w:bottom w:w="100" w:type="dxa"/>
              <w:right w:w="100" w:type="dxa"/>
            </w:tcMar>
          </w:tcPr>
          <w:p w14:paraId="5DD5CD7D" w14:textId="77777777" w:rsidR="005A724B" w:rsidRDefault="005D2FFE">
            <w:pPr>
              <w:widowControl w:val="0"/>
              <w:spacing w:line="240" w:lineRule="auto"/>
              <w:jc w:val="left"/>
              <w:rPr>
                <w:color w:val="0B5394"/>
                <w:sz w:val="20"/>
                <w:szCs w:val="20"/>
              </w:rPr>
            </w:pPr>
            <w:r>
              <w:rPr>
                <w:color w:val="0B5394"/>
                <w:sz w:val="20"/>
                <w:szCs w:val="20"/>
              </w:rPr>
              <w:t>Reduces fishing impacts to important habitat or stock component</w:t>
            </w:r>
          </w:p>
          <w:p w14:paraId="6E390DA6" w14:textId="77777777" w:rsidR="005A724B" w:rsidRDefault="005D2FFE">
            <w:pPr>
              <w:widowControl w:val="0"/>
              <w:spacing w:line="240" w:lineRule="auto"/>
              <w:jc w:val="left"/>
              <w:rPr>
                <w:color w:val="0B5394"/>
                <w:sz w:val="20"/>
                <w:szCs w:val="20"/>
              </w:rPr>
            </w:pPr>
            <w:r>
              <w:rPr>
                <w:color w:val="0B5394"/>
                <w:sz w:val="20"/>
                <w:szCs w:val="20"/>
              </w:rPr>
              <w:t xml:space="preserve">Can be designed to meet specific </w:t>
            </w:r>
            <w:proofErr w:type="spellStart"/>
            <w:r>
              <w:rPr>
                <w:color w:val="0B5394"/>
                <w:sz w:val="20"/>
                <w:szCs w:val="20"/>
              </w:rPr>
              <w:t>species,management</w:t>
            </w:r>
            <w:proofErr w:type="spellEnd"/>
            <w:r>
              <w:rPr>
                <w:color w:val="0B5394"/>
                <w:sz w:val="20"/>
                <w:szCs w:val="20"/>
              </w:rPr>
              <w:t>, and habitat needs</w:t>
            </w:r>
          </w:p>
          <w:p w14:paraId="1DCD7FF5" w14:textId="77777777" w:rsidR="005A724B" w:rsidRDefault="005D2FFE">
            <w:pPr>
              <w:widowControl w:val="0"/>
              <w:spacing w:line="240" w:lineRule="auto"/>
              <w:jc w:val="left"/>
              <w:rPr>
                <w:color w:val="0B5394"/>
                <w:sz w:val="20"/>
                <w:szCs w:val="20"/>
              </w:rPr>
            </w:pPr>
            <w:r>
              <w:rPr>
                <w:color w:val="0B5394"/>
                <w:sz w:val="20"/>
                <w:szCs w:val="20"/>
              </w:rPr>
              <w:t>Can be defined to protect fishing opportunities for communities</w:t>
            </w:r>
          </w:p>
          <w:p w14:paraId="6FB2AE25" w14:textId="77777777" w:rsidR="005A724B" w:rsidRDefault="005A724B">
            <w:pPr>
              <w:widowControl w:val="0"/>
              <w:spacing w:line="240" w:lineRule="auto"/>
              <w:jc w:val="left"/>
              <w:rPr>
                <w:color w:val="0B5394"/>
                <w:sz w:val="20"/>
                <w:szCs w:val="20"/>
              </w:rPr>
            </w:pPr>
          </w:p>
          <w:p w14:paraId="34CFC0F8" w14:textId="77777777" w:rsidR="005A724B" w:rsidRDefault="005A724B">
            <w:pPr>
              <w:widowControl w:val="0"/>
              <w:spacing w:line="240" w:lineRule="auto"/>
              <w:jc w:val="left"/>
              <w:rPr>
                <w:color w:val="0B5394"/>
                <w:sz w:val="20"/>
                <w:szCs w:val="20"/>
              </w:rPr>
            </w:pPr>
          </w:p>
          <w:p w14:paraId="212AC9EE" w14:textId="77777777" w:rsidR="005A724B" w:rsidRDefault="005A724B">
            <w:pPr>
              <w:widowControl w:val="0"/>
              <w:spacing w:line="240" w:lineRule="auto"/>
              <w:jc w:val="left"/>
              <w:rPr>
                <w:color w:val="0B5394"/>
                <w:sz w:val="20"/>
                <w:szCs w:val="20"/>
              </w:rPr>
            </w:pPr>
          </w:p>
        </w:tc>
        <w:tc>
          <w:tcPr>
            <w:tcW w:w="1515" w:type="dxa"/>
            <w:shd w:val="clear" w:color="auto" w:fill="auto"/>
            <w:tcMar>
              <w:top w:w="100" w:type="dxa"/>
              <w:left w:w="100" w:type="dxa"/>
              <w:bottom w:w="100" w:type="dxa"/>
              <w:right w:w="100" w:type="dxa"/>
            </w:tcMar>
          </w:tcPr>
          <w:p w14:paraId="01916F27" w14:textId="77777777" w:rsidR="005A724B" w:rsidRDefault="005D2FFE">
            <w:pPr>
              <w:widowControl w:val="0"/>
              <w:spacing w:line="240" w:lineRule="auto"/>
              <w:jc w:val="left"/>
              <w:rPr>
                <w:color w:val="0B5394"/>
                <w:sz w:val="20"/>
                <w:szCs w:val="20"/>
              </w:rPr>
            </w:pPr>
            <w:r>
              <w:rPr>
                <w:color w:val="0B5394"/>
                <w:sz w:val="20"/>
                <w:szCs w:val="20"/>
              </w:rPr>
              <w:t>Portfolio diversification</w:t>
            </w:r>
          </w:p>
          <w:p w14:paraId="4361EDC8" w14:textId="77777777" w:rsidR="005A724B" w:rsidRDefault="005D2FFE">
            <w:pPr>
              <w:widowControl w:val="0"/>
              <w:spacing w:line="240" w:lineRule="auto"/>
              <w:jc w:val="left"/>
              <w:rPr>
                <w:color w:val="0B5394"/>
                <w:sz w:val="20"/>
                <w:szCs w:val="20"/>
              </w:rPr>
            </w:pPr>
            <w:r>
              <w:rPr>
                <w:color w:val="0B5394"/>
                <w:sz w:val="20"/>
                <w:szCs w:val="20"/>
              </w:rPr>
              <w:t>Allows flexibility for fleet to compensate for increased fishing costs and operational needs</w:t>
            </w:r>
            <w:r>
              <w:rPr>
                <w:color w:val="0B5394"/>
                <w:sz w:val="20"/>
                <w:szCs w:val="20"/>
              </w:rPr>
              <w:t xml:space="preserve">  (e.g., stacking permits)</w:t>
            </w:r>
          </w:p>
          <w:p w14:paraId="1EEBD77E" w14:textId="77777777" w:rsidR="005A724B" w:rsidRDefault="005D2FFE">
            <w:pPr>
              <w:widowControl w:val="0"/>
              <w:spacing w:line="240" w:lineRule="auto"/>
              <w:jc w:val="left"/>
              <w:rPr>
                <w:color w:val="0B5394"/>
                <w:sz w:val="20"/>
                <w:szCs w:val="20"/>
              </w:rPr>
            </w:pPr>
            <w:r>
              <w:rPr>
                <w:color w:val="0B5394"/>
                <w:sz w:val="20"/>
                <w:szCs w:val="20"/>
              </w:rPr>
              <w:t xml:space="preserve">Flexibility to form Cooperatives in some cases - regulatory or voluntary </w:t>
            </w:r>
          </w:p>
          <w:p w14:paraId="58B6C6CD" w14:textId="77777777" w:rsidR="005A724B" w:rsidRDefault="005D2FFE">
            <w:pPr>
              <w:widowControl w:val="0"/>
              <w:spacing w:line="240" w:lineRule="auto"/>
              <w:jc w:val="left"/>
              <w:rPr>
                <w:color w:val="0B5394"/>
                <w:sz w:val="20"/>
                <w:szCs w:val="20"/>
              </w:rPr>
            </w:pPr>
            <w:r>
              <w:rPr>
                <w:color w:val="0B5394"/>
                <w:sz w:val="20"/>
                <w:szCs w:val="20"/>
              </w:rPr>
              <w:t xml:space="preserve">May increase efficiency/ </w:t>
            </w:r>
            <w:r>
              <w:rPr>
                <w:color w:val="0B5394"/>
                <w:sz w:val="20"/>
                <w:szCs w:val="20"/>
              </w:rPr>
              <w:lastRenderedPageBreak/>
              <w:t>retention</w:t>
            </w:r>
          </w:p>
        </w:tc>
        <w:tc>
          <w:tcPr>
            <w:tcW w:w="1470" w:type="dxa"/>
            <w:shd w:val="clear" w:color="auto" w:fill="auto"/>
            <w:tcMar>
              <w:top w:w="100" w:type="dxa"/>
              <w:left w:w="100" w:type="dxa"/>
              <w:bottom w:w="100" w:type="dxa"/>
              <w:right w:w="100" w:type="dxa"/>
            </w:tcMar>
          </w:tcPr>
          <w:p w14:paraId="76F591FE" w14:textId="77777777" w:rsidR="005A724B" w:rsidRDefault="005D2FFE">
            <w:pPr>
              <w:widowControl w:val="0"/>
              <w:spacing w:line="240" w:lineRule="auto"/>
              <w:jc w:val="left"/>
              <w:rPr>
                <w:color w:val="0B5394"/>
                <w:sz w:val="20"/>
                <w:szCs w:val="20"/>
              </w:rPr>
            </w:pPr>
            <w:r>
              <w:rPr>
                <w:color w:val="0B5394"/>
                <w:sz w:val="20"/>
                <w:szCs w:val="20"/>
              </w:rPr>
              <w:lastRenderedPageBreak/>
              <w:t xml:space="preserve">Portfolio diversification </w:t>
            </w:r>
          </w:p>
          <w:p w14:paraId="45EEB037" w14:textId="77777777" w:rsidR="005A724B" w:rsidRDefault="005D2FFE">
            <w:pPr>
              <w:widowControl w:val="0"/>
              <w:spacing w:line="240" w:lineRule="auto"/>
              <w:jc w:val="left"/>
              <w:rPr>
                <w:color w:val="0B5394"/>
                <w:sz w:val="20"/>
                <w:szCs w:val="20"/>
              </w:rPr>
            </w:pPr>
            <w:r>
              <w:rPr>
                <w:color w:val="0B5394"/>
                <w:sz w:val="20"/>
                <w:szCs w:val="20"/>
              </w:rPr>
              <w:t>Fishery openings timed to facilitate concurrent fishing (e.g., halibut/ sablefish)</w:t>
            </w:r>
          </w:p>
        </w:tc>
        <w:tc>
          <w:tcPr>
            <w:tcW w:w="1590" w:type="dxa"/>
            <w:shd w:val="clear" w:color="auto" w:fill="auto"/>
            <w:tcMar>
              <w:top w:w="100" w:type="dxa"/>
              <w:left w:w="100" w:type="dxa"/>
              <w:bottom w:w="100" w:type="dxa"/>
              <w:right w:w="100" w:type="dxa"/>
            </w:tcMar>
          </w:tcPr>
          <w:p w14:paraId="70EAFA08" w14:textId="77777777" w:rsidR="005A724B" w:rsidRDefault="005D2FFE">
            <w:pPr>
              <w:widowControl w:val="0"/>
              <w:spacing w:line="240" w:lineRule="auto"/>
              <w:jc w:val="left"/>
              <w:rPr>
                <w:color w:val="0B5394"/>
                <w:sz w:val="20"/>
                <w:szCs w:val="20"/>
              </w:rPr>
            </w:pPr>
            <w:r>
              <w:rPr>
                <w:color w:val="0B5394"/>
                <w:sz w:val="20"/>
                <w:szCs w:val="20"/>
              </w:rPr>
              <w:t>Allows priority to nearshore waters to smaller community based vessels</w:t>
            </w:r>
          </w:p>
          <w:p w14:paraId="0186ECC3" w14:textId="77777777" w:rsidR="005A724B" w:rsidRDefault="005D2FFE">
            <w:pPr>
              <w:widowControl w:val="0"/>
              <w:spacing w:line="240" w:lineRule="auto"/>
              <w:jc w:val="left"/>
              <w:rPr>
                <w:color w:val="0B5394"/>
                <w:sz w:val="20"/>
                <w:szCs w:val="20"/>
              </w:rPr>
            </w:pPr>
            <w:r>
              <w:rPr>
                <w:color w:val="0B5394"/>
                <w:sz w:val="20"/>
                <w:szCs w:val="20"/>
              </w:rPr>
              <w:t>Provides species/ habitat protection</w:t>
            </w:r>
          </w:p>
        </w:tc>
        <w:tc>
          <w:tcPr>
            <w:tcW w:w="1785" w:type="dxa"/>
            <w:shd w:val="clear" w:color="auto" w:fill="auto"/>
            <w:tcMar>
              <w:top w:w="100" w:type="dxa"/>
              <w:left w:w="100" w:type="dxa"/>
              <w:bottom w:w="100" w:type="dxa"/>
              <w:right w:w="100" w:type="dxa"/>
            </w:tcMar>
          </w:tcPr>
          <w:p w14:paraId="30359F07" w14:textId="77777777" w:rsidR="005A724B" w:rsidRDefault="005D2FFE">
            <w:pPr>
              <w:widowControl w:val="0"/>
              <w:spacing w:line="240" w:lineRule="auto"/>
              <w:jc w:val="left"/>
              <w:rPr>
                <w:color w:val="0B5394"/>
                <w:sz w:val="20"/>
                <w:szCs w:val="20"/>
              </w:rPr>
            </w:pPr>
            <w:r>
              <w:rPr>
                <w:color w:val="0B5394"/>
                <w:sz w:val="20"/>
                <w:szCs w:val="20"/>
              </w:rPr>
              <w:t>TAC is responsive to assessment and associated uncertainty</w:t>
            </w:r>
          </w:p>
          <w:p w14:paraId="14228D23" w14:textId="77777777" w:rsidR="005A724B" w:rsidRDefault="005D2FFE">
            <w:pPr>
              <w:widowControl w:val="0"/>
              <w:spacing w:line="240" w:lineRule="auto"/>
              <w:jc w:val="left"/>
              <w:rPr>
                <w:color w:val="0B5394"/>
                <w:sz w:val="20"/>
                <w:szCs w:val="20"/>
              </w:rPr>
            </w:pPr>
            <w:r>
              <w:rPr>
                <w:color w:val="0B5394"/>
                <w:sz w:val="20"/>
                <w:szCs w:val="20"/>
              </w:rPr>
              <w:t>TAC pr</w:t>
            </w:r>
            <w:r>
              <w:rPr>
                <w:color w:val="0B5394"/>
                <w:sz w:val="20"/>
                <w:szCs w:val="20"/>
              </w:rPr>
              <w:t>ovides spatial management</w:t>
            </w:r>
          </w:p>
          <w:p w14:paraId="0C8D4289" w14:textId="77777777" w:rsidR="005A724B" w:rsidRDefault="005D2FFE">
            <w:pPr>
              <w:widowControl w:val="0"/>
              <w:spacing w:line="240" w:lineRule="auto"/>
              <w:jc w:val="left"/>
              <w:rPr>
                <w:color w:val="0B5394"/>
                <w:sz w:val="20"/>
                <w:szCs w:val="20"/>
              </w:rPr>
            </w:pPr>
            <w:r>
              <w:rPr>
                <w:color w:val="0B5394"/>
                <w:sz w:val="20"/>
                <w:szCs w:val="20"/>
              </w:rPr>
              <w:t xml:space="preserve">Reallocation allows responsive in-season management  </w:t>
            </w:r>
          </w:p>
          <w:p w14:paraId="223E3031" w14:textId="77777777" w:rsidR="005A724B" w:rsidRDefault="005D2FFE">
            <w:pPr>
              <w:widowControl w:val="0"/>
              <w:spacing w:line="240" w:lineRule="auto"/>
              <w:jc w:val="left"/>
              <w:rPr>
                <w:color w:val="0B5394"/>
                <w:sz w:val="20"/>
                <w:szCs w:val="20"/>
              </w:rPr>
            </w:pPr>
            <w:r>
              <w:rPr>
                <w:color w:val="0B5394"/>
                <w:sz w:val="20"/>
                <w:szCs w:val="20"/>
              </w:rPr>
              <w:t>Flatfish exchange can mitigate some annual variation in harvestable stock abundance/industry needs under 2Mt OY</w:t>
            </w:r>
          </w:p>
          <w:p w14:paraId="46CB7C4A" w14:textId="77777777" w:rsidR="005A724B" w:rsidRDefault="005D2FFE">
            <w:pPr>
              <w:widowControl w:val="0"/>
              <w:spacing w:line="240" w:lineRule="auto"/>
              <w:jc w:val="left"/>
              <w:rPr>
                <w:color w:val="0B5394"/>
                <w:sz w:val="20"/>
                <w:szCs w:val="20"/>
              </w:rPr>
            </w:pPr>
            <w:r>
              <w:rPr>
                <w:color w:val="0B5394"/>
                <w:sz w:val="20"/>
                <w:szCs w:val="20"/>
              </w:rPr>
              <w:lastRenderedPageBreak/>
              <w:t>Non-specified reserve can be used to deal with unanticipated har</w:t>
            </w:r>
            <w:r>
              <w:rPr>
                <w:color w:val="0B5394"/>
                <w:sz w:val="20"/>
                <w:szCs w:val="20"/>
              </w:rPr>
              <w:t>vest of non-allocated species</w:t>
            </w:r>
          </w:p>
        </w:tc>
        <w:tc>
          <w:tcPr>
            <w:tcW w:w="1620" w:type="dxa"/>
            <w:shd w:val="clear" w:color="auto" w:fill="auto"/>
            <w:tcMar>
              <w:top w:w="100" w:type="dxa"/>
              <w:left w:w="100" w:type="dxa"/>
              <w:bottom w:w="100" w:type="dxa"/>
              <w:right w:w="100" w:type="dxa"/>
            </w:tcMar>
          </w:tcPr>
          <w:p w14:paraId="076BF2B9" w14:textId="77777777" w:rsidR="005A724B" w:rsidRDefault="005D2FFE">
            <w:pPr>
              <w:widowControl w:val="0"/>
              <w:spacing w:line="240" w:lineRule="auto"/>
              <w:jc w:val="left"/>
              <w:rPr>
                <w:color w:val="0B5394"/>
                <w:sz w:val="20"/>
                <w:szCs w:val="20"/>
              </w:rPr>
            </w:pPr>
            <w:r>
              <w:rPr>
                <w:color w:val="0B5394"/>
                <w:sz w:val="20"/>
                <w:szCs w:val="20"/>
              </w:rPr>
              <w:lastRenderedPageBreak/>
              <w:t>Comprehensive catch accounting using available data sources to estimate total catch and track vessel activity</w:t>
            </w:r>
          </w:p>
          <w:p w14:paraId="534B581B" w14:textId="77777777" w:rsidR="005A724B" w:rsidRDefault="005D2FFE">
            <w:pPr>
              <w:widowControl w:val="0"/>
              <w:spacing w:line="240" w:lineRule="auto"/>
              <w:jc w:val="left"/>
              <w:rPr>
                <w:color w:val="0B5394"/>
                <w:sz w:val="20"/>
                <w:szCs w:val="20"/>
              </w:rPr>
            </w:pPr>
            <w:r>
              <w:rPr>
                <w:color w:val="0B5394"/>
                <w:sz w:val="20"/>
                <w:szCs w:val="20"/>
              </w:rPr>
              <w:t xml:space="preserve">Observer coverage provides at-sea information, including biological and marine mammal data collection </w:t>
            </w:r>
          </w:p>
          <w:p w14:paraId="0C7FE6CB" w14:textId="77777777" w:rsidR="005A724B" w:rsidRDefault="005D2FFE">
            <w:pPr>
              <w:widowControl w:val="0"/>
              <w:spacing w:line="240" w:lineRule="auto"/>
              <w:jc w:val="left"/>
              <w:rPr>
                <w:color w:val="0B5394"/>
                <w:sz w:val="20"/>
                <w:szCs w:val="20"/>
              </w:rPr>
            </w:pPr>
            <w:r>
              <w:rPr>
                <w:color w:val="0B5394"/>
                <w:sz w:val="20"/>
                <w:szCs w:val="20"/>
              </w:rPr>
              <w:t>EM coverage p</w:t>
            </w:r>
            <w:r>
              <w:rPr>
                <w:color w:val="0B5394"/>
                <w:sz w:val="20"/>
                <w:szCs w:val="20"/>
              </w:rPr>
              <w:t>rovides accounting of catch and discards</w:t>
            </w:r>
          </w:p>
          <w:p w14:paraId="21C5AB33" w14:textId="77777777" w:rsidR="005A724B" w:rsidRDefault="005D2FFE">
            <w:pPr>
              <w:widowControl w:val="0"/>
              <w:spacing w:line="240" w:lineRule="auto"/>
              <w:jc w:val="left"/>
              <w:rPr>
                <w:color w:val="0B5394"/>
                <w:sz w:val="20"/>
                <w:szCs w:val="20"/>
              </w:rPr>
            </w:pPr>
            <w:r>
              <w:rPr>
                <w:color w:val="0B5394"/>
                <w:sz w:val="20"/>
                <w:szCs w:val="20"/>
              </w:rPr>
              <w:lastRenderedPageBreak/>
              <w:t>Precise salmon PSC information for pollock fisheries</w:t>
            </w:r>
          </w:p>
          <w:p w14:paraId="374598DF" w14:textId="77777777" w:rsidR="005A724B" w:rsidRDefault="005D2FFE">
            <w:pPr>
              <w:widowControl w:val="0"/>
              <w:spacing w:line="240" w:lineRule="auto"/>
              <w:jc w:val="left"/>
              <w:rPr>
                <w:color w:val="0B5394"/>
                <w:sz w:val="20"/>
                <w:szCs w:val="20"/>
              </w:rPr>
            </w:pPr>
            <w:r>
              <w:rPr>
                <w:color w:val="0B5394"/>
                <w:sz w:val="20"/>
                <w:szCs w:val="20"/>
              </w:rPr>
              <w:t>Integration of environmental information with fisheries information</w:t>
            </w:r>
          </w:p>
        </w:tc>
        <w:tc>
          <w:tcPr>
            <w:tcW w:w="1635" w:type="dxa"/>
            <w:shd w:val="clear" w:color="auto" w:fill="auto"/>
            <w:tcMar>
              <w:top w:w="100" w:type="dxa"/>
              <w:left w:w="100" w:type="dxa"/>
              <w:bottom w:w="100" w:type="dxa"/>
              <w:right w:w="100" w:type="dxa"/>
            </w:tcMar>
          </w:tcPr>
          <w:p w14:paraId="04067895" w14:textId="77777777" w:rsidR="005A724B" w:rsidRDefault="005D2FFE">
            <w:pPr>
              <w:widowControl w:val="0"/>
              <w:spacing w:line="240" w:lineRule="auto"/>
              <w:jc w:val="left"/>
              <w:rPr>
                <w:color w:val="0B5394"/>
                <w:sz w:val="20"/>
                <w:szCs w:val="20"/>
              </w:rPr>
            </w:pPr>
            <w:r>
              <w:rPr>
                <w:color w:val="0B5394"/>
                <w:sz w:val="20"/>
                <w:szCs w:val="20"/>
              </w:rPr>
              <w:lastRenderedPageBreak/>
              <w:t>Rolling hotspot closures allow time and fleet -dependent flexibility to control fishing and re</w:t>
            </w:r>
            <w:r>
              <w:rPr>
                <w:color w:val="0B5394"/>
                <w:sz w:val="20"/>
                <w:szCs w:val="20"/>
              </w:rPr>
              <w:t>duce discard/PSC</w:t>
            </w:r>
          </w:p>
        </w:tc>
      </w:tr>
      <w:tr w:rsidR="005A724B" w14:paraId="62E28EBD" w14:textId="77777777">
        <w:tc>
          <w:tcPr>
            <w:tcW w:w="1350" w:type="dxa"/>
            <w:shd w:val="clear" w:color="auto" w:fill="EA9999"/>
            <w:tcMar>
              <w:top w:w="100" w:type="dxa"/>
              <w:left w:w="100" w:type="dxa"/>
              <w:bottom w:w="100" w:type="dxa"/>
              <w:right w:w="100" w:type="dxa"/>
            </w:tcMar>
          </w:tcPr>
          <w:p w14:paraId="2411F246" w14:textId="77777777" w:rsidR="005A724B" w:rsidRDefault="005D2FFE">
            <w:pPr>
              <w:widowControl w:val="0"/>
              <w:spacing w:line="240" w:lineRule="auto"/>
              <w:rPr>
                <w:b/>
                <w:sz w:val="20"/>
                <w:szCs w:val="20"/>
              </w:rPr>
            </w:pPr>
            <w:r>
              <w:rPr>
                <w:b/>
                <w:sz w:val="20"/>
                <w:szCs w:val="20"/>
              </w:rPr>
              <w:t>Potential Maladaptive Attributes (Weakness)</w:t>
            </w:r>
          </w:p>
        </w:tc>
        <w:tc>
          <w:tcPr>
            <w:tcW w:w="1665" w:type="dxa"/>
            <w:shd w:val="clear" w:color="auto" w:fill="auto"/>
            <w:tcMar>
              <w:top w:w="100" w:type="dxa"/>
              <w:left w:w="100" w:type="dxa"/>
              <w:bottom w:w="100" w:type="dxa"/>
              <w:right w:w="100" w:type="dxa"/>
            </w:tcMar>
          </w:tcPr>
          <w:p w14:paraId="5F88204C" w14:textId="77777777" w:rsidR="005A724B" w:rsidRDefault="005D2FFE">
            <w:pPr>
              <w:widowControl w:val="0"/>
              <w:spacing w:line="240" w:lineRule="auto"/>
              <w:jc w:val="left"/>
              <w:rPr>
                <w:color w:val="990000"/>
                <w:sz w:val="20"/>
                <w:szCs w:val="20"/>
              </w:rPr>
            </w:pPr>
            <w:r>
              <w:rPr>
                <w:color w:val="990000"/>
                <w:sz w:val="20"/>
                <w:szCs w:val="20"/>
              </w:rPr>
              <w:t>Static and cannot respond to shifts in stock out of the area or changes in fishery</w:t>
            </w:r>
          </w:p>
          <w:p w14:paraId="044BFEA5" w14:textId="77777777" w:rsidR="005A724B" w:rsidRDefault="005D2FFE">
            <w:pPr>
              <w:widowControl w:val="0"/>
              <w:spacing w:line="240" w:lineRule="auto"/>
              <w:jc w:val="left"/>
              <w:rPr>
                <w:color w:val="990000"/>
                <w:sz w:val="20"/>
                <w:szCs w:val="20"/>
              </w:rPr>
            </w:pPr>
            <w:r>
              <w:rPr>
                <w:color w:val="990000"/>
                <w:sz w:val="20"/>
                <w:szCs w:val="20"/>
              </w:rPr>
              <w:t>Management measures may have been established decades ago and no longer use best available information</w:t>
            </w:r>
          </w:p>
          <w:p w14:paraId="7274BD28" w14:textId="77777777" w:rsidR="005A724B" w:rsidRDefault="005D2FFE">
            <w:pPr>
              <w:widowControl w:val="0"/>
              <w:spacing w:line="240" w:lineRule="auto"/>
              <w:jc w:val="left"/>
              <w:rPr>
                <w:color w:val="990000"/>
                <w:sz w:val="20"/>
                <w:szCs w:val="20"/>
              </w:rPr>
            </w:pPr>
            <w:r>
              <w:rPr>
                <w:color w:val="990000"/>
                <w:sz w:val="20"/>
                <w:szCs w:val="20"/>
              </w:rPr>
              <w:t>Stock abundance shifts into a special area may strand harvestable fish</w:t>
            </w:r>
          </w:p>
          <w:p w14:paraId="038990BC" w14:textId="77777777" w:rsidR="005A724B" w:rsidRDefault="005D2FFE">
            <w:pPr>
              <w:widowControl w:val="0"/>
              <w:spacing w:line="240" w:lineRule="auto"/>
              <w:jc w:val="left"/>
              <w:rPr>
                <w:color w:val="990000"/>
                <w:sz w:val="20"/>
                <w:szCs w:val="20"/>
              </w:rPr>
            </w:pPr>
            <w:r>
              <w:rPr>
                <w:color w:val="990000"/>
                <w:sz w:val="20"/>
                <w:szCs w:val="20"/>
              </w:rPr>
              <w:t xml:space="preserve">Interaction </w:t>
            </w:r>
            <w:r>
              <w:rPr>
                <w:color w:val="990000"/>
                <w:sz w:val="20"/>
                <w:szCs w:val="20"/>
              </w:rPr>
              <w:lastRenderedPageBreak/>
              <w:t>among areas with differing goals may create conflicts with area-specif</w:t>
            </w:r>
            <w:r>
              <w:rPr>
                <w:color w:val="990000"/>
                <w:sz w:val="20"/>
                <w:szCs w:val="20"/>
              </w:rPr>
              <w:t>ic/management objectives (e.g., halibut versus crab PSC)</w:t>
            </w:r>
          </w:p>
          <w:p w14:paraId="4F8230AC" w14:textId="77777777" w:rsidR="005A724B" w:rsidRDefault="005A724B">
            <w:pPr>
              <w:widowControl w:val="0"/>
              <w:spacing w:line="240" w:lineRule="auto"/>
              <w:jc w:val="left"/>
              <w:rPr>
                <w:color w:val="990000"/>
                <w:sz w:val="20"/>
                <w:szCs w:val="20"/>
              </w:rPr>
            </w:pPr>
          </w:p>
        </w:tc>
        <w:tc>
          <w:tcPr>
            <w:tcW w:w="1515" w:type="dxa"/>
            <w:shd w:val="clear" w:color="auto" w:fill="auto"/>
            <w:tcMar>
              <w:top w:w="100" w:type="dxa"/>
              <w:left w:w="100" w:type="dxa"/>
              <w:bottom w:w="100" w:type="dxa"/>
              <w:right w:w="100" w:type="dxa"/>
            </w:tcMar>
          </w:tcPr>
          <w:p w14:paraId="50920F0D" w14:textId="77777777" w:rsidR="005A724B" w:rsidRDefault="005D2FFE">
            <w:pPr>
              <w:widowControl w:val="0"/>
              <w:spacing w:line="240" w:lineRule="auto"/>
              <w:jc w:val="left"/>
              <w:rPr>
                <w:color w:val="990000"/>
                <w:sz w:val="20"/>
                <w:szCs w:val="20"/>
              </w:rPr>
            </w:pPr>
            <w:r>
              <w:rPr>
                <w:color w:val="990000"/>
                <w:sz w:val="20"/>
                <w:szCs w:val="20"/>
              </w:rPr>
              <w:lastRenderedPageBreak/>
              <w:t xml:space="preserve">Programs maybe focused on single </w:t>
            </w:r>
            <w:proofErr w:type="spellStart"/>
            <w:r>
              <w:rPr>
                <w:color w:val="990000"/>
                <w:sz w:val="20"/>
                <w:szCs w:val="20"/>
              </w:rPr>
              <w:t>species,leaving</w:t>
            </w:r>
            <w:proofErr w:type="spellEnd"/>
            <w:r>
              <w:rPr>
                <w:color w:val="990000"/>
                <w:sz w:val="20"/>
                <w:szCs w:val="20"/>
              </w:rPr>
              <w:t xml:space="preserve"> participants vulnerable if species declines or is variable</w:t>
            </w:r>
          </w:p>
          <w:p w14:paraId="0E583407" w14:textId="77777777" w:rsidR="005A724B" w:rsidRDefault="005D2FFE">
            <w:pPr>
              <w:widowControl w:val="0"/>
              <w:spacing w:line="240" w:lineRule="auto"/>
              <w:jc w:val="left"/>
              <w:rPr>
                <w:color w:val="990000"/>
                <w:sz w:val="20"/>
                <w:szCs w:val="20"/>
              </w:rPr>
            </w:pPr>
            <w:r>
              <w:rPr>
                <w:color w:val="990000"/>
                <w:sz w:val="20"/>
                <w:szCs w:val="20"/>
              </w:rPr>
              <w:t>Quota/IFQ  maybe area-specific and thus vulnerable to changes in stock abundance and depen</w:t>
            </w:r>
            <w:r>
              <w:rPr>
                <w:color w:val="990000"/>
                <w:sz w:val="20"/>
                <w:szCs w:val="20"/>
              </w:rPr>
              <w:t>dent on apportionment method</w:t>
            </w:r>
          </w:p>
        </w:tc>
        <w:tc>
          <w:tcPr>
            <w:tcW w:w="1470" w:type="dxa"/>
            <w:shd w:val="clear" w:color="auto" w:fill="auto"/>
            <w:tcMar>
              <w:top w:w="100" w:type="dxa"/>
              <w:left w:w="100" w:type="dxa"/>
              <w:bottom w:w="100" w:type="dxa"/>
              <w:right w:w="100" w:type="dxa"/>
            </w:tcMar>
          </w:tcPr>
          <w:p w14:paraId="68D09CE6" w14:textId="77777777" w:rsidR="005A724B" w:rsidRDefault="005D2FFE">
            <w:pPr>
              <w:widowControl w:val="0"/>
              <w:spacing w:line="240" w:lineRule="auto"/>
              <w:jc w:val="left"/>
              <w:rPr>
                <w:color w:val="990000"/>
                <w:sz w:val="20"/>
                <w:szCs w:val="20"/>
              </w:rPr>
            </w:pPr>
            <w:r>
              <w:rPr>
                <w:color w:val="990000"/>
                <w:sz w:val="20"/>
                <w:szCs w:val="20"/>
              </w:rPr>
              <w:t xml:space="preserve">Fish condition may change resulting in changes in abundance or product quality </w:t>
            </w:r>
          </w:p>
        </w:tc>
        <w:tc>
          <w:tcPr>
            <w:tcW w:w="1590" w:type="dxa"/>
            <w:shd w:val="clear" w:color="auto" w:fill="auto"/>
            <w:tcMar>
              <w:top w:w="100" w:type="dxa"/>
              <w:left w:w="100" w:type="dxa"/>
              <w:bottom w:w="100" w:type="dxa"/>
              <w:right w:w="100" w:type="dxa"/>
            </w:tcMar>
          </w:tcPr>
          <w:p w14:paraId="262011C7" w14:textId="77777777" w:rsidR="005A724B" w:rsidRDefault="005D2FFE">
            <w:pPr>
              <w:widowControl w:val="0"/>
              <w:spacing w:line="240" w:lineRule="auto"/>
              <w:jc w:val="left"/>
              <w:rPr>
                <w:color w:val="990000"/>
                <w:sz w:val="20"/>
                <w:szCs w:val="20"/>
              </w:rPr>
            </w:pPr>
            <w:r>
              <w:rPr>
                <w:color w:val="990000"/>
                <w:sz w:val="20"/>
                <w:szCs w:val="20"/>
              </w:rPr>
              <w:t>Fish unavailable in GHL or special area waters</w:t>
            </w:r>
          </w:p>
          <w:p w14:paraId="3756BA30" w14:textId="77777777" w:rsidR="005A724B" w:rsidRDefault="005D2FFE">
            <w:pPr>
              <w:widowControl w:val="0"/>
              <w:spacing w:line="240" w:lineRule="auto"/>
              <w:jc w:val="left"/>
              <w:rPr>
                <w:color w:val="990000"/>
                <w:sz w:val="20"/>
                <w:szCs w:val="20"/>
              </w:rPr>
            </w:pPr>
            <w:r>
              <w:rPr>
                <w:color w:val="990000"/>
                <w:sz w:val="20"/>
                <w:szCs w:val="20"/>
              </w:rPr>
              <w:t>Harder for CVs to fish further away from ports unless a mothership, CP or tender is available</w:t>
            </w:r>
          </w:p>
          <w:p w14:paraId="15319470" w14:textId="77777777" w:rsidR="005A724B" w:rsidRDefault="005D2FFE">
            <w:pPr>
              <w:widowControl w:val="0"/>
              <w:spacing w:line="240" w:lineRule="auto"/>
              <w:jc w:val="left"/>
              <w:rPr>
                <w:color w:val="990000"/>
                <w:sz w:val="20"/>
                <w:szCs w:val="20"/>
              </w:rPr>
            </w:pPr>
            <w:r>
              <w:rPr>
                <w:color w:val="990000"/>
                <w:sz w:val="20"/>
                <w:szCs w:val="20"/>
              </w:rPr>
              <w:t>Closur</w:t>
            </w:r>
            <w:r>
              <w:rPr>
                <w:color w:val="990000"/>
                <w:sz w:val="20"/>
                <w:szCs w:val="20"/>
              </w:rPr>
              <w:t>es are rigid and non-responsive to changes.</w:t>
            </w:r>
          </w:p>
        </w:tc>
        <w:tc>
          <w:tcPr>
            <w:tcW w:w="1785" w:type="dxa"/>
            <w:shd w:val="clear" w:color="auto" w:fill="auto"/>
            <w:tcMar>
              <w:top w:w="100" w:type="dxa"/>
              <w:left w:w="100" w:type="dxa"/>
              <w:bottom w:w="100" w:type="dxa"/>
              <w:right w:w="100" w:type="dxa"/>
            </w:tcMar>
          </w:tcPr>
          <w:p w14:paraId="2A184DBA" w14:textId="77777777" w:rsidR="005A724B" w:rsidRDefault="005D2FFE">
            <w:pPr>
              <w:widowControl w:val="0"/>
              <w:spacing w:line="240" w:lineRule="auto"/>
              <w:jc w:val="left"/>
              <w:rPr>
                <w:color w:val="990000"/>
                <w:sz w:val="20"/>
                <w:szCs w:val="20"/>
              </w:rPr>
            </w:pPr>
            <w:r>
              <w:rPr>
                <w:color w:val="990000"/>
                <w:sz w:val="20"/>
                <w:szCs w:val="20"/>
              </w:rPr>
              <w:t>Expansion to other flatfish species impacts allocations</w:t>
            </w:r>
          </w:p>
          <w:p w14:paraId="016AA587" w14:textId="77777777" w:rsidR="005A724B" w:rsidRDefault="005D2FFE">
            <w:pPr>
              <w:widowControl w:val="0"/>
              <w:spacing w:line="240" w:lineRule="auto"/>
              <w:jc w:val="left"/>
              <w:rPr>
                <w:color w:val="990000"/>
                <w:sz w:val="20"/>
                <w:szCs w:val="20"/>
              </w:rPr>
            </w:pPr>
            <w:r>
              <w:rPr>
                <w:color w:val="990000"/>
                <w:sz w:val="20"/>
                <w:szCs w:val="20"/>
              </w:rPr>
              <w:t xml:space="preserve">Sector allocations that are narrowly defined may strand catch- i.e., incidental catch of one species can limit directed fishing of another (e.g., sablefish in </w:t>
            </w:r>
            <w:proofErr w:type="spellStart"/>
            <w:r>
              <w:rPr>
                <w:color w:val="990000"/>
                <w:sz w:val="20"/>
                <w:szCs w:val="20"/>
              </w:rPr>
              <w:t>arrowtooth</w:t>
            </w:r>
            <w:proofErr w:type="spellEnd"/>
            <w:r>
              <w:rPr>
                <w:color w:val="990000"/>
                <w:sz w:val="20"/>
                <w:szCs w:val="20"/>
              </w:rPr>
              <w:t xml:space="preserve"> and stranded p. cod</w:t>
            </w:r>
          </w:p>
        </w:tc>
        <w:tc>
          <w:tcPr>
            <w:tcW w:w="1620" w:type="dxa"/>
            <w:shd w:val="clear" w:color="auto" w:fill="auto"/>
            <w:tcMar>
              <w:top w:w="100" w:type="dxa"/>
              <w:left w:w="100" w:type="dxa"/>
              <w:bottom w:w="100" w:type="dxa"/>
              <w:right w:w="100" w:type="dxa"/>
            </w:tcMar>
          </w:tcPr>
          <w:p w14:paraId="735CCE0F" w14:textId="77777777" w:rsidR="005A724B" w:rsidRDefault="005D2FFE">
            <w:pPr>
              <w:widowControl w:val="0"/>
              <w:spacing w:line="240" w:lineRule="auto"/>
              <w:jc w:val="left"/>
              <w:rPr>
                <w:color w:val="990000"/>
                <w:sz w:val="20"/>
                <w:szCs w:val="20"/>
              </w:rPr>
            </w:pPr>
            <w:r>
              <w:rPr>
                <w:color w:val="990000"/>
                <w:sz w:val="20"/>
                <w:szCs w:val="20"/>
              </w:rPr>
              <w:t>Observer and EM can be cost-prohibitive</w:t>
            </w:r>
          </w:p>
          <w:p w14:paraId="4A5A011F" w14:textId="77777777" w:rsidR="005A724B" w:rsidRDefault="005D2FFE">
            <w:pPr>
              <w:widowControl w:val="0"/>
              <w:spacing w:line="240" w:lineRule="auto"/>
              <w:jc w:val="left"/>
              <w:rPr>
                <w:color w:val="990000"/>
                <w:sz w:val="20"/>
                <w:szCs w:val="20"/>
              </w:rPr>
            </w:pPr>
            <w:r>
              <w:rPr>
                <w:color w:val="990000"/>
                <w:sz w:val="20"/>
                <w:szCs w:val="20"/>
              </w:rPr>
              <w:t xml:space="preserve">Confidentiality </w:t>
            </w:r>
          </w:p>
          <w:p w14:paraId="79E9E863" w14:textId="77777777" w:rsidR="005A724B" w:rsidRDefault="005D2FFE">
            <w:pPr>
              <w:widowControl w:val="0"/>
              <w:spacing w:line="240" w:lineRule="auto"/>
              <w:jc w:val="left"/>
              <w:rPr>
                <w:color w:val="990000"/>
                <w:sz w:val="20"/>
                <w:szCs w:val="20"/>
              </w:rPr>
            </w:pPr>
            <w:r>
              <w:rPr>
                <w:color w:val="990000"/>
                <w:sz w:val="20"/>
                <w:szCs w:val="20"/>
              </w:rPr>
              <w:t>Inaccessible data platforms</w:t>
            </w:r>
          </w:p>
          <w:p w14:paraId="1D850DE9" w14:textId="77777777" w:rsidR="005A724B" w:rsidRDefault="005D2FFE">
            <w:pPr>
              <w:widowControl w:val="0"/>
              <w:spacing w:line="240" w:lineRule="auto"/>
              <w:jc w:val="left"/>
              <w:rPr>
                <w:color w:val="990000"/>
                <w:sz w:val="20"/>
                <w:szCs w:val="20"/>
              </w:rPr>
            </w:pPr>
            <w:r>
              <w:rPr>
                <w:color w:val="990000"/>
                <w:sz w:val="20"/>
                <w:szCs w:val="20"/>
              </w:rPr>
              <w:t>Maintenance and development costs for data products</w:t>
            </w:r>
          </w:p>
          <w:p w14:paraId="14736582" w14:textId="77777777" w:rsidR="005A724B" w:rsidRDefault="005D2FFE">
            <w:pPr>
              <w:widowControl w:val="0"/>
              <w:spacing w:line="240" w:lineRule="auto"/>
              <w:jc w:val="left"/>
              <w:rPr>
                <w:color w:val="990000"/>
                <w:sz w:val="20"/>
                <w:szCs w:val="20"/>
              </w:rPr>
            </w:pPr>
            <w:r>
              <w:rPr>
                <w:color w:val="990000"/>
                <w:sz w:val="20"/>
                <w:szCs w:val="20"/>
              </w:rPr>
              <w:t>Lack of coordination among data providers resulting in duplication of efforts</w:t>
            </w:r>
          </w:p>
          <w:p w14:paraId="2A09F91B" w14:textId="77777777" w:rsidR="005A724B" w:rsidRDefault="005D2FFE">
            <w:pPr>
              <w:widowControl w:val="0"/>
              <w:spacing w:line="240" w:lineRule="auto"/>
              <w:jc w:val="left"/>
              <w:rPr>
                <w:color w:val="990000"/>
                <w:sz w:val="20"/>
                <w:szCs w:val="20"/>
              </w:rPr>
            </w:pPr>
            <w:r>
              <w:rPr>
                <w:color w:val="990000"/>
                <w:sz w:val="20"/>
                <w:szCs w:val="20"/>
              </w:rPr>
              <w:t xml:space="preserve">Staff and infrastructure </w:t>
            </w:r>
            <w:r>
              <w:rPr>
                <w:color w:val="990000"/>
                <w:sz w:val="20"/>
                <w:szCs w:val="20"/>
              </w:rPr>
              <w:lastRenderedPageBreak/>
              <w:t xml:space="preserve">intensive </w:t>
            </w:r>
          </w:p>
        </w:tc>
        <w:tc>
          <w:tcPr>
            <w:tcW w:w="1635" w:type="dxa"/>
            <w:shd w:val="clear" w:color="auto" w:fill="auto"/>
            <w:tcMar>
              <w:top w:w="100" w:type="dxa"/>
              <w:left w:w="100" w:type="dxa"/>
              <w:bottom w:w="100" w:type="dxa"/>
              <w:right w:w="100" w:type="dxa"/>
            </w:tcMar>
          </w:tcPr>
          <w:p w14:paraId="5BA64238" w14:textId="77777777" w:rsidR="005A724B" w:rsidRDefault="005D2FFE">
            <w:pPr>
              <w:widowControl w:val="0"/>
              <w:spacing w:line="240" w:lineRule="auto"/>
              <w:jc w:val="left"/>
              <w:rPr>
                <w:color w:val="990000"/>
                <w:sz w:val="20"/>
                <w:szCs w:val="20"/>
              </w:rPr>
            </w:pPr>
            <w:r>
              <w:rPr>
                <w:color w:val="990000"/>
                <w:sz w:val="20"/>
                <w:szCs w:val="20"/>
              </w:rPr>
              <w:lastRenderedPageBreak/>
              <w:t xml:space="preserve">Transparency and trust could be an issue for </w:t>
            </w:r>
            <w:r>
              <w:rPr>
                <w:color w:val="990000"/>
                <w:sz w:val="20"/>
                <w:szCs w:val="20"/>
              </w:rPr>
              <w:t>some members of the public</w:t>
            </w:r>
          </w:p>
          <w:p w14:paraId="14474E24" w14:textId="77777777" w:rsidR="005A724B" w:rsidRDefault="005A724B">
            <w:pPr>
              <w:widowControl w:val="0"/>
              <w:spacing w:line="240" w:lineRule="auto"/>
              <w:jc w:val="left"/>
              <w:rPr>
                <w:color w:val="990000"/>
                <w:sz w:val="20"/>
                <w:szCs w:val="20"/>
              </w:rPr>
            </w:pPr>
          </w:p>
          <w:p w14:paraId="0E8D6EDB" w14:textId="77777777" w:rsidR="005A724B" w:rsidRDefault="005A724B">
            <w:pPr>
              <w:widowControl w:val="0"/>
              <w:spacing w:line="240" w:lineRule="auto"/>
              <w:jc w:val="left"/>
              <w:rPr>
                <w:color w:val="990000"/>
                <w:sz w:val="20"/>
                <w:szCs w:val="20"/>
              </w:rPr>
            </w:pPr>
          </w:p>
        </w:tc>
      </w:tr>
      <w:tr w:rsidR="005A724B" w14:paraId="2D921910" w14:textId="77777777">
        <w:tc>
          <w:tcPr>
            <w:tcW w:w="1350" w:type="dxa"/>
            <w:shd w:val="clear" w:color="auto" w:fill="FCE5CD"/>
            <w:tcMar>
              <w:top w:w="100" w:type="dxa"/>
              <w:left w:w="100" w:type="dxa"/>
              <w:bottom w:w="100" w:type="dxa"/>
              <w:right w:w="100" w:type="dxa"/>
            </w:tcMar>
          </w:tcPr>
          <w:p w14:paraId="288AD7EE" w14:textId="77777777" w:rsidR="005A724B" w:rsidRDefault="005D2FFE">
            <w:pPr>
              <w:widowControl w:val="0"/>
              <w:spacing w:line="240" w:lineRule="auto"/>
              <w:jc w:val="left"/>
              <w:rPr>
                <w:b/>
                <w:sz w:val="20"/>
                <w:szCs w:val="20"/>
              </w:rPr>
            </w:pPr>
            <w:r>
              <w:rPr>
                <w:b/>
                <w:sz w:val="20"/>
                <w:szCs w:val="20"/>
              </w:rPr>
              <w:t xml:space="preserve">Opportunities for Improvements </w:t>
            </w:r>
          </w:p>
        </w:tc>
        <w:tc>
          <w:tcPr>
            <w:tcW w:w="1665" w:type="dxa"/>
            <w:shd w:val="clear" w:color="auto" w:fill="auto"/>
            <w:tcMar>
              <w:top w:w="100" w:type="dxa"/>
              <w:left w:w="100" w:type="dxa"/>
              <w:bottom w:w="100" w:type="dxa"/>
              <w:right w:w="100" w:type="dxa"/>
            </w:tcMar>
          </w:tcPr>
          <w:p w14:paraId="718A952F" w14:textId="77777777" w:rsidR="005A724B" w:rsidRDefault="005D2FFE">
            <w:pPr>
              <w:widowControl w:val="0"/>
              <w:spacing w:line="240" w:lineRule="auto"/>
              <w:jc w:val="left"/>
              <w:rPr>
                <w:color w:val="B45F06"/>
                <w:sz w:val="20"/>
                <w:szCs w:val="20"/>
              </w:rPr>
            </w:pPr>
            <w:r>
              <w:rPr>
                <w:color w:val="B45F06"/>
                <w:sz w:val="20"/>
                <w:szCs w:val="20"/>
              </w:rPr>
              <w:t xml:space="preserve">Consider whether flexibility in certain Council- defined management actions would allow for more timely responses to change that would not be detrimental. </w:t>
            </w:r>
          </w:p>
        </w:tc>
        <w:tc>
          <w:tcPr>
            <w:tcW w:w="1515" w:type="dxa"/>
            <w:shd w:val="clear" w:color="auto" w:fill="auto"/>
            <w:tcMar>
              <w:top w:w="100" w:type="dxa"/>
              <w:left w:w="100" w:type="dxa"/>
              <w:bottom w:w="100" w:type="dxa"/>
              <w:right w:w="100" w:type="dxa"/>
            </w:tcMar>
          </w:tcPr>
          <w:p w14:paraId="6C8A101A" w14:textId="77777777" w:rsidR="005A724B" w:rsidRDefault="005D2FFE">
            <w:pPr>
              <w:widowControl w:val="0"/>
              <w:spacing w:line="240" w:lineRule="auto"/>
              <w:jc w:val="left"/>
              <w:rPr>
                <w:color w:val="B45F06"/>
                <w:sz w:val="20"/>
                <w:szCs w:val="20"/>
              </w:rPr>
            </w:pPr>
            <w:r>
              <w:rPr>
                <w:color w:val="B45F06"/>
                <w:sz w:val="20"/>
                <w:szCs w:val="20"/>
              </w:rPr>
              <w:t>Consider giving sectors the ability to</w:t>
            </w:r>
            <w:r>
              <w:rPr>
                <w:color w:val="B45F06"/>
                <w:sz w:val="20"/>
                <w:szCs w:val="20"/>
              </w:rPr>
              <w:t xml:space="preserve"> trade amongst themselves</w:t>
            </w:r>
          </w:p>
        </w:tc>
        <w:tc>
          <w:tcPr>
            <w:tcW w:w="1470" w:type="dxa"/>
            <w:shd w:val="clear" w:color="auto" w:fill="auto"/>
            <w:tcMar>
              <w:top w:w="100" w:type="dxa"/>
              <w:left w:w="100" w:type="dxa"/>
              <w:bottom w:w="100" w:type="dxa"/>
              <w:right w:w="100" w:type="dxa"/>
            </w:tcMar>
          </w:tcPr>
          <w:p w14:paraId="0798A22C" w14:textId="77777777" w:rsidR="005A724B" w:rsidRDefault="005D2FFE">
            <w:pPr>
              <w:widowControl w:val="0"/>
              <w:spacing w:line="240" w:lineRule="auto"/>
              <w:jc w:val="left"/>
              <w:rPr>
                <w:color w:val="B45F06"/>
                <w:sz w:val="20"/>
                <w:szCs w:val="20"/>
              </w:rPr>
            </w:pPr>
            <w:r>
              <w:rPr>
                <w:color w:val="B45F06"/>
                <w:sz w:val="20"/>
                <w:szCs w:val="20"/>
              </w:rPr>
              <w:t xml:space="preserve">As sector allocations have been refined seasonal limits have become binding on some but not on others.  Looking at global seasonal harvest may allow for added flexibility (i.e., allowing sector(s) to harvest more fish in A season </w:t>
            </w:r>
            <w:r>
              <w:rPr>
                <w:color w:val="B45F06"/>
                <w:sz w:val="20"/>
                <w:szCs w:val="20"/>
              </w:rPr>
              <w:t>if globally the limit won’t be exceeded)</w:t>
            </w:r>
          </w:p>
        </w:tc>
        <w:tc>
          <w:tcPr>
            <w:tcW w:w="1590" w:type="dxa"/>
            <w:shd w:val="clear" w:color="auto" w:fill="auto"/>
            <w:tcMar>
              <w:top w:w="100" w:type="dxa"/>
              <w:left w:w="100" w:type="dxa"/>
              <w:bottom w:w="100" w:type="dxa"/>
              <w:right w:w="100" w:type="dxa"/>
            </w:tcMar>
          </w:tcPr>
          <w:p w14:paraId="059214AE" w14:textId="77777777" w:rsidR="005A724B" w:rsidRDefault="005D2FFE">
            <w:pPr>
              <w:widowControl w:val="0"/>
              <w:spacing w:line="240" w:lineRule="auto"/>
              <w:jc w:val="left"/>
              <w:rPr>
                <w:color w:val="B45F06"/>
                <w:sz w:val="20"/>
                <w:szCs w:val="20"/>
              </w:rPr>
            </w:pPr>
            <w:r>
              <w:rPr>
                <w:color w:val="B45F06"/>
                <w:sz w:val="20"/>
                <w:szCs w:val="20"/>
              </w:rPr>
              <w:t xml:space="preserve">Explore whether it makes sense to allow for flexibility if certain conditions are met.  </w:t>
            </w:r>
          </w:p>
        </w:tc>
        <w:tc>
          <w:tcPr>
            <w:tcW w:w="1785" w:type="dxa"/>
            <w:shd w:val="clear" w:color="auto" w:fill="auto"/>
            <w:tcMar>
              <w:top w:w="100" w:type="dxa"/>
              <w:left w:w="100" w:type="dxa"/>
              <w:bottom w:w="100" w:type="dxa"/>
              <w:right w:w="100" w:type="dxa"/>
            </w:tcMar>
          </w:tcPr>
          <w:p w14:paraId="50300E82" w14:textId="77777777" w:rsidR="005A724B" w:rsidRDefault="005D2FFE">
            <w:pPr>
              <w:widowControl w:val="0"/>
              <w:spacing w:line="240" w:lineRule="auto"/>
              <w:jc w:val="left"/>
              <w:rPr>
                <w:color w:val="B45F06"/>
                <w:sz w:val="20"/>
                <w:szCs w:val="20"/>
              </w:rPr>
            </w:pPr>
            <w:r>
              <w:rPr>
                <w:color w:val="B45F06"/>
                <w:sz w:val="20"/>
                <w:szCs w:val="20"/>
              </w:rPr>
              <w:t xml:space="preserve">Are there ways to increase flexibility by broadening the concepts of flatfish flexibility and use of the non-specified reserve?  </w:t>
            </w:r>
          </w:p>
          <w:p w14:paraId="5EA96D03" w14:textId="77777777" w:rsidR="005A724B" w:rsidRDefault="005A724B">
            <w:pPr>
              <w:widowControl w:val="0"/>
              <w:spacing w:line="240" w:lineRule="auto"/>
              <w:jc w:val="left"/>
              <w:rPr>
                <w:color w:val="B45F06"/>
                <w:sz w:val="20"/>
                <w:szCs w:val="20"/>
              </w:rPr>
            </w:pPr>
          </w:p>
        </w:tc>
        <w:tc>
          <w:tcPr>
            <w:tcW w:w="1620" w:type="dxa"/>
            <w:shd w:val="clear" w:color="auto" w:fill="auto"/>
            <w:tcMar>
              <w:top w:w="100" w:type="dxa"/>
              <w:left w:w="100" w:type="dxa"/>
              <w:bottom w:w="100" w:type="dxa"/>
              <w:right w:w="100" w:type="dxa"/>
            </w:tcMar>
          </w:tcPr>
          <w:p w14:paraId="24C7F97D" w14:textId="77777777" w:rsidR="005A724B" w:rsidRDefault="005D2FFE">
            <w:pPr>
              <w:widowControl w:val="0"/>
              <w:spacing w:line="240" w:lineRule="auto"/>
              <w:jc w:val="left"/>
              <w:rPr>
                <w:color w:val="B45F06"/>
                <w:sz w:val="20"/>
                <w:szCs w:val="20"/>
              </w:rPr>
            </w:pPr>
            <w:r>
              <w:rPr>
                <w:color w:val="B45F06"/>
                <w:sz w:val="20"/>
                <w:szCs w:val="20"/>
              </w:rPr>
              <w:t>Data products that integrate fishery dependent information with fishery independent information (e.g., habitat, oceanographic</w:t>
            </w:r>
            <w:r>
              <w:rPr>
                <w:color w:val="B45F06"/>
                <w:sz w:val="20"/>
                <w:szCs w:val="20"/>
              </w:rPr>
              <w:t>, survey, stock dynamics)</w:t>
            </w:r>
          </w:p>
          <w:p w14:paraId="26BAEB61" w14:textId="77777777" w:rsidR="005A724B" w:rsidRDefault="005D2FFE">
            <w:pPr>
              <w:widowControl w:val="0"/>
              <w:spacing w:line="240" w:lineRule="auto"/>
              <w:jc w:val="left"/>
              <w:rPr>
                <w:color w:val="B45F06"/>
                <w:sz w:val="20"/>
                <w:szCs w:val="20"/>
              </w:rPr>
            </w:pPr>
            <w:r>
              <w:rPr>
                <w:color w:val="B45F06"/>
                <w:sz w:val="20"/>
                <w:szCs w:val="20"/>
              </w:rPr>
              <w:t>Coordination among data providers to streamline data services and development</w:t>
            </w:r>
          </w:p>
        </w:tc>
        <w:tc>
          <w:tcPr>
            <w:tcW w:w="1635" w:type="dxa"/>
            <w:shd w:val="clear" w:color="auto" w:fill="auto"/>
            <w:tcMar>
              <w:top w:w="100" w:type="dxa"/>
              <w:left w:w="100" w:type="dxa"/>
              <w:bottom w:w="100" w:type="dxa"/>
              <w:right w:w="100" w:type="dxa"/>
            </w:tcMar>
          </w:tcPr>
          <w:p w14:paraId="6BE4C034" w14:textId="77777777" w:rsidR="005A724B" w:rsidRDefault="005D2FFE">
            <w:pPr>
              <w:widowControl w:val="0"/>
              <w:spacing w:line="240" w:lineRule="auto"/>
              <w:jc w:val="left"/>
              <w:rPr>
                <w:color w:val="B45F06"/>
                <w:sz w:val="20"/>
                <w:szCs w:val="20"/>
              </w:rPr>
            </w:pPr>
            <w:r>
              <w:rPr>
                <w:color w:val="B45F06"/>
                <w:sz w:val="20"/>
                <w:szCs w:val="20"/>
              </w:rPr>
              <w:t xml:space="preserve">Are there changes/additions to data integration that can improve the timeliness and quality of data to better inform on-the-water decisions? </w:t>
            </w:r>
          </w:p>
          <w:p w14:paraId="41AE6E2C" w14:textId="77777777" w:rsidR="005A724B" w:rsidRDefault="005D2FFE">
            <w:pPr>
              <w:widowControl w:val="0"/>
              <w:spacing w:line="240" w:lineRule="auto"/>
              <w:jc w:val="left"/>
              <w:rPr>
                <w:color w:val="B45F06"/>
                <w:sz w:val="20"/>
                <w:szCs w:val="20"/>
              </w:rPr>
            </w:pPr>
            <w:r>
              <w:rPr>
                <w:color w:val="B45F06"/>
                <w:sz w:val="20"/>
                <w:szCs w:val="20"/>
              </w:rPr>
              <w:t>Create fav</w:t>
            </w:r>
            <w:r>
              <w:rPr>
                <w:color w:val="B45F06"/>
                <w:sz w:val="20"/>
                <w:szCs w:val="20"/>
              </w:rPr>
              <w:t>orable regulatory and funding environment for cooperative research on  climate-related adaptation for management purposes</w:t>
            </w:r>
          </w:p>
          <w:p w14:paraId="5BC55B62" w14:textId="77777777" w:rsidR="005A724B" w:rsidRDefault="005A724B">
            <w:pPr>
              <w:widowControl w:val="0"/>
              <w:spacing w:line="240" w:lineRule="auto"/>
              <w:jc w:val="left"/>
              <w:rPr>
                <w:color w:val="B45F06"/>
                <w:sz w:val="20"/>
                <w:szCs w:val="20"/>
              </w:rPr>
            </w:pPr>
          </w:p>
          <w:p w14:paraId="3D4FB0CB" w14:textId="77777777" w:rsidR="005A724B" w:rsidRDefault="005A724B">
            <w:pPr>
              <w:widowControl w:val="0"/>
              <w:spacing w:line="240" w:lineRule="auto"/>
              <w:jc w:val="left"/>
              <w:rPr>
                <w:color w:val="B45F06"/>
                <w:sz w:val="20"/>
                <w:szCs w:val="20"/>
              </w:rPr>
            </w:pPr>
          </w:p>
          <w:p w14:paraId="353E2EB1" w14:textId="77777777" w:rsidR="005A724B" w:rsidRDefault="005A724B">
            <w:pPr>
              <w:widowControl w:val="0"/>
              <w:spacing w:line="240" w:lineRule="auto"/>
              <w:jc w:val="left"/>
              <w:rPr>
                <w:color w:val="B45F06"/>
                <w:sz w:val="20"/>
                <w:szCs w:val="20"/>
              </w:rPr>
            </w:pPr>
          </w:p>
        </w:tc>
      </w:tr>
    </w:tbl>
    <w:p w14:paraId="58D84FB4" w14:textId="77777777" w:rsidR="005A724B" w:rsidRDefault="005A724B">
      <w:pPr>
        <w:rPr>
          <w:b/>
        </w:rPr>
        <w:sectPr w:rsidR="005A724B">
          <w:pgSz w:w="15840" w:h="12240" w:orient="landscape"/>
          <w:pgMar w:top="1440" w:right="1440" w:bottom="1440" w:left="1440" w:header="720" w:footer="720" w:gutter="0"/>
          <w:cols w:space="720"/>
        </w:sectPr>
      </w:pPr>
    </w:p>
    <w:p w14:paraId="7D76A4DF" w14:textId="77777777" w:rsidR="005A724B" w:rsidRDefault="005D2FFE">
      <w:pPr>
        <w:pStyle w:val="Heading3"/>
      </w:pPr>
      <w:bookmarkStart w:id="17" w:name="_rzbxu7tfheht" w:colFirst="0" w:colLast="0"/>
      <w:bookmarkEnd w:id="17"/>
      <w:r>
        <w:rPr>
          <w:noProof/>
        </w:rPr>
        <w:lastRenderedPageBreak/>
        <w:drawing>
          <wp:inline distT="114300" distB="114300" distL="114300" distR="114300" wp14:anchorId="2AA98D7A" wp14:editId="45A53B77">
            <wp:extent cx="5943600" cy="4597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4597400"/>
                    </a:xfrm>
                    <a:prstGeom prst="rect">
                      <a:avLst/>
                    </a:prstGeom>
                    <a:ln/>
                  </pic:spPr>
                </pic:pic>
              </a:graphicData>
            </a:graphic>
          </wp:inline>
        </w:drawing>
      </w:r>
    </w:p>
    <w:p w14:paraId="4BA00236" w14:textId="77777777" w:rsidR="005A724B" w:rsidRDefault="005D2FFE">
      <w:pPr>
        <w:pStyle w:val="Heading5"/>
      </w:pPr>
      <w:bookmarkStart w:id="18" w:name="_f15l8goctl6i" w:colFirst="0" w:colLast="0"/>
      <w:bookmarkEnd w:id="18"/>
      <w:r>
        <w:t>Figure 1.1 Overview of a range of area closures in the BSAI, GOA and Arctic.</w:t>
      </w:r>
    </w:p>
    <w:p w14:paraId="5481AD8E" w14:textId="77777777" w:rsidR="005A724B" w:rsidRDefault="005D2FFE">
      <w:pPr>
        <w:pStyle w:val="Heading3"/>
      </w:pPr>
      <w:bookmarkStart w:id="19" w:name="_o4tzhhipaeem" w:colFirst="0" w:colLast="0"/>
      <w:bookmarkEnd w:id="19"/>
      <w:r>
        <w:t xml:space="preserve">Select examples of management measures and </w:t>
      </w:r>
      <w:r>
        <w:t>relative ranking</w:t>
      </w:r>
    </w:p>
    <w:p w14:paraId="0DEBF58F" w14:textId="77777777" w:rsidR="005A724B" w:rsidRDefault="005D2FFE">
      <w:r>
        <w:t>The following are examples of individual management measures as listed in Table 1.2 and how they may be assessed against the ranking criteria in Table 1.1.  These examples are chosen to highlight both strengths and weaknesses in the current suite of manage</w:t>
      </w:r>
      <w:r>
        <w:t>ment measures as it relates to developing more climate ready fisheries management action.</w:t>
      </w:r>
    </w:p>
    <w:p w14:paraId="303821AD" w14:textId="77777777" w:rsidR="005A724B" w:rsidRDefault="005D2FFE">
      <w:pPr>
        <w:pStyle w:val="Heading4"/>
      </w:pPr>
      <w:bookmarkStart w:id="20" w:name="_x1cqd9xjbbmg" w:colFirst="0" w:colLast="0"/>
      <w:bookmarkEnd w:id="20"/>
      <w:r>
        <w:t>Special area management</w:t>
      </w:r>
    </w:p>
    <w:p w14:paraId="7470C28F" w14:textId="77777777" w:rsidR="005A724B" w:rsidRDefault="005D2FFE">
      <w:pPr>
        <w:pStyle w:val="Heading5"/>
      </w:pPr>
      <w:bookmarkStart w:id="21" w:name="_o0bblcwzojcs" w:colFirst="0" w:colLast="0"/>
      <w:bookmarkEnd w:id="21"/>
      <w:r>
        <w:t xml:space="preserve">Herring Savings Area: </w:t>
      </w:r>
    </w:p>
    <w:p w14:paraId="24E4EA8D" w14:textId="77777777" w:rsidR="005A724B" w:rsidRDefault="005D2FFE">
      <w:r>
        <w:t>The herring savings areas are time/area closure triggered by a PSC limit equal to 1% of the estimated herring biomass e</w:t>
      </w:r>
      <w:r>
        <w:t>stablished by the State of Alaska.  The limit is apportioned to fishery categories in conjunction with the harvest specifications each year.  When reached, the limit triggers spatial and temporal closures (see below). The timing and location of these closu</w:t>
      </w:r>
      <w:r>
        <w:t xml:space="preserve">res were </w:t>
      </w:r>
      <w:r>
        <w:lastRenderedPageBreak/>
        <w:t xml:space="preserve">intended to reflect the best known information at that time on herring migration patterns. Thus some flexibility in response to environmental conditions as it reflects herring migration was initially built into this system however over time these </w:t>
      </w:r>
      <w:r>
        <w:t>closures may no longer reflect current conditions. The measure could be considered a ranking of 2 but highlights the need for continued review and revision of these types of measures in the future.</w:t>
      </w:r>
    </w:p>
    <w:p w14:paraId="7D06EDC6" w14:textId="77777777" w:rsidR="005A724B" w:rsidRDefault="005D2FFE">
      <w:r>
        <w:rPr>
          <w:noProof/>
        </w:rPr>
        <w:drawing>
          <wp:inline distT="114300" distB="114300" distL="114300" distR="114300" wp14:anchorId="6EE71C45" wp14:editId="33346D51">
            <wp:extent cx="4052888" cy="24875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052888" cy="2487590"/>
                    </a:xfrm>
                    <a:prstGeom prst="rect">
                      <a:avLst/>
                    </a:prstGeom>
                    <a:ln/>
                  </pic:spPr>
                </pic:pic>
              </a:graphicData>
            </a:graphic>
          </wp:inline>
        </w:drawing>
      </w:r>
      <w:r>
        <w:t xml:space="preserve"> </w:t>
      </w:r>
    </w:p>
    <w:p w14:paraId="0DDCBADF" w14:textId="77777777" w:rsidR="005A724B" w:rsidRDefault="005D2FFE">
      <w:r>
        <w:t>Figure 1.2</w:t>
      </w:r>
    </w:p>
    <w:p w14:paraId="67F9ACE4" w14:textId="77777777" w:rsidR="005A724B" w:rsidRDefault="005D2FFE">
      <w:pPr>
        <w:pStyle w:val="Heading5"/>
      </w:pPr>
      <w:bookmarkStart w:id="22" w:name="_dxulpx6bvr47" w:colFirst="0" w:colLast="0"/>
      <w:bookmarkEnd w:id="22"/>
      <w:r>
        <w:t>Red King Crab Savings Area</w:t>
      </w:r>
    </w:p>
    <w:p w14:paraId="706A8349" w14:textId="77777777" w:rsidR="005A724B" w:rsidRDefault="005D2FFE">
      <w:r>
        <w:t xml:space="preserve">Initially closed </w:t>
      </w:r>
      <w:r>
        <w:t>by emergency rule by NMFS, the Red King Crab Savings Area (RKCSA) was established in 1995 (and subsequently modified through Amendment 37) to protect Bristol Bay red king crab during the molting and mating period January 20 to March 31st and subsequently c</w:t>
      </w:r>
      <w:r>
        <w:t>losed year-round. No survey exists in the winter time so there is limited data from which to assess if the area of this closure continues to contain molting and mating crab or if other areas in Bristol Bay would provide better protection to the stock.  Thu</w:t>
      </w:r>
      <w:r>
        <w:t>s while initially precautionary due to a declining stock of BBRKC (a decline the stock is again experiencing in recent years) and temporally during the vulnerable molting and mating time, the now year-round closure itself is fixed and inflexible to potenti</w:t>
      </w:r>
      <w:r>
        <w:t xml:space="preserve">al population shifts and temporal flexibility.  This measure ranks a 1 and also highlights the need for further review of efficacy of fixed management measures over time. </w:t>
      </w:r>
    </w:p>
    <w:p w14:paraId="413B8D44" w14:textId="77777777" w:rsidR="005A724B" w:rsidRDefault="005A724B"/>
    <w:p w14:paraId="24A74C63" w14:textId="77777777" w:rsidR="005A724B" w:rsidRDefault="005D2FFE">
      <w:pPr>
        <w:pStyle w:val="Heading5"/>
      </w:pPr>
      <w:bookmarkStart w:id="23" w:name="_ahgyhh9wr1yv" w:colFirst="0" w:colLast="0"/>
      <w:bookmarkEnd w:id="23"/>
      <w:r>
        <w:t>Figure 1.3 Location of Red King Crab Savings Area</w:t>
      </w:r>
    </w:p>
    <w:p w14:paraId="412A2DE8" w14:textId="77777777" w:rsidR="005A724B" w:rsidRDefault="005D2FFE">
      <w:pPr>
        <w:pStyle w:val="Heading4"/>
      </w:pPr>
      <w:bookmarkStart w:id="24" w:name="_5sanir9wjm1l" w:colFirst="0" w:colLast="0"/>
      <w:bookmarkEnd w:id="24"/>
      <w:r>
        <w:t>Quota programs</w:t>
      </w:r>
    </w:p>
    <w:p w14:paraId="0A30031D" w14:textId="77777777" w:rsidR="005A724B" w:rsidRDefault="005D2FFE">
      <w:pPr>
        <w:rPr>
          <w:sz w:val="24"/>
          <w:szCs w:val="24"/>
        </w:rPr>
      </w:pPr>
      <w:r>
        <w:t>In comparison to non-rationalized fisheries, quota programs such as IFQ, CDQ, A-80, AFA, and trawl CV P-cod (once implemented) offer participants enhanced flexibility and control over when and where they fish.  This enables participants to incorporate clim</w:t>
      </w:r>
      <w:r>
        <w:t>ate information and climate-</w:t>
      </w:r>
      <w:r>
        <w:lastRenderedPageBreak/>
        <w:t xml:space="preserve">induced changes into their fishing plans.  The enhanced flexibility offered under these programs does not extend to all aspects of these fisheries as seasonal limits, time/area closures, etc. still apply, but it does afford the </w:t>
      </w:r>
      <w:r>
        <w:t>opportunity to respond in ways those in non-rationalized fisheries cannot.  Quota programs are somewhat ready ranking a 3 in terms of climate readiness, but enhanced regulatory flexibility would advance their readiness ranking.</w:t>
      </w:r>
    </w:p>
    <w:p w14:paraId="6EF41D3D" w14:textId="77777777" w:rsidR="005A724B" w:rsidRDefault="005D2FFE">
      <w:pPr>
        <w:pStyle w:val="Heading4"/>
      </w:pPr>
      <w:bookmarkStart w:id="25" w:name="_nl5yocshgzyq" w:colFirst="0" w:colLast="0"/>
      <w:bookmarkEnd w:id="25"/>
      <w:r>
        <w:t>Seasonal allocations</w:t>
      </w:r>
    </w:p>
    <w:p w14:paraId="2612A5B9" w14:textId="77777777" w:rsidR="005A724B" w:rsidRDefault="005D2FFE">
      <w:pPr>
        <w:pStyle w:val="Heading4"/>
      </w:pPr>
      <w:bookmarkStart w:id="26" w:name="_57udwy7k4gmu" w:colFirst="0" w:colLast="0"/>
      <w:bookmarkEnd w:id="26"/>
      <w:r>
        <w:t>Gear/ve</w:t>
      </w:r>
      <w:r>
        <w:t>ssel/retention</w:t>
      </w:r>
    </w:p>
    <w:p w14:paraId="346C67B9" w14:textId="77777777" w:rsidR="005A724B" w:rsidRDefault="005D2FFE">
      <w:r>
        <w:t>Gear and retention requirements are components of many management programs and are designed to modify mortality associated with catch, improve utilization, or limit catch. These activities can be established in regulation (e.g., gear restric</w:t>
      </w:r>
      <w:r>
        <w:t>tions or vessel size requirements), a combination of regulation and industry efforts (e.g., deck sorting to reduce halibut mortality), or voluntary (trawl excluders). These measures may provide some management responses to climate by modifying bycatch mort</w:t>
      </w:r>
      <w:r>
        <w:t>ality, but the connection is not explicit at this point. There is likely benefit in reducing PSC mortality through deck sorting and trawl modifications, for example, to avoid fishery closures and improve the survival of released fish. However, these modifi</w:t>
      </w:r>
      <w:r>
        <w:t xml:space="preserve">cations are designed to reduce PSC mortality and whether additional measures are needed to make them responsive to climate is unclear. Gear modifications for target fisheries such as escape mechanisms that change the selectivity of fishing gear may reduce </w:t>
      </w:r>
      <w:r>
        <w:t>mortality on components of a fish or shellfish population. However, the time and potential costs associated with implementing regulatory measures and gear modifications complicate implementing this as a near-term adaptive measure. Additionally, as an adapt</w:t>
      </w:r>
      <w:r>
        <w:t xml:space="preserve">ive strategy to address near-term changes in population structures (e.g., large recruitment events or preservation of older fish), these measures may also have maladaptive characteristics that must be considered. </w:t>
      </w:r>
    </w:p>
    <w:p w14:paraId="3DD402EB" w14:textId="77777777" w:rsidR="005A724B" w:rsidRDefault="005D2FFE">
      <w:r>
        <w:t xml:space="preserve">Overall linkages to climate adaptation in </w:t>
      </w:r>
      <w:r>
        <w:t xml:space="preserve">this category are not explicit and thus further work is likely needed to establish adaptive management strategies. This category is rated 1 and whether this is an appropriate climate adaptation strategy is unclear.  </w:t>
      </w:r>
    </w:p>
    <w:p w14:paraId="0980BBA1" w14:textId="77777777" w:rsidR="005A724B" w:rsidRDefault="005D2FFE">
      <w:pPr>
        <w:pStyle w:val="Heading4"/>
      </w:pPr>
      <w:bookmarkStart w:id="27" w:name="_by37vc7nxfhi" w:colFirst="0" w:colLast="0"/>
      <w:bookmarkEnd w:id="27"/>
      <w:r>
        <w:t>TAC adjustments/exchanges</w:t>
      </w:r>
    </w:p>
    <w:p w14:paraId="2AAAC331" w14:textId="77777777" w:rsidR="005A724B" w:rsidRDefault="005D2FFE">
      <w:pPr>
        <w:pStyle w:val="Heading5"/>
      </w:pPr>
      <w:bookmarkStart w:id="28" w:name="_3qffqkunn67k" w:colFirst="0" w:colLast="0"/>
      <w:bookmarkEnd w:id="28"/>
      <w:r>
        <w:t>Flatfish exch</w:t>
      </w:r>
      <w:r>
        <w:t>ange</w:t>
      </w:r>
    </w:p>
    <w:p w14:paraId="740EEF03" w14:textId="77777777" w:rsidR="005A724B" w:rsidRDefault="005D2FFE">
      <w:r>
        <w:t>Flatfish exchange is a process for Community Development Quota (CDQ) groups and Amendment 80 (A80) cooperatives to exchange harvest quota of one or two of three flatfish species (flathead sole, rock sole, and yellowfin sole) for an equal amount of ano</w:t>
      </w:r>
      <w:r>
        <w:t>ther of these three flatfish species, while maintaining total catch below acceptable biological catch (ABC) limits. This process mitigates the operational variability, environmental conditions, and economic factors that may constrain these sectors from ach</w:t>
      </w:r>
      <w:r>
        <w:t>ieving, on a continuing basis, the optimum yield in the BSAI groundfish fisheries. This action is intended to result in higher retention and utilization of groundfish without increasing overall catch or bycatch of groundfish or non-groundfish species beyon</w:t>
      </w:r>
      <w:r>
        <w:t xml:space="preserve">d existing </w:t>
      </w:r>
      <w:proofErr w:type="spellStart"/>
      <w:r>
        <w:t>limitations.The</w:t>
      </w:r>
      <w:proofErr w:type="spellEnd"/>
      <w:r>
        <w:t xml:space="preserve"> Council annually recommends an ABC reserve for flathead sole, rock sole, and yellowfin sole, which are allocated to CDQ groups and the Amendment 80 </w:t>
      </w:r>
      <w:r>
        <w:lastRenderedPageBreak/>
        <w:t>cooperative using the same formulas that are used in the annual harvest specifica</w:t>
      </w:r>
      <w:r>
        <w:t>tion process. The ABC reserve for each species will be specified by the Council by evaluating the ABC surplus for the species (i.e., the differences between the ABC and TAC), and considering whether that amount needs to be reduced by a discretionary buffer</w:t>
      </w:r>
      <w:r>
        <w:t xml:space="preserve"> based on social, economic, or ecological considerations. The Council will then designate some, all, or none of the ABC surplus as the ABC reserve. This program provides innate flexibility in the ability to modify the buffer based on those considerations a</w:t>
      </w:r>
      <w:r>
        <w:t>nd they may all be considerations under changing climate conditions.  This program is rated a 3 for the flexibility that is built into it.</w:t>
      </w:r>
    </w:p>
    <w:p w14:paraId="7BF4397A" w14:textId="77777777" w:rsidR="005A724B" w:rsidRDefault="005D2FFE">
      <w:pPr>
        <w:pStyle w:val="Heading5"/>
      </w:pPr>
      <w:bookmarkStart w:id="29" w:name="_9bfpgkg96qdt" w:colFirst="0" w:colLast="0"/>
      <w:bookmarkEnd w:id="29"/>
      <w:r>
        <w:t>Optimum Yield (OY) range</w:t>
      </w:r>
    </w:p>
    <w:p w14:paraId="634DF308" w14:textId="77777777" w:rsidR="005A724B" w:rsidRDefault="005D2FFE">
      <w:r>
        <w:t>Established in the development of the Bering Sea FMP, the OY for the BSAI groundfish complex</w:t>
      </w:r>
      <w:r>
        <w:t xml:space="preserve"> is established as a range from 1.4 to 2.0 </w:t>
      </w:r>
      <w:proofErr w:type="spellStart"/>
      <w:r>
        <w:t>mmt</w:t>
      </w:r>
      <w:proofErr w:type="spellEnd"/>
      <w:r>
        <w:t>.  This range was selected based upon catches (reduced by 15%) from 1968-1977.  Note this is notably prior to the regime shift of 1977 so does not represent current environmental conditions experienced pre 1977</w:t>
      </w:r>
      <w:r>
        <w:t xml:space="preserve">.  However the OY is specified as the sum of the TACs in the BSAI and while capped at 2 </w:t>
      </w:r>
      <w:proofErr w:type="spellStart"/>
      <w:r>
        <w:t>mmt</w:t>
      </w:r>
      <w:proofErr w:type="spellEnd"/>
      <w:r>
        <w:t xml:space="preserve"> it could be set below that level if climate considerations indicated reduced productivity.  At the same time climate conditions may indicate increased productivity </w:t>
      </w:r>
      <w:r>
        <w:t>in which case the upper end of the range is limiting.  Therefore the flexibility provided by setting OY as a range is only provided in the downward direction.  This management measure is rated a 3 for explicitly providing some flexibility but as with other</w:t>
      </w:r>
      <w:r>
        <w:t xml:space="preserve"> individually specified measures could be evaluated to indicate whether changes are appropriate. </w:t>
      </w:r>
    </w:p>
    <w:p w14:paraId="40716188" w14:textId="77777777" w:rsidR="005A724B" w:rsidRDefault="005D2FFE">
      <w:pPr>
        <w:pStyle w:val="Heading4"/>
      </w:pPr>
      <w:bookmarkStart w:id="30" w:name="_q64hzp3r8bv2" w:colFirst="0" w:colLast="0"/>
      <w:bookmarkEnd w:id="30"/>
      <w:r>
        <w:t>Data integration</w:t>
      </w:r>
    </w:p>
    <w:p w14:paraId="58B78043" w14:textId="77777777" w:rsidR="005A724B" w:rsidRDefault="005D2FFE">
      <w:r>
        <w:t>The management of Alaskan fisheries are informed by comprehensive data collections that are supported by broad infrastructure and support nee</w:t>
      </w:r>
      <w:r>
        <w:t>ded to house, distribute, and communicate fishery dependent and independent data products, often in near-real time. Alaska has extensive at-sea and shoreside data collection programs that include onboard observers, electronic monitoring, shoreside landings</w:t>
      </w:r>
      <w:r>
        <w:t xml:space="preserve"> and at-sea processing information. Current data-related processes and existing architecture are well-supported and able to accommodate changes in monitoring programs. Front end applications such as </w:t>
      </w:r>
      <w:proofErr w:type="spellStart"/>
      <w:r>
        <w:t>eLandings</w:t>
      </w:r>
      <w:proofErr w:type="spellEnd"/>
      <w:r>
        <w:t xml:space="preserve">, </w:t>
      </w:r>
      <w:proofErr w:type="spellStart"/>
      <w:r>
        <w:t>tLandings</w:t>
      </w:r>
      <w:proofErr w:type="spellEnd"/>
      <w:r>
        <w:t xml:space="preserve">, and </w:t>
      </w:r>
      <w:proofErr w:type="spellStart"/>
      <w:r>
        <w:t>eFish</w:t>
      </w:r>
      <w:proofErr w:type="spellEnd"/>
      <w:r>
        <w:t xml:space="preserve"> provide user interfaces t</w:t>
      </w:r>
      <w:r>
        <w:t>o input catch information. On the backend, primary data services for fishery information are provided by the State of Alaska, National Marine Fisheries Service, and Pacific States Alaska Fishery Information Network (AKFIN). These services are also well pos</w:t>
      </w:r>
      <w:r>
        <w:t xml:space="preserve">itioned to incorporate emergent technologies in data acquisition processes, such as AI and electronic monitoring.  </w:t>
      </w:r>
    </w:p>
    <w:p w14:paraId="12C06CB9" w14:textId="77777777" w:rsidR="005A724B" w:rsidRDefault="005D2FFE">
      <w:r>
        <w:t>Responsive management to changes in oceanographic conditions and linkages to stock information will require evaluation of both fishery and e</w:t>
      </w:r>
      <w:r>
        <w:t>nvironmental conditions. Data products that integrate fishery independent sources such as surveys, genetics (salmon), community information, and oceanographic information with fishery dependent information are important areas of future development for clim</w:t>
      </w:r>
      <w:r>
        <w:t xml:space="preserve">ate-ready management. Creating broad access to climate-informative data products will require ongoing investment to provide data science and IT infrastructure services and to make improvements to database architecture. For example, </w:t>
      </w:r>
      <w:r>
        <w:lastRenderedPageBreak/>
        <w:t>improving salmon stock i</w:t>
      </w:r>
      <w:r>
        <w:t>dentification to inform industry-led salmon avoidance efforts requires data pipelines that provide information to industry on likely salmon stock distributions, real-time fishery data, and access to support for data and analytical products. Many of these r</w:t>
      </w:r>
      <w:r>
        <w:t>equirements are already available. The current state of data integration is rated a 4 given the robust data architecture and processes currently available; however, it is not yet climate ready because there is development and coordination among research an</w:t>
      </w:r>
      <w:r>
        <w:t xml:space="preserve">d database groups required to integrate fishery dependent and independent data sources. </w:t>
      </w:r>
    </w:p>
    <w:p w14:paraId="7B17BBA3" w14:textId="77777777" w:rsidR="005A724B" w:rsidRDefault="005D2FFE">
      <w:pPr>
        <w:pStyle w:val="Heading4"/>
      </w:pPr>
      <w:bookmarkStart w:id="31" w:name="_2us9mkfytvtf" w:colFirst="0" w:colLast="0"/>
      <w:bookmarkEnd w:id="31"/>
      <w:r>
        <w:t>Industry led measures</w:t>
      </w:r>
    </w:p>
    <w:p w14:paraId="58865287" w14:textId="77777777" w:rsidR="005A724B" w:rsidRDefault="005D2FFE">
      <w:r>
        <w:t>Cooperatives have unique abilities to engage in bycatch monitoring and establish notification procedures that allow members to respond to bycatch</w:t>
      </w:r>
      <w:r>
        <w:t xml:space="preserve"> issues.  Through third-party monitoring services, such as </w:t>
      </w:r>
      <w:proofErr w:type="spellStart"/>
      <w:r>
        <w:t>SeaState</w:t>
      </w:r>
      <w:proofErr w:type="spellEnd"/>
      <w:r>
        <w:t xml:space="preserve"> Inc., and internal policies and procedures cooperatives can establish hotspot management and notification procedures, fine scale bycatch limits, and create incentives for voluntary efforts</w:t>
      </w:r>
      <w:r>
        <w:t xml:space="preserve"> to avoid bycatch.  These types of voluntary efforts, within the bounds of regulatory constraints, allow industry to develop in-house management tools that can be quickly adapted to new scenarios.  While there are limits to what industry can do, voluntary </w:t>
      </w:r>
      <w:r>
        <w:t xml:space="preserve">efforts offer the opportunity to try new things and see if effective measures can be found outside of the Council process.  Industry led measures are rated a 3 or somewhat ready in terms of climate readiness.    </w:t>
      </w:r>
    </w:p>
    <w:p w14:paraId="3418D7B1" w14:textId="77777777" w:rsidR="005A724B" w:rsidRDefault="005A724B"/>
    <w:p w14:paraId="38176231" w14:textId="77777777" w:rsidR="005A724B" w:rsidRDefault="005D2FFE">
      <w:pPr>
        <w:jc w:val="left"/>
      </w:pPr>
      <w:r>
        <w:br w:type="page"/>
      </w:r>
    </w:p>
    <w:p w14:paraId="741EB0D0" w14:textId="0BF4EE08" w:rsidR="005A724B" w:rsidRDefault="005D2FFE">
      <w:pPr>
        <w:pStyle w:val="Heading2"/>
      </w:pPr>
      <w:bookmarkStart w:id="32" w:name="_qwkyuf2qusyc" w:colFirst="0" w:colLast="0"/>
      <w:bookmarkEnd w:id="32"/>
      <w:r>
        <w:lastRenderedPageBreak/>
        <w:t xml:space="preserve">Section 2: SAFE Report Review </w:t>
      </w:r>
    </w:p>
    <w:p w14:paraId="2B3E6FC9" w14:textId="77777777" w:rsidR="005A724B" w:rsidRDefault="005D2FFE">
      <w:pPr>
        <w:jc w:val="left"/>
      </w:pPr>
      <w:bookmarkStart w:id="33" w:name="_cl2l63txil" w:colFirst="0" w:colLast="0"/>
      <w:bookmarkEnd w:id="33"/>
      <w:r>
        <w:t>Database behind this section:</w:t>
      </w:r>
    </w:p>
    <w:p w14:paraId="15532D37" w14:textId="77777777" w:rsidR="005A724B" w:rsidRDefault="005D2FFE">
      <w:pPr>
        <w:jc w:val="left"/>
      </w:pPr>
      <w:hyperlink r:id="rId15" w:anchor="gid=0">
        <w:r>
          <w:rPr>
            <w:color w:val="1155CC"/>
            <w:u w:val="single"/>
          </w:rPr>
          <w:t>http</w:t>
        </w:r>
        <w:r>
          <w:rPr>
            <w:color w:val="1155CC"/>
            <w:u w:val="single"/>
          </w:rPr>
          <w:t>s://docs.google.com/spreadsheets/d/1OBla0c2_7i8U06AVvGhlHp2_z0z3fYpQBpwtbuaZ55g/edit#gid=0</w:t>
        </w:r>
      </w:hyperlink>
    </w:p>
    <w:p w14:paraId="32FA5D7D" w14:textId="77777777" w:rsidR="005A724B" w:rsidRDefault="005D2FFE">
      <w:pPr>
        <w:pStyle w:val="Heading3"/>
      </w:pPr>
      <w:bookmarkStart w:id="34" w:name="_4uo4s0z33ntg" w:colFirst="0" w:colLast="0"/>
      <w:bookmarkEnd w:id="34"/>
      <w:r>
        <w:t>Ranking Methodology</w:t>
      </w:r>
    </w:p>
    <w:p w14:paraId="49E15B54" w14:textId="77777777" w:rsidR="005A724B" w:rsidRDefault="005D2FFE">
      <w:pPr>
        <w:pStyle w:val="Heading5"/>
      </w:pPr>
      <w:bookmarkStart w:id="35" w:name="_avdc3sqx4ym" w:colFirst="0" w:colLast="0"/>
      <w:bookmarkEnd w:id="35"/>
      <w:r>
        <w:t>Table 2.1.  DRAFT Climate readiness ranking criteria for section 2.</w:t>
      </w:r>
    </w:p>
    <w:tbl>
      <w:tblPr>
        <w:tblStyle w:val="a1"/>
        <w:tblW w:w="9405" w:type="dxa"/>
        <w:tblLayout w:type="fixed"/>
        <w:tblLook w:val="0600" w:firstRow="0" w:lastRow="0" w:firstColumn="0" w:lastColumn="0" w:noHBand="1" w:noVBand="1"/>
      </w:tblPr>
      <w:tblGrid>
        <w:gridCol w:w="2250"/>
        <w:gridCol w:w="2055"/>
        <w:gridCol w:w="5100"/>
      </w:tblGrid>
      <w:tr w:rsidR="005A724B" w14:paraId="03BD31A3" w14:textId="77777777">
        <w:trPr>
          <w:trHeight w:val="435"/>
        </w:trPr>
        <w:tc>
          <w:tcPr>
            <w:tcW w:w="2250"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657973F7" w14:textId="77777777" w:rsidR="005A724B" w:rsidRDefault="005D2FFE">
            <w:pPr>
              <w:spacing w:before="0" w:line="240" w:lineRule="auto"/>
              <w:rPr>
                <w:b/>
                <w:color w:val="243F61"/>
              </w:rPr>
            </w:pPr>
            <w:r>
              <w:rPr>
                <w:b/>
                <w:color w:val="243F61"/>
              </w:rPr>
              <w:t>Ranking</w:t>
            </w:r>
          </w:p>
        </w:tc>
        <w:tc>
          <w:tcPr>
            <w:tcW w:w="2055"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7F62AB62" w14:textId="77777777" w:rsidR="005A724B" w:rsidRDefault="005D2FFE">
            <w:pPr>
              <w:spacing w:before="0" w:line="240" w:lineRule="auto"/>
              <w:rPr>
                <w:b/>
                <w:color w:val="243F61"/>
              </w:rPr>
            </w:pPr>
            <w:r>
              <w:rPr>
                <w:b/>
                <w:color w:val="243F61"/>
              </w:rPr>
              <w:t>Description</w:t>
            </w:r>
          </w:p>
        </w:tc>
        <w:tc>
          <w:tcPr>
            <w:tcW w:w="5100"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0755DAF2" w14:textId="77777777" w:rsidR="005A724B" w:rsidRDefault="005D2FFE">
            <w:pPr>
              <w:spacing w:before="0" w:line="240" w:lineRule="auto"/>
              <w:rPr>
                <w:b/>
                <w:color w:val="243F61"/>
              </w:rPr>
            </w:pPr>
            <w:r>
              <w:rPr>
                <w:b/>
                <w:color w:val="243F61"/>
              </w:rPr>
              <w:t>Section specific details</w:t>
            </w:r>
          </w:p>
        </w:tc>
      </w:tr>
      <w:tr w:rsidR="005A724B" w14:paraId="6106DFED" w14:textId="77777777">
        <w:tc>
          <w:tcPr>
            <w:tcW w:w="2250" w:type="dxa"/>
            <w:tcBorders>
              <w:top w:val="single" w:sz="12" w:space="0" w:color="243F61"/>
              <w:left w:val="nil"/>
              <w:bottom w:val="nil"/>
              <w:right w:val="nil"/>
            </w:tcBorders>
            <w:tcMar>
              <w:top w:w="40" w:type="dxa"/>
              <w:left w:w="40" w:type="dxa"/>
              <w:bottom w:w="40" w:type="dxa"/>
              <w:right w:w="40" w:type="dxa"/>
            </w:tcMar>
            <w:vAlign w:val="center"/>
          </w:tcPr>
          <w:p w14:paraId="0C25E4C7" w14:textId="77777777" w:rsidR="005A724B" w:rsidRDefault="005D2FFE">
            <w:pPr>
              <w:numPr>
                <w:ilvl w:val="0"/>
                <w:numId w:val="6"/>
              </w:numPr>
              <w:spacing w:before="0" w:line="240" w:lineRule="auto"/>
              <w:jc w:val="left"/>
              <w:rPr>
                <w:color w:val="243F61"/>
                <w:sz w:val="20"/>
                <w:szCs w:val="20"/>
              </w:rPr>
            </w:pPr>
            <w:r>
              <w:rPr>
                <w:color w:val="243F61"/>
                <w:sz w:val="20"/>
                <w:szCs w:val="20"/>
              </w:rPr>
              <w:t>Not Ready</w:t>
            </w:r>
          </w:p>
        </w:tc>
        <w:tc>
          <w:tcPr>
            <w:tcW w:w="205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24C6605D" w14:textId="77777777" w:rsidR="005A724B" w:rsidRDefault="005D2FFE">
            <w:pPr>
              <w:spacing w:before="0" w:line="240" w:lineRule="auto"/>
              <w:jc w:val="left"/>
              <w:rPr>
                <w:color w:val="243F61"/>
                <w:sz w:val="20"/>
                <w:szCs w:val="20"/>
              </w:rPr>
            </w:pPr>
            <w:r>
              <w:rPr>
                <w:color w:val="243F61"/>
                <w:sz w:val="20"/>
                <w:szCs w:val="20"/>
              </w:rPr>
              <w:t>No climate information included</w:t>
            </w:r>
          </w:p>
        </w:tc>
        <w:tc>
          <w:tcPr>
            <w:tcW w:w="5100"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696BA0DB" w14:textId="77777777" w:rsidR="005A724B" w:rsidRDefault="005D2FFE">
            <w:pPr>
              <w:spacing w:before="0" w:line="240" w:lineRule="auto"/>
              <w:jc w:val="left"/>
              <w:rPr>
                <w:color w:val="243F61"/>
                <w:sz w:val="20"/>
                <w:szCs w:val="20"/>
              </w:rPr>
            </w:pPr>
            <w:r>
              <w:rPr>
                <w:color w:val="243F61"/>
                <w:sz w:val="20"/>
                <w:szCs w:val="20"/>
              </w:rPr>
              <w:t>Climate change information does not occur implicitly or explicitly in the assessment model, text, or advice.</w:t>
            </w:r>
          </w:p>
        </w:tc>
      </w:tr>
      <w:tr w:rsidR="005A724B" w14:paraId="50CCC6E0"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5FC9764A" w14:textId="77777777" w:rsidR="005A724B" w:rsidRDefault="005D2FFE">
            <w:pPr>
              <w:numPr>
                <w:ilvl w:val="0"/>
                <w:numId w:val="6"/>
              </w:numPr>
              <w:spacing w:before="0" w:line="240" w:lineRule="auto"/>
              <w:jc w:val="left"/>
              <w:rPr>
                <w:color w:val="243F61"/>
                <w:sz w:val="20"/>
                <w:szCs w:val="20"/>
              </w:rPr>
            </w:pPr>
            <w:r>
              <w:rPr>
                <w:color w:val="243F61"/>
                <w:sz w:val="20"/>
                <w:szCs w:val="20"/>
              </w:rPr>
              <w:t>On the way to climate advice</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4ECBE400" w14:textId="77777777" w:rsidR="005A724B" w:rsidRDefault="005D2FFE">
            <w:pPr>
              <w:spacing w:before="0" w:line="240" w:lineRule="auto"/>
              <w:jc w:val="left"/>
              <w:rPr>
                <w:color w:val="243F61"/>
                <w:sz w:val="20"/>
                <w:szCs w:val="20"/>
              </w:rPr>
            </w:pPr>
            <w:r>
              <w:rPr>
                <w:color w:val="243F61"/>
                <w:sz w:val="20"/>
                <w:szCs w:val="20"/>
              </w:rPr>
              <w:t>Some implicit climate variability information included</w:t>
            </w:r>
          </w:p>
        </w:tc>
        <w:tc>
          <w:tcPr>
            <w:tcW w:w="5100" w:type="dxa"/>
            <w:tcBorders>
              <w:top w:val="nil"/>
              <w:left w:val="nil"/>
              <w:bottom w:val="nil"/>
              <w:right w:val="nil"/>
            </w:tcBorders>
            <w:shd w:val="clear" w:color="auto" w:fill="CFE2F3"/>
            <w:tcMar>
              <w:top w:w="100" w:type="dxa"/>
              <w:left w:w="100" w:type="dxa"/>
              <w:bottom w:w="100" w:type="dxa"/>
              <w:right w:w="100" w:type="dxa"/>
            </w:tcMar>
            <w:vAlign w:val="center"/>
          </w:tcPr>
          <w:p w14:paraId="7EF6BC26" w14:textId="77777777" w:rsidR="005A724B" w:rsidRDefault="005D2FFE">
            <w:pPr>
              <w:spacing w:before="0" w:line="240" w:lineRule="auto"/>
              <w:jc w:val="left"/>
              <w:rPr>
                <w:color w:val="243F61"/>
                <w:sz w:val="20"/>
                <w:szCs w:val="20"/>
              </w:rPr>
            </w:pPr>
            <w:r>
              <w:rPr>
                <w:color w:val="243F61"/>
                <w:sz w:val="20"/>
                <w:szCs w:val="20"/>
              </w:rPr>
              <w:t>Climate and ecological informa</w:t>
            </w:r>
            <w:r>
              <w:rPr>
                <w:color w:val="243F61"/>
                <w:sz w:val="20"/>
                <w:szCs w:val="20"/>
              </w:rPr>
              <w:t>tion is included in the assessment but climate change information does not occur implicitly or explicitly in the assessment model, text, or advice.</w:t>
            </w:r>
          </w:p>
          <w:p w14:paraId="5A9CEA13" w14:textId="77777777" w:rsidR="005A724B" w:rsidRDefault="005A724B">
            <w:pPr>
              <w:spacing w:before="0" w:line="240" w:lineRule="auto"/>
              <w:jc w:val="left"/>
              <w:rPr>
                <w:color w:val="243F61"/>
                <w:sz w:val="20"/>
                <w:szCs w:val="20"/>
              </w:rPr>
            </w:pPr>
          </w:p>
        </w:tc>
      </w:tr>
      <w:tr w:rsidR="005A724B" w14:paraId="7EF7E71C" w14:textId="77777777">
        <w:tc>
          <w:tcPr>
            <w:tcW w:w="2250" w:type="dxa"/>
            <w:tcBorders>
              <w:top w:val="nil"/>
              <w:left w:val="nil"/>
              <w:bottom w:val="nil"/>
              <w:right w:val="nil"/>
            </w:tcBorders>
            <w:tcMar>
              <w:top w:w="40" w:type="dxa"/>
              <w:left w:w="40" w:type="dxa"/>
              <w:bottom w:w="40" w:type="dxa"/>
              <w:right w:w="40" w:type="dxa"/>
            </w:tcMar>
            <w:vAlign w:val="center"/>
          </w:tcPr>
          <w:p w14:paraId="5AF64F66" w14:textId="77777777" w:rsidR="005A724B" w:rsidRDefault="005D2FFE">
            <w:pPr>
              <w:numPr>
                <w:ilvl w:val="0"/>
                <w:numId w:val="6"/>
              </w:numPr>
              <w:spacing w:before="0" w:line="240" w:lineRule="auto"/>
              <w:jc w:val="left"/>
              <w:rPr>
                <w:color w:val="243F61"/>
                <w:sz w:val="20"/>
                <w:szCs w:val="20"/>
              </w:rPr>
            </w:pPr>
            <w:r>
              <w:rPr>
                <w:color w:val="243F61"/>
                <w:sz w:val="20"/>
                <w:szCs w:val="20"/>
              </w:rPr>
              <w:t>Somewhat ready</w:t>
            </w:r>
          </w:p>
        </w:tc>
        <w:tc>
          <w:tcPr>
            <w:tcW w:w="2055" w:type="dxa"/>
            <w:tcBorders>
              <w:top w:val="nil"/>
              <w:left w:val="nil"/>
              <w:bottom w:val="nil"/>
              <w:right w:val="nil"/>
            </w:tcBorders>
            <w:tcMar>
              <w:top w:w="100" w:type="dxa"/>
              <w:left w:w="100" w:type="dxa"/>
              <w:bottom w:w="100" w:type="dxa"/>
              <w:right w:w="100" w:type="dxa"/>
            </w:tcMar>
            <w:vAlign w:val="center"/>
          </w:tcPr>
          <w:p w14:paraId="3650D598" w14:textId="77777777" w:rsidR="005A724B" w:rsidRDefault="005D2FFE">
            <w:pPr>
              <w:spacing w:before="0" w:line="240" w:lineRule="auto"/>
              <w:jc w:val="left"/>
              <w:rPr>
                <w:color w:val="243F61"/>
                <w:sz w:val="20"/>
                <w:szCs w:val="20"/>
              </w:rPr>
            </w:pPr>
            <w:r>
              <w:rPr>
                <w:color w:val="243F61"/>
                <w:sz w:val="20"/>
                <w:szCs w:val="20"/>
              </w:rPr>
              <w:t>Some implicit climate change information included</w:t>
            </w:r>
          </w:p>
        </w:tc>
        <w:tc>
          <w:tcPr>
            <w:tcW w:w="5100" w:type="dxa"/>
            <w:tcBorders>
              <w:top w:val="nil"/>
              <w:left w:val="nil"/>
              <w:bottom w:val="nil"/>
              <w:right w:val="nil"/>
            </w:tcBorders>
            <w:tcMar>
              <w:top w:w="100" w:type="dxa"/>
              <w:left w:w="100" w:type="dxa"/>
              <w:bottom w:w="100" w:type="dxa"/>
              <w:right w:w="100" w:type="dxa"/>
            </w:tcMar>
            <w:vAlign w:val="center"/>
          </w:tcPr>
          <w:p w14:paraId="561F0461" w14:textId="77777777" w:rsidR="005A724B" w:rsidRDefault="005D2FFE">
            <w:pPr>
              <w:spacing w:before="0" w:line="240" w:lineRule="auto"/>
              <w:jc w:val="left"/>
              <w:rPr>
                <w:color w:val="243F61"/>
                <w:sz w:val="20"/>
                <w:szCs w:val="20"/>
              </w:rPr>
            </w:pPr>
            <w:r>
              <w:rPr>
                <w:color w:val="243F61"/>
                <w:sz w:val="20"/>
                <w:szCs w:val="20"/>
              </w:rPr>
              <w:t>Climate and ecological information is included in the assessment but climate change information is implicit only (not explicitly discussed)  in the assessment model, text, or advice.</w:t>
            </w:r>
          </w:p>
        </w:tc>
      </w:tr>
      <w:tr w:rsidR="005A724B" w14:paraId="5727FAFD"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076A1044" w14:textId="77777777" w:rsidR="005A724B" w:rsidRDefault="005D2FFE">
            <w:pPr>
              <w:numPr>
                <w:ilvl w:val="0"/>
                <w:numId w:val="6"/>
              </w:numPr>
              <w:spacing w:before="0" w:line="240" w:lineRule="auto"/>
              <w:jc w:val="left"/>
              <w:rPr>
                <w:color w:val="243F61"/>
                <w:sz w:val="20"/>
                <w:szCs w:val="20"/>
              </w:rPr>
            </w:pPr>
            <w:r>
              <w:rPr>
                <w:color w:val="243F61"/>
                <w:sz w:val="20"/>
                <w:szCs w:val="20"/>
              </w:rPr>
              <w:t>Nearly ready</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0AFEB42F" w14:textId="77777777" w:rsidR="005A724B" w:rsidRDefault="005D2FFE">
            <w:pPr>
              <w:spacing w:before="0" w:line="240" w:lineRule="auto"/>
              <w:jc w:val="left"/>
              <w:rPr>
                <w:color w:val="243F61"/>
                <w:sz w:val="20"/>
                <w:szCs w:val="20"/>
              </w:rPr>
            </w:pPr>
            <w:r>
              <w:rPr>
                <w:color w:val="243F61"/>
                <w:sz w:val="20"/>
                <w:szCs w:val="20"/>
              </w:rPr>
              <w:t>Few modif</w:t>
            </w:r>
            <w:r>
              <w:rPr>
                <w:color w:val="243F61"/>
                <w:sz w:val="20"/>
                <w:szCs w:val="20"/>
              </w:rPr>
              <w:t>ications would result in climate readiness</w:t>
            </w:r>
          </w:p>
        </w:tc>
        <w:tc>
          <w:tcPr>
            <w:tcW w:w="5100" w:type="dxa"/>
            <w:tcBorders>
              <w:top w:val="nil"/>
              <w:left w:val="nil"/>
              <w:bottom w:val="nil"/>
              <w:right w:val="nil"/>
            </w:tcBorders>
            <w:shd w:val="clear" w:color="auto" w:fill="CFE2F3"/>
            <w:tcMar>
              <w:top w:w="100" w:type="dxa"/>
              <w:left w:w="100" w:type="dxa"/>
              <w:bottom w:w="100" w:type="dxa"/>
              <w:right w:w="100" w:type="dxa"/>
            </w:tcMar>
            <w:vAlign w:val="center"/>
          </w:tcPr>
          <w:p w14:paraId="68531A61" w14:textId="77777777" w:rsidR="005A724B" w:rsidRDefault="005D2FFE">
            <w:pPr>
              <w:spacing w:before="0" w:line="240" w:lineRule="auto"/>
              <w:jc w:val="left"/>
              <w:rPr>
                <w:color w:val="243F61"/>
                <w:sz w:val="20"/>
                <w:szCs w:val="20"/>
              </w:rPr>
            </w:pPr>
            <w:r>
              <w:rPr>
                <w:color w:val="243F61"/>
                <w:sz w:val="20"/>
                <w:szCs w:val="20"/>
              </w:rPr>
              <w:t xml:space="preserve">Climate and ecological information is included in the assessment but climate change information is only explicitly discussed  in a few places to set the context for future directions but it is not used to explain </w:t>
            </w:r>
            <w:r>
              <w:rPr>
                <w:color w:val="243F61"/>
                <w:sz w:val="20"/>
                <w:szCs w:val="20"/>
              </w:rPr>
              <w:t>trends or future directions, nor is used to adjust ABC, modify the model, or provide other advice.</w:t>
            </w:r>
          </w:p>
        </w:tc>
      </w:tr>
      <w:tr w:rsidR="005A724B" w14:paraId="74FE00BC" w14:textId="77777777">
        <w:tc>
          <w:tcPr>
            <w:tcW w:w="2250" w:type="dxa"/>
            <w:tcBorders>
              <w:top w:val="nil"/>
              <w:left w:val="nil"/>
              <w:bottom w:val="single" w:sz="8" w:space="0" w:color="243F61"/>
              <w:right w:val="nil"/>
            </w:tcBorders>
            <w:tcMar>
              <w:top w:w="40" w:type="dxa"/>
              <w:left w:w="40" w:type="dxa"/>
              <w:bottom w:w="40" w:type="dxa"/>
              <w:right w:w="40" w:type="dxa"/>
            </w:tcMar>
            <w:vAlign w:val="center"/>
          </w:tcPr>
          <w:p w14:paraId="33D4B080" w14:textId="77777777" w:rsidR="005A724B" w:rsidRDefault="005D2FFE">
            <w:pPr>
              <w:numPr>
                <w:ilvl w:val="0"/>
                <w:numId w:val="6"/>
              </w:numPr>
              <w:spacing w:before="0" w:line="240" w:lineRule="auto"/>
              <w:jc w:val="left"/>
              <w:rPr>
                <w:color w:val="243F61"/>
                <w:sz w:val="20"/>
                <w:szCs w:val="20"/>
              </w:rPr>
            </w:pPr>
            <w:r>
              <w:rPr>
                <w:color w:val="243F61"/>
                <w:sz w:val="20"/>
                <w:szCs w:val="20"/>
              </w:rPr>
              <w:t>Climate ready</w:t>
            </w:r>
          </w:p>
        </w:tc>
        <w:tc>
          <w:tcPr>
            <w:tcW w:w="2055" w:type="dxa"/>
            <w:tcBorders>
              <w:top w:val="nil"/>
              <w:left w:val="nil"/>
              <w:bottom w:val="single" w:sz="8" w:space="0" w:color="243F61"/>
              <w:right w:val="nil"/>
            </w:tcBorders>
            <w:tcMar>
              <w:top w:w="100" w:type="dxa"/>
              <w:left w:w="100" w:type="dxa"/>
              <w:bottom w:w="100" w:type="dxa"/>
              <w:right w:w="100" w:type="dxa"/>
            </w:tcMar>
            <w:vAlign w:val="center"/>
          </w:tcPr>
          <w:p w14:paraId="0183EA42" w14:textId="77777777" w:rsidR="005A724B" w:rsidRDefault="005D2FFE">
            <w:pPr>
              <w:spacing w:before="0" w:line="240" w:lineRule="auto"/>
              <w:jc w:val="left"/>
              <w:rPr>
                <w:color w:val="243F61"/>
                <w:sz w:val="20"/>
                <w:szCs w:val="20"/>
              </w:rPr>
            </w:pPr>
            <w:r>
              <w:rPr>
                <w:color w:val="243F61"/>
                <w:sz w:val="20"/>
                <w:szCs w:val="20"/>
              </w:rPr>
              <w:t>Process and information in place for regular (operational) climate change informed advice</w:t>
            </w:r>
          </w:p>
        </w:tc>
        <w:tc>
          <w:tcPr>
            <w:tcW w:w="5100" w:type="dxa"/>
            <w:tcBorders>
              <w:top w:val="nil"/>
              <w:left w:val="nil"/>
              <w:bottom w:val="single" w:sz="8" w:space="0" w:color="243F61"/>
              <w:right w:val="nil"/>
            </w:tcBorders>
            <w:tcMar>
              <w:top w:w="100" w:type="dxa"/>
              <w:left w:w="100" w:type="dxa"/>
              <w:bottom w:w="100" w:type="dxa"/>
              <w:right w:w="100" w:type="dxa"/>
            </w:tcMar>
            <w:vAlign w:val="center"/>
          </w:tcPr>
          <w:p w14:paraId="3CBE8B97" w14:textId="77777777" w:rsidR="005A724B" w:rsidRDefault="005D2FFE">
            <w:pPr>
              <w:spacing w:before="0" w:line="240" w:lineRule="auto"/>
              <w:jc w:val="left"/>
              <w:rPr>
                <w:color w:val="243F61"/>
                <w:sz w:val="20"/>
                <w:szCs w:val="20"/>
              </w:rPr>
            </w:pPr>
            <w:r>
              <w:rPr>
                <w:color w:val="243F61"/>
                <w:sz w:val="20"/>
                <w:szCs w:val="20"/>
              </w:rPr>
              <w:t xml:space="preserve">Climate change information is used to explain trends or future directions (or lack of sensitivity to climate change), and is used to adjust ABC, modify the model, or </w:t>
            </w:r>
            <w:r>
              <w:rPr>
                <w:color w:val="243F61"/>
                <w:sz w:val="20"/>
                <w:szCs w:val="20"/>
              </w:rPr>
              <w:t>provide other advice. The assessment is therefore “climate change informed”.</w:t>
            </w:r>
          </w:p>
        </w:tc>
      </w:tr>
    </w:tbl>
    <w:p w14:paraId="4F6F32A5" w14:textId="77777777" w:rsidR="005A724B" w:rsidRDefault="005A724B">
      <w:pPr>
        <w:spacing w:before="0"/>
        <w:rPr>
          <w:sz w:val="24"/>
          <w:szCs w:val="24"/>
        </w:rPr>
      </w:pPr>
    </w:p>
    <w:p w14:paraId="77F6B1A4" w14:textId="77777777" w:rsidR="005A724B" w:rsidRDefault="005D2FFE">
      <w:pPr>
        <w:pStyle w:val="Heading3"/>
      </w:pPr>
      <w:bookmarkStart w:id="36" w:name="_gjdgxs" w:colFirst="0" w:colLast="0"/>
      <w:bookmarkEnd w:id="36"/>
      <w:r>
        <w:t>Introduction</w:t>
      </w:r>
    </w:p>
    <w:p w14:paraId="4E09C847" w14:textId="77777777" w:rsidR="005A724B" w:rsidRDefault="005D2FFE">
      <w:r>
        <w:t>[ADD WHY IT IS IMPORTANT TO HAVE CC IN ANNUAL ADVICE]</w:t>
      </w:r>
      <w:r>
        <w:t xml:space="preserve"> </w:t>
      </w:r>
    </w:p>
    <w:p w14:paraId="6855349E" w14:textId="77777777" w:rsidR="005A724B" w:rsidRDefault="005D2FFE">
      <w:pPr>
        <w:numPr>
          <w:ilvl w:val="0"/>
          <w:numId w:val="21"/>
        </w:numPr>
      </w:pPr>
      <w:r>
        <w:t>Important to include information if a species is sensitive or not to climate change</w:t>
      </w:r>
    </w:p>
    <w:p w14:paraId="27D06FA9" w14:textId="77777777" w:rsidR="005A724B" w:rsidRDefault="005A724B"/>
    <w:p w14:paraId="02586D35" w14:textId="77777777" w:rsidR="005A724B" w:rsidRDefault="005D2FFE">
      <w:pPr>
        <w:spacing w:before="0"/>
      </w:pPr>
      <w:hyperlink r:id="rId16">
        <w:r>
          <w:rPr>
            <w:color w:val="1155CC"/>
            <w:u w:val="single"/>
          </w:rPr>
          <w:t>Stock Assessment and Fishery Evaluation (SAFE)</w:t>
        </w:r>
      </w:hyperlink>
      <w:r>
        <w:t xml:space="preserve"> reports describe the past, present, and near future status (1-4 years) of Bering </w:t>
      </w:r>
      <w:r>
        <w:t>sea fishery resources on a stock by stock basis as well as the role of the target species in the broader social-ecological system. They are intended to also contain information that summarizes the ecosystem and economic status for consideration in the Coun</w:t>
      </w:r>
      <w:r>
        <w:t xml:space="preserve">cil process for setting harvest recommendations. The stock assessment sections include recommended acceptable biological catch (ABC) and overfishing levels (OFLs) for each stock and stock complex managed under the Fisheries Management Plan.  The documents </w:t>
      </w:r>
      <w:r>
        <w:t xml:space="preserve">contributed to the SAFE report are subject to AFSC internal review before dissemination to the Plan Teams and the Council’s Scientific and Statistical Committee (SSC) that finalizes the ABC and OFL recommendations. The information is provided to the NPFMC </w:t>
      </w:r>
      <w:r>
        <w:t xml:space="preserve">and ADFG to be used as the basis of ecosystem-based fisheries management and their harvest management decisions, which are subsequently approved and disseminated by the Secretary of Commerce through the NOAA Fisheries Service. For more information section </w:t>
      </w:r>
      <w:r>
        <w:t>1 of this report detailing the management process.</w:t>
      </w:r>
    </w:p>
    <w:p w14:paraId="15623052" w14:textId="77777777" w:rsidR="005A724B" w:rsidRDefault="005A724B">
      <w:pPr>
        <w:spacing w:before="0"/>
      </w:pPr>
    </w:p>
    <w:p w14:paraId="72E477C1" w14:textId="77777777" w:rsidR="005A724B" w:rsidRDefault="005D2FFE">
      <w:pPr>
        <w:spacing w:before="0"/>
      </w:pPr>
      <w:r>
        <w:t xml:space="preserve">Presently, ecosystem information is readily incorporated at various scales into stock assessments, including but not limited to (a) inclusion as covariates in population dynamics models that underlie the </w:t>
      </w:r>
      <w:r>
        <w:t>assessment, (b) mechanistic underpinnings for model design and parametrization, (c) species specific ecosystem and ecological context for setting the ABC (qualitative context), (d) cross- species/ ecosystem-wide context for setting the ABC and other limits</w:t>
      </w:r>
      <w:r>
        <w:t xml:space="preserve"> for individual species.  As part of this, climate variability is often included in SAFE reports, and increasingly climate change attributed events (e.g., recent Marine Heatwaves or loss of sea ice) are included. The goal of this review was to evaluate the</w:t>
      </w:r>
      <w:r>
        <w:t xml:space="preserve"> extent to which climate change information is readily incorporated into the advice of species that have exhibited distributional or productivity responses to climate change in order to identify more broadly if and how the SAFE reports might be raising the</w:t>
      </w:r>
      <w:r>
        <w:t xml:space="preserve"> issue of climate change or using climate change information to provide management advice. In particular, this review aimed to identify the common on-ramps for climate change informed advice and will recommend practical steps to expand or enhance climate c</w:t>
      </w:r>
      <w:r>
        <w:t>hange information on-ramps in the SAFE reports.</w:t>
      </w:r>
    </w:p>
    <w:p w14:paraId="41D32046" w14:textId="77777777" w:rsidR="005A724B" w:rsidRDefault="005A724B">
      <w:pPr>
        <w:spacing w:before="0"/>
        <w:rPr>
          <w:i/>
        </w:rPr>
      </w:pPr>
    </w:p>
    <w:p w14:paraId="5B89EC54" w14:textId="77777777" w:rsidR="005A724B" w:rsidRDefault="005D2FFE">
      <w:pPr>
        <w:spacing w:before="0"/>
        <w:rPr>
          <w:i/>
        </w:rPr>
      </w:pPr>
      <w:r>
        <w:rPr>
          <w:i/>
        </w:rPr>
        <w:t>[ TBA graphic of methods of climate change and ecosystem information inclusion in safe reports]</w:t>
      </w:r>
    </w:p>
    <w:p w14:paraId="553C369E" w14:textId="77777777" w:rsidR="005A724B" w:rsidRDefault="005D2FFE">
      <w:pPr>
        <w:pStyle w:val="Heading3"/>
      </w:pPr>
      <w:bookmarkStart w:id="37" w:name="_30j0zll" w:colFirst="0" w:colLast="0"/>
      <w:bookmarkEnd w:id="37"/>
      <w:r>
        <w:t>Methods</w:t>
      </w:r>
    </w:p>
    <w:p w14:paraId="02083F04" w14:textId="77777777" w:rsidR="005A724B" w:rsidRDefault="005D2FFE">
      <w:pPr>
        <w:spacing w:before="0"/>
      </w:pPr>
      <w:r>
        <w:t>The Climate Change Task Force (CCTF) systematically reviewed the last three years (2019, 2020, 2021) of</w:t>
      </w:r>
      <w:r>
        <w:t xml:space="preserve"> the Bering Sea groundfish and crab SAFE reports, the Ecosystem Status and Economic Status Reports (2019-2020) of the Eastern Bering Sea, and the September/November Plan Team meeting minutes (2019-2021) to identify where and what extent climate change advi</w:t>
      </w:r>
      <w:r>
        <w:t>ce or climate information is built into the reports and presentations.  A standardized keyword search criterion was used to record the frequency and context of use of each keyword, whether it was associated with future long-term trends/predictions, whether</w:t>
      </w:r>
      <w:r>
        <w:t xml:space="preserve"> climate change trends or predictions were integrated into the advice, and whether climate change information was implicit in the text of the assessment (e.g., the number of citations that contained the search term). The page number and a brief summary of </w:t>
      </w:r>
      <w:r>
        <w:t xml:space="preserve">the associated text was also recorded. Searches were conducted </w:t>
      </w:r>
      <w:r>
        <w:lastRenderedPageBreak/>
        <w:t>within the SAFE introduction, the Ecosystem Status Report, Economic Status Report, September and December Plan Team meeting minutes, and individual chapters for the eight species; Bering Sea sn</w:t>
      </w:r>
      <w:r>
        <w:t xml:space="preserve">ow crab, Bering Sea red king crab, Bering sea Pacific cod, Bering sea yellowfin sole, Alaska sablefish, Bering sea pollock, and Bering sea forage (includes herring and squid). Copies of these assessments can be found on the AFSC website at the following </w:t>
      </w:r>
      <w:hyperlink r:id="rId17">
        <w:r>
          <w:rPr>
            <w:color w:val="1155CC"/>
            <w:u w:val="single"/>
          </w:rPr>
          <w:t>LINK</w:t>
        </w:r>
      </w:hyperlink>
      <w:r>
        <w:t xml:space="preserve">.  </w:t>
      </w:r>
    </w:p>
    <w:p w14:paraId="11663A59" w14:textId="77777777" w:rsidR="005A724B" w:rsidRDefault="005A724B">
      <w:pPr>
        <w:spacing w:before="0"/>
      </w:pPr>
    </w:p>
    <w:p w14:paraId="19D91D29" w14:textId="77777777" w:rsidR="005A724B" w:rsidRDefault="005D2FFE">
      <w:pPr>
        <w:spacing w:before="0"/>
      </w:pPr>
      <w:r>
        <w:t xml:space="preserve">In total </w:t>
      </w:r>
      <w:r>
        <w:rPr>
          <w:highlight w:val="yellow"/>
        </w:rPr>
        <w:t>X documents totaling more than X thousand</w:t>
      </w:r>
      <w:r>
        <w:t xml:space="preserve"> pages were reviewed using systematic search word criteria. Each document was searched for the following 15 terms (or slight variants on those terms, e.g., “forecast” and “forecasts”); “climate change”, “climate prediction”, “climate”, “long-term change”, </w:t>
      </w:r>
      <w:r>
        <w:t>“global warming”, “environmental change”, “warming”, “warm” (and “warmer”), “</w:t>
      </w:r>
      <w:proofErr w:type="spellStart"/>
      <w:r>
        <w:t>forcast</w:t>
      </w:r>
      <w:proofErr w:type="spellEnd"/>
      <w:r>
        <w:t>”, “prediction”, “anomalously”, “cold pool”, “OA”, “ocean acidification”, “sea ice”, “sea level rise”. For each document and search term, the team noted the total number of</w:t>
      </w:r>
      <w:r>
        <w:t xml:space="preserve"> in-text mentions as well as number of references with the term, additionally the context for the term was characterized by 5 levels of information (Table 2.1 below) and a brief description was given to how the information was used. Finally, for traceabili</w:t>
      </w:r>
      <w:r>
        <w:t>ty, where appropriate key sentences from each document were recorded to provide additional information for the context of the term. The team also noted if future climate projections were included in the text. The results of the keywork search were compiled</w:t>
      </w:r>
      <w:r>
        <w:t xml:space="preserve"> in a google spreadsheet and are summarized below.</w:t>
      </w:r>
      <w:r>
        <w:t xml:space="preserve"> (Note that key words in table contents, figure legends, section titles, and tables were not counted).</w:t>
      </w:r>
    </w:p>
    <w:p w14:paraId="39407A8C" w14:textId="77777777" w:rsidR="005A724B" w:rsidRDefault="005A724B">
      <w:pPr>
        <w:spacing w:before="0"/>
      </w:pPr>
    </w:p>
    <w:p w14:paraId="79AA1FBA" w14:textId="77777777" w:rsidR="005A724B" w:rsidRDefault="005D2FFE">
      <w:pPr>
        <w:pStyle w:val="Heading5"/>
      </w:pPr>
      <w:bookmarkStart w:id="38" w:name="_sthkjz7cof9" w:colFirst="0" w:colLast="0"/>
      <w:bookmarkEnd w:id="38"/>
      <w:r>
        <w:t>Table 2.2.  Categories of inclusion of climate change information in stock assessments</w:t>
      </w:r>
    </w:p>
    <w:tbl>
      <w:tblPr>
        <w:tblStyle w:val="a2"/>
        <w:tblW w:w="9120" w:type="dxa"/>
        <w:tblLayout w:type="fixed"/>
        <w:tblLook w:val="0600" w:firstRow="0" w:lastRow="0" w:firstColumn="0" w:lastColumn="0" w:noHBand="1" w:noVBand="1"/>
      </w:tblPr>
      <w:tblGrid>
        <w:gridCol w:w="2715"/>
        <w:gridCol w:w="5535"/>
        <w:gridCol w:w="870"/>
      </w:tblGrid>
      <w:tr w:rsidR="005A724B" w14:paraId="67881868" w14:textId="77777777">
        <w:trPr>
          <w:trHeight w:val="435"/>
        </w:trPr>
        <w:tc>
          <w:tcPr>
            <w:tcW w:w="2715"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0E901EBB" w14:textId="77777777" w:rsidR="005A724B" w:rsidRDefault="005D2FFE">
            <w:pPr>
              <w:spacing w:before="0" w:line="240" w:lineRule="auto"/>
              <w:rPr>
                <w:b/>
                <w:color w:val="243F61"/>
              </w:rPr>
            </w:pPr>
            <w:r>
              <w:rPr>
                <w:b/>
                <w:color w:val="243F61"/>
              </w:rPr>
              <w:t>Category</w:t>
            </w:r>
          </w:p>
        </w:tc>
        <w:tc>
          <w:tcPr>
            <w:tcW w:w="5535"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49F79EA9" w14:textId="77777777" w:rsidR="005A724B" w:rsidRDefault="005D2FFE">
            <w:pPr>
              <w:spacing w:before="0" w:line="240" w:lineRule="auto"/>
              <w:rPr>
                <w:b/>
                <w:color w:val="243F61"/>
              </w:rPr>
            </w:pPr>
            <w:r>
              <w:rPr>
                <w:b/>
                <w:color w:val="243F61"/>
              </w:rPr>
              <w:t>Description</w:t>
            </w:r>
          </w:p>
        </w:tc>
        <w:tc>
          <w:tcPr>
            <w:tcW w:w="870"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3B8E921C" w14:textId="77777777" w:rsidR="005A724B" w:rsidRDefault="005D2FFE">
            <w:pPr>
              <w:spacing w:before="0" w:line="240" w:lineRule="auto"/>
              <w:rPr>
                <w:b/>
                <w:color w:val="243F61"/>
              </w:rPr>
            </w:pPr>
            <w:r>
              <w:rPr>
                <w:b/>
                <w:color w:val="243F61"/>
              </w:rPr>
              <w:t>score</w:t>
            </w:r>
          </w:p>
        </w:tc>
      </w:tr>
      <w:tr w:rsidR="005A724B" w14:paraId="454747D3" w14:textId="77777777">
        <w:tc>
          <w:tcPr>
            <w:tcW w:w="2715" w:type="dxa"/>
            <w:tcBorders>
              <w:top w:val="single" w:sz="12" w:space="0" w:color="243F61"/>
              <w:left w:val="nil"/>
              <w:bottom w:val="nil"/>
              <w:right w:val="nil"/>
            </w:tcBorders>
            <w:tcMar>
              <w:top w:w="40" w:type="dxa"/>
              <w:left w:w="40" w:type="dxa"/>
              <w:bottom w:w="40" w:type="dxa"/>
              <w:right w:w="40" w:type="dxa"/>
            </w:tcMar>
            <w:vAlign w:val="center"/>
          </w:tcPr>
          <w:p w14:paraId="6B1D3E9F" w14:textId="77777777" w:rsidR="005A724B" w:rsidRDefault="005D2FFE">
            <w:pPr>
              <w:spacing w:before="0" w:line="240" w:lineRule="auto"/>
              <w:rPr>
                <w:color w:val="243F61"/>
                <w:sz w:val="20"/>
                <w:szCs w:val="20"/>
              </w:rPr>
            </w:pPr>
            <w:r>
              <w:rPr>
                <w:color w:val="243F61"/>
                <w:sz w:val="20"/>
                <w:szCs w:val="20"/>
              </w:rPr>
              <w:t>Climate change information explicitly included in stock assessment model</w:t>
            </w:r>
          </w:p>
        </w:tc>
        <w:tc>
          <w:tcPr>
            <w:tcW w:w="553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5BF848BB" w14:textId="77777777" w:rsidR="005A724B" w:rsidRDefault="005D2FFE">
            <w:pPr>
              <w:spacing w:before="0" w:line="240" w:lineRule="auto"/>
              <w:rPr>
                <w:color w:val="243F61"/>
                <w:sz w:val="20"/>
                <w:szCs w:val="20"/>
              </w:rPr>
            </w:pPr>
            <w:r>
              <w:rPr>
                <w:color w:val="243F61"/>
                <w:sz w:val="20"/>
                <w:szCs w:val="20"/>
              </w:rPr>
              <w:t xml:space="preserve">Was climate change information (either past attribution or future projections) included in the stock assessment model (e.g., in the design of the model or </w:t>
            </w:r>
            <w:r>
              <w:rPr>
                <w:color w:val="243F61"/>
                <w:sz w:val="20"/>
                <w:szCs w:val="20"/>
              </w:rPr>
              <w:t>as a covariate)?</w:t>
            </w:r>
          </w:p>
        </w:tc>
        <w:tc>
          <w:tcPr>
            <w:tcW w:w="870"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5F0B0838" w14:textId="77777777" w:rsidR="005A724B" w:rsidRDefault="005D2FFE">
            <w:pPr>
              <w:spacing w:before="0" w:line="240" w:lineRule="auto"/>
              <w:jc w:val="center"/>
              <w:rPr>
                <w:color w:val="243F61"/>
                <w:sz w:val="20"/>
                <w:szCs w:val="20"/>
              </w:rPr>
            </w:pPr>
            <w:r>
              <w:rPr>
                <w:color w:val="243F61"/>
                <w:sz w:val="20"/>
                <w:szCs w:val="20"/>
              </w:rPr>
              <w:t>8</w:t>
            </w:r>
          </w:p>
        </w:tc>
      </w:tr>
      <w:tr w:rsidR="005A724B" w14:paraId="354120C0" w14:textId="77777777">
        <w:tc>
          <w:tcPr>
            <w:tcW w:w="2715" w:type="dxa"/>
            <w:tcBorders>
              <w:top w:val="nil"/>
              <w:left w:val="nil"/>
              <w:bottom w:val="nil"/>
              <w:right w:val="nil"/>
            </w:tcBorders>
            <w:shd w:val="clear" w:color="auto" w:fill="CFE2F3"/>
            <w:tcMar>
              <w:top w:w="40" w:type="dxa"/>
              <w:left w:w="40" w:type="dxa"/>
              <w:bottom w:w="40" w:type="dxa"/>
              <w:right w:w="40" w:type="dxa"/>
            </w:tcMar>
            <w:vAlign w:val="center"/>
          </w:tcPr>
          <w:p w14:paraId="5A9B50AD" w14:textId="77777777" w:rsidR="005A724B" w:rsidRDefault="005D2FFE">
            <w:pPr>
              <w:spacing w:before="0" w:line="240" w:lineRule="auto"/>
              <w:rPr>
                <w:color w:val="243F61"/>
                <w:sz w:val="20"/>
                <w:szCs w:val="20"/>
              </w:rPr>
            </w:pPr>
            <w:r>
              <w:rPr>
                <w:color w:val="243F61"/>
                <w:sz w:val="20"/>
                <w:szCs w:val="20"/>
              </w:rPr>
              <w:t>Climate change information explicitly included in text</w:t>
            </w:r>
          </w:p>
        </w:tc>
        <w:tc>
          <w:tcPr>
            <w:tcW w:w="5535" w:type="dxa"/>
            <w:tcBorders>
              <w:top w:val="nil"/>
              <w:left w:val="nil"/>
              <w:bottom w:val="nil"/>
              <w:right w:val="nil"/>
            </w:tcBorders>
            <w:shd w:val="clear" w:color="auto" w:fill="CFE2F3"/>
            <w:tcMar>
              <w:top w:w="100" w:type="dxa"/>
              <w:left w:w="100" w:type="dxa"/>
              <w:bottom w:w="100" w:type="dxa"/>
              <w:right w:w="100" w:type="dxa"/>
            </w:tcMar>
            <w:vAlign w:val="center"/>
          </w:tcPr>
          <w:p w14:paraId="1372F3B0" w14:textId="77777777" w:rsidR="005A724B" w:rsidRDefault="005D2FFE">
            <w:pPr>
              <w:spacing w:before="0" w:line="240" w:lineRule="auto"/>
              <w:rPr>
                <w:color w:val="243F61"/>
                <w:sz w:val="20"/>
                <w:szCs w:val="20"/>
              </w:rPr>
            </w:pPr>
            <w:r>
              <w:rPr>
                <w:color w:val="243F61"/>
                <w:sz w:val="20"/>
                <w:szCs w:val="20"/>
              </w:rPr>
              <w:t xml:space="preserve">Was climate change information included in the text in order </w:t>
            </w:r>
            <w:r>
              <w:rPr>
                <w:color w:val="243F61"/>
                <w:sz w:val="20"/>
                <w:szCs w:val="20"/>
              </w:rPr>
              <w:t xml:space="preserve">to </w:t>
            </w:r>
            <w:r>
              <w:rPr>
                <w:color w:val="243F61"/>
                <w:sz w:val="20"/>
                <w:szCs w:val="20"/>
              </w:rPr>
              <w:t>set the context for observed or future productivity or distributional changes?</w:t>
            </w:r>
          </w:p>
        </w:tc>
        <w:tc>
          <w:tcPr>
            <w:tcW w:w="870" w:type="dxa"/>
            <w:tcBorders>
              <w:top w:val="nil"/>
              <w:left w:val="nil"/>
              <w:bottom w:val="nil"/>
              <w:right w:val="nil"/>
            </w:tcBorders>
            <w:shd w:val="clear" w:color="auto" w:fill="CFE2F3"/>
            <w:tcMar>
              <w:top w:w="100" w:type="dxa"/>
              <w:left w:w="100" w:type="dxa"/>
              <w:bottom w:w="100" w:type="dxa"/>
              <w:right w:w="100" w:type="dxa"/>
            </w:tcMar>
            <w:vAlign w:val="center"/>
          </w:tcPr>
          <w:p w14:paraId="3BFB5D90" w14:textId="77777777" w:rsidR="005A724B" w:rsidRDefault="005D2FFE">
            <w:pPr>
              <w:spacing w:before="0" w:line="240" w:lineRule="auto"/>
              <w:jc w:val="center"/>
              <w:rPr>
                <w:color w:val="243F61"/>
                <w:sz w:val="20"/>
                <w:szCs w:val="20"/>
              </w:rPr>
            </w:pPr>
            <w:r>
              <w:rPr>
                <w:color w:val="243F61"/>
                <w:sz w:val="20"/>
                <w:szCs w:val="20"/>
              </w:rPr>
              <w:t>7</w:t>
            </w:r>
          </w:p>
        </w:tc>
      </w:tr>
      <w:tr w:rsidR="005A724B" w14:paraId="3A477B35" w14:textId="77777777">
        <w:tc>
          <w:tcPr>
            <w:tcW w:w="2715" w:type="dxa"/>
            <w:tcBorders>
              <w:top w:val="nil"/>
              <w:left w:val="nil"/>
              <w:bottom w:val="nil"/>
              <w:right w:val="nil"/>
            </w:tcBorders>
            <w:tcMar>
              <w:top w:w="40" w:type="dxa"/>
              <w:left w:w="40" w:type="dxa"/>
              <w:bottom w:w="40" w:type="dxa"/>
              <w:right w:w="40" w:type="dxa"/>
            </w:tcMar>
            <w:vAlign w:val="center"/>
          </w:tcPr>
          <w:p w14:paraId="1E922B83" w14:textId="77777777" w:rsidR="005A724B" w:rsidRDefault="005D2FFE">
            <w:pPr>
              <w:spacing w:before="0" w:line="240" w:lineRule="auto"/>
              <w:rPr>
                <w:color w:val="243F61"/>
                <w:sz w:val="20"/>
                <w:szCs w:val="20"/>
              </w:rPr>
            </w:pPr>
            <w:r>
              <w:rPr>
                <w:color w:val="243F61"/>
                <w:sz w:val="20"/>
                <w:szCs w:val="20"/>
              </w:rPr>
              <w:t>Climate change information implied in text</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689BF82F" w14:textId="77777777" w:rsidR="005A724B" w:rsidRDefault="005D2FFE">
            <w:pPr>
              <w:spacing w:before="0" w:line="240" w:lineRule="auto"/>
              <w:rPr>
                <w:color w:val="243F61"/>
                <w:sz w:val="20"/>
                <w:szCs w:val="20"/>
              </w:rPr>
            </w:pPr>
            <w:r>
              <w:rPr>
                <w:color w:val="243F61"/>
                <w:sz w:val="20"/>
                <w:szCs w:val="20"/>
              </w:rPr>
              <w:t>Was climate change implied in the text, for example as “anticipated changes may require additional attention to X” or through clima</w:t>
            </w:r>
            <w:r>
              <w:rPr>
                <w:color w:val="243F61"/>
                <w:sz w:val="20"/>
                <w:szCs w:val="20"/>
              </w:rPr>
              <w:t>te change citations, even if climate change was not specifically included?</w:t>
            </w:r>
          </w:p>
        </w:tc>
        <w:tc>
          <w:tcPr>
            <w:tcW w:w="870" w:type="dxa"/>
            <w:tcBorders>
              <w:top w:val="nil"/>
              <w:left w:val="nil"/>
              <w:bottom w:val="nil"/>
              <w:right w:val="nil"/>
            </w:tcBorders>
            <w:shd w:val="clear" w:color="auto" w:fill="auto"/>
            <w:tcMar>
              <w:top w:w="100" w:type="dxa"/>
              <w:left w:w="100" w:type="dxa"/>
              <w:bottom w:w="100" w:type="dxa"/>
              <w:right w:w="100" w:type="dxa"/>
            </w:tcMar>
            <w:vAlign w:val="center"/>
          </w:tcPr>
          <w:p w14:paraId="428D1ABC" w14:textId="77777777" w:rsidR="005A724B" w:rsidRDefault="005D2FFE">
            <w:pPr>
              <w:spacing w:before="0" w:line="240" w:lineRule="auto"/>
              <w:jc w:val="center"/>
              <w:rPr>
                <w:color w:val="243F61"/>
                <w:sz w:val="20"/>
                <w:szCs w:val="20"/>
              </w:rPr>
            </w:pPr>
            <w:r>
              <w:rPr>
                <w:color w:val="243F61"/>
                <w:sz w:val="20"/>
                <w:szCs w:val="20"/>
              </w:rPr>
              <w:t>6</w:t>
            </w:r>
          </w:p>
        </w:tc>
      </w:tr>
      <w:tr w:rsidR="005A724B" w14:paraId="63A5F666" w14:textId="77777777">
        <w:tc>
          <w:tcPr>
            <w:tcW w:w="2715" w:type="dxa"/>
            <w:tcBorders>
              <w:top w:val="nil"/>
              <w:left w:val="nil"/>
              <w:bottom w:val="nil"/>
              <w:right w:val="nil"/>
            </w:tcBorders>
            <w:shd w:val="clear" w:color="auto" w:fill="CFE2F3"/>
            <w:tcMar>
              <w:top w:w="40" w:type="dxa"/>
              <w:left w:w="40" w:type="dxa"/>
              <w:bottom w:w="40" w:type="dxa"/>
              <w:right w:w="40" w:type="dxa"/>
            </w:tcMar>
            <w:vAlign w:val="center"/>
          </w:tcPr>
          <w:p w14:paraId="634E8315" w14:textId="77777777" w:rsidR="005A724B" w:rsidRDefault="005D2FFE">
            <w:pPr>
              <w:spacing w:before="0" w:line="240" w:lineRule="auto"/>
              <w:rPr>
                <w:color w:val="243F61"/>
                <w:sz w:val="20"/>
                <w:szCs w:val="20"/>
              </w:rPr>
            </w:pPr>
            <w:r>
              <w:rPr>
                <w:color w:val="243F61"/>
                <w:sz w:val="20"/>
                <w:szCs w:val="20"/>
              </w:rPr>
              <w:t>Climate covariate used in stock assessment</w:t>
            </w:r>
          </w:p>
        </w:tc>
        <w:tc>
          <w:tcPr>
            <w:tcW w:w="5535" w:type="dxa"/>
            <w:tcBorders>
              <w:top w:val="nil"/>
              <w:left w:val="nil"/>
              <w:bottom w:val="nil"/>
              <w:right w:val="nil"/>
            </w:tcBorders>
            <w:shd w:val="clear" w:color="auto" w:fill="CFE2F3"/>
            <w:tcMar>
              <w:top w:w="100" w:type="dxa"/>
              <w:left w:w="100" w:type="dxa"/>
              <w:bottom w:w="100" w:type="dxa"/>
              <w:right w:w="100" w:type="dxa"/>
            </w:tcMar>
            <w:vAlign w:val="center"/>
          </w:tcPr>
          <w:p w14:paraId="5607ACDF" w14:textId="77777777" w:rsidR="005A724B" w:rsidRDefault="005D2FFE">
            <w:pPr>
              <w:spacing w:before="0" w:line="240" w:lineRule="auto"/>
              <w:rPr>
                <w:color w:val="243F61"/>
                <w:sz w:val="20"/>
                <w:szCs w:val="20"/>
              </w:rPr>
            </w:pPr>
            <w:r>
              <w:rPr>
                <w:color w:val="243F61"/>
                <w:sz w:val="20"/>
                <w:szCs w:val="20"/>
              </w:rPr>
              <w:t>Was a climate covariate, like temperature, used in the stock assessment model?</w:t>
            </w:r>
          </w:p>
        </w:tc>
        <w:tc>
          <w:tcPr>
            <w:tcW w:w="870" w:type="dxa"/>
            <w:tcBorders>
              <w:top w:val="nil"/>
              <w:left w:val="nil"/>
              <w:bottom w:val="nil"/>
              <w:right w:val="nil"/>
            </w:tcBorders>
            <w:shd w:val="clear" w:color="auto" w:fill="CFE2F3"/>
            <w:tcMar>
              <w:top w:w="100" w:type="dxa"/>
              <w:left w:w="100" w:type="dxa"/>
              <w:bottom w:w="100" w:type="dxa"/>
              <w:right w:w="100" w:type="dxa"/>
            </w:tcMar>
            <w:vAlign w:val="center"/>
          </w:tcPr>
          <w:p w14:paraId="7F7FC498" w14:textId="77777777" w:rsidR="005A724B" w:rsidRDefault="005D2FFE">
            <w:pPr>
              <w:spacing w:before="0" w:line="240" w:lineRule="auto"/>
              <w:jc w:val="center"/>
              <w:rPr>
                <w:color w:val="243F61"/>
                <w:sz w:val="20"/>
                <w:szCs w:val="20"/>
              </w:rPr>
            </w:pPr>
            <w:r>
              <w:rPr>
                <w:color w:val="243F61"/>
                <w:sz w:val="20"/>
                <w:szCs w:val="20"/>
              </w:rPr>
              <w:t>5</w:t>
            </w:r>
          </w:p>
        </w:tc>
      </w:tr>
      <w:tr w:rsidR="005A724B" w14:paraId="4A6C67F7" w14:textId="77777777">
        <w:tc>
          <w:tcPr>
            <w:tcW w:w="2715" w:type="dxa"/>
            <w:tcBorders>
              <w:top w:val="nil"/>
              <w:left w:val="nil"/>
              <w:bottom w:val="nil"/>
              <w:right w:val="nil"/>
            </w:tcBorders>
            <w:tcMar>
              <w:top w:w="40" w:type="dxa"/>
              <w:left w:w="40" w:type="dxa"/>
              <w:bottom w:w="40" w:type="dxa"/>
              <w:right w:w="40" w:type="dxa"/>
            </w:tcMar>
            <w:vAlign w:val="center"/>
          </w:tcPr>
          <w:p w14:paraId="70EA9892" w14:textId="77777777" w:rsidR="005A724B" w:rsidRDefault="005D2FFE">
            <w:pPr>
              <w:spacing w:before="0" w:line="240" w:lineRule="auto"/>
              <w:rPr>
                <w:color w:val="243F61"/>
                <w:sz w:val="20"/>
                <w:szCs w:val="20"/>
              </w:rPr>
            </w:pPr>
            <w:r>
              <w:rPr>
                <w:color w:val="243F61"/>
                <w:sz w:val="20"/>
                <w:szCs w:val="20"/>
              </w:rPr>
              <w:t>Climate change information used in the risk table to adjust ABC</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72EBF9FE" w14:textId="77777777" w:rsidR="005A724B" w:rsidRDefault="005D2FFE">
            <w:pPr>
              <w:spacing w:before="0" w:line="240" w:lineRule="auto"/>
              <w:rPr>
                <w:color w:val="243F61"/>
                <w:sz w:val="20"/>
                <w:szCs w:val="20"/>
              </w:rPr>
            </w:pPr>
            <w:r>
              <w:rPr>
                <w:color w:val="243F61"/>
                <w:sz w:val="20"/>
                <w:szCs w:val="20"/>
              </w:rPr>
              <w:t>Was climate change information (includes events externally attributed to climate change, e.g., MHWs or sea ice</w:t>
            </w:r>
            <w:r>
              <w:rPr>
                <w:color w:val="243F61"/>
                <w:sz w:val="20"/>
                <w:szCs w:val="20"/>
              </w:rPr>
              <w:t xml:space="preserve"> loss) used in the risk table to adjust the ABC?</w:t>
            </w:r>
          </w:p>
        </w:tc>
        <w:tc>
          <w:tcPr>
            <w:tcW w:w="870" w:type="dxa"/>
            <w:tcBorders>
              <w:top w:val="nil"/>
              <w:left w:val="nil"/>
              <w:bottom w:val="nil"/>
              <w:right w:val="nil"/>
            </w:tcBorders>
            <w:shd w:val="clear" w:color="auto" w:fill="auto"/>
            <w:tcMar>
              <w:top w:w="100" w:type="dxa"/>
              <w:left w:w="100" w:type="dxa"/>
              <w:bottom w:w="100" w:type="dxa"/>
              <w:right w:w="100" w:type="dxa"/>
            </w:tcMar>
            <w:vAlign w:val="center"/>
          </w:tcPr>
          <w:p w14:paraId="61E28746" w14:textId="77777777" w:rsidR="005A724B" w:rsidRDefault="005D2FFE">
            <w:pPr>
              <w:spacing w:before="0" w:line="240" w:lineRule="auto"/>
              <w:jc w:val="center"/>
              <w:rPr>
                <w:color w:val="243F61"/>
                <w:sz w:val="20"/>
                <w:szCs w:val="20"/>
              </w:rPr>
            </w:pPr>
            <w:r>
              <w:rPr>
                <w:color w:val="243F61"/>
                <w:sz w:val="20"/>
                <w:szCs w:val="20"/>
              </w:rPr>
              <w:t>4</w:t>
            </w:r>
          </w:p>
        </w:tc>
      </w:tr>
      <w:tr w:rsidR="005A724B" w14:paraId="593A3C13" w14:textId="77777777">
        <w:tc>
          <w:tcPr>
            <w:tcW w:w="2715" w:type="dxa"/>
            <w:tcBorders>
              <w:top w:val="nil"/>
              <w:left w:val="nil"/>
              <w:bottom w:val="nil"/>
              <w:right w:val="nil"/>
            </w:tcBorders>
            <w:shd w:val="clear" w:color="auto" w:fill="CFE2F3"/>
            <w:tcMar>
              <w:top w:w="40" w:type="dxa"/>
              <w:left w:w="40" w:type="dxa"/>
              <w:bottom w:w="40" w:type="dxa"/>
              <w:right w:w="40" w:type="dxa"/>
            </w:tcMar>
            <w:vAlign w:val="center"/>
          </w:tcPr>
          <w:p w14:paraId="3BDD38E9" w14:textId="77777777" w:rsidR="005A724B" w:rsidRDefault="005D2FFE">
            <w:pPr>
              <w:spacing w:before="0" w:line="240" w:lineRule="auto"/>
              <w:rPr>
                <w:color w:val="243F61"/>
                <w:sz w:val="20"/>
                <w:szCs w:val="20"/>
              </w:rPr>
            </w:pPr>
            <w:r>
              <w:rPr>
                <w:color w:val="243F61"/>
                <w:sz w:val="20"/>
                <w:szCs w:val="20"/>
              </w:rPr>
              <w:t>Climate change discussed in risk table</w:t>
            </w:r>
          </w:p>
        </w:tc>
        <w:tc>
          <w:tcPr>
            <w:tcW w:w="5535" w:type="dxa"/>
            <w:tcBorders>
              <w:top w:val="nil"/>
              <w:left w:val="nil"/>
              <w:bottom w:val="nil"/>
              <w:right w:val="nil"/>
            </w:tcBorders>
            <w:shd w:val="clear" w:color="auto" w:fill="CFE2F3"/>
            <w:tcMar>
              <w:top w:w="100" w:type="dxa"/>
              <w:left w:w="100" w:type="dxa"/>
              <w:bottom w:w="100" w:type="dxa"/>
              <w:right w:w="100" w:type="dxa"/>
            </w:tcMar>
            <w:vAlign w:val="center"/>
          </w:tcPr>
          <w:p w14:paraId="30DD15BE" w14:textId="77777777" w:rsidR="005A724B" w:rsidRDefault="005D2FFE">
            <w:pPr>
              <w:spacing w:before="0" w:line="240" w:lineRule="auto"/>
              <w:rPr>
                <w:color w:val="243F61"/>
                <w:sz w:val="20"/>
                <w:szCs w:val="20"/>
              </w:rPr>
            </w:pPr>
            <w:r>
              <w:rPr>
                <w:color w:val="243F61"/>
                <w:sz w:val="20"/>
                <w:szCs w:val="20"/>
              </w:rPr>
              <w:t>Was climate change discussed in the risk table?</w:t>
            </w:r>
          </w:p>
        </w:tc>
        <w:tc>
          <w:tcPr>
            <w:tcW w:w="870" w:type="dxa"/>
            <w:tcBorders>
              <w:top w:val="nil"/>
              <w:left w:val="nil"/>
              <w:bottom w:val="nil"/>
              <w:right w:val="nil"/>
            </w:tcBorders>
            <w:shd w:val="clear" w:color="auto" w:fill="CFE2F3"/>
            <w:tcMar>
              <w:top w:w="100" w:type="dxa"/>
              <w:left w:w="100" w:type="dxa"/>
              <w:bottom w:w="100" w:type="dxa"/>
              <w:right w:w="100" w:type="dxa"/>
            </w:tcMar>
            <w:vAlign w:val="center"/>
          </w:tcPr>
          <w:p w14:paraId="2C97DE5C" w14:textId="77777777" w:rsidR="005A724B" w:rsidRDefault="005D2FFE">
            <w:pPr>
              <w:spacing w:before="0" w:line="240" w:lineRule="auto"/>
              <w:jc w:val="center"/>
              <w:rPr>
                <w:color w:val="243F61"/>
                <w:sz w:val="20"/>
                <w:szCs w:val="20"/>
              </w:rPr>
            </w:pPr>
            <w:r>
              <w:rPr>
                <w:color w:val="243F61"/>
                <w:sz w:val="20"/>
                <w:szCs w:val="20"/>
              </w:rPr>
              <w:t>3</w:t>
            </w:r>
          </w:p>
        </w:tc>
      </w:tr>
      <w:tr w:rsidR="005A724B" w14:paraId="6FB00274" w14:textId="77777777">
        <w:tc>
          <w:tcPr>
            <w:tcW w:w="2715" w:type="dxa"/>
            <w:tcBorders>
              <w:top w:val="nil"/>
              <w:left w:val="nil"/>
              <w:bottom w:val="nil"/>
              <w:right w:val="nil"/>
            </w:tcBorders>
            <w:tcMar>
              <w:top w:w="40" w:type="dxa"/>
              <w:left w:w="40" w:type="dxa"/>
              <w:bottom w:w="40" w:type="dxa"/>
              <w:right w:w="40" w:type="dxa"/>
            </w:tcMar>
            <w:vAlign w:val="center"/>
          </w:tcPr>
          <w:p w14:paraId="2A1F77C6" w14:textId="77777777" w:rsidR="005A724B" w:rsidRDefault="005D2FFE">
            <w:pPr>
              <w:spacing w:before="0" w:line="240" w:lineRule="auto"/>
              <w:rPr>
                <w:color w:val="243F61"/>
                <w:sz w:val="20"/>
                <w:szCs w:val="20"/>
              </w:rPr>
            </w:pPr>
            <w:r>
              <w:rPr>
                <w:color w:val="243F61"/>
                <w:sz w:val="20"/>
                <w:szCs w:val="20"/>
              </w:rPr>
              <w:t>Climate driven changes discussed in risk table</w:t>
            </w:r>
          </w:p>
        </w:tc>
        <w:tc>
          <w:tcPr>
            <w:tcW w:w="5535" w:type="dxa"/>
            <w:tcBorders>
              <w:top w:val="nil"/>
              <w:left w:val="nil"/>
              <w:bottom w:val="nil"/>
              <w:right w:val="nil"/>
            </w:tcBorders>
            <w:shd w:val="clear" w:color="auto" w:fill="auto"/>
            <w:tcMar>
              <w:top w:w="100" w:type="dxa"/>
              <w:left w:w="100" w:type="dxa"/>
              <w:bottom w:w="100" w:type="dxa"/>
              <w:right w:w="100" w:type="dxa"/>
            </w:tcMar>
            <w:vAlign w:val="center"/>
          </w:tcPr>
          <w:p w14:paraId="1442BCBA" w14:textId="77777777" w:rsidR="005A724B" w:rsidRDefault="005D2FFE">
            <w:pPr>
              <w:spacing w:before="0" w:line="240" w:lineRule="auto"/>
              <w:rPr>
                <w:color w:val="243F61"/>
                <w:sz w:val="20"/>
                <w:szCs w:val="20"/>
              </w:rPr>
            </w:pPr>
            <w:r>
              <w:rPr>
                <w:color w:val="243F61"/>
                <w:sz w:val="20"/>
                <w:szCs w:val="20"/>
              </w:rPr>
              <w:t>Was climate variability or climate driven change discussed in the risk table?</w:t>
            </w:r>
          </w:p>
        </w:tc>
        <w:tc>
          <w:tcPr>
            <w:tcW w:w="870" w:type="dxa"/>
            <w:tcBorders>
              <w:top w:val="nil"/>
              <w:left w:val="nil"/>
              <w:bottom w:val="nil"/>
              <w:right w:val="nil"/>
            </w:tcBorders>
            <w:shd w:val="clear" w:color="auto" w:fill="auto"/>
            <w:tcMar>
              <w:top w:w="100" w:type="dxa"/>
              <w:left w:w="100" w:type="dxa"/>
              <w:bottom w:w="100" w:type="dxa"/>
              <w:right w:w="100" w:type="dxa"/>
            </w:tcMar>
            <w:vAlign w:val="center"/>
          </w:tcPr>
          <w:p w14:paraId="5F4EDE38" w14:textId="77777777" w:rsidR="005A724B" w:rsidRDefault="005D2FFE">
            <w:pPr>
              <w:spacing w:before="0" w:line="240" w:lineRule="auto"/>
              <w:jc w:val="center"/>
              <w:rPr>
                <w:color w:val="243F61"/>
                <w:sz w:val="20"/>
                <w:szCs w:val="20"/>
              </w:rPr>
            </w:pPr>
            <w:r>
              <w:rPr>
                <w:color w:val="243F61"/>
                <w:sz w:val="20"/>
                <w:szCs w:val="20"/>
              </w:rPr>
              <w:t>2</w:t>
            </w:r>
          </w:p>
        </w:tc>
      </w:tr>
      <w:tr w:rsidR="005A724B" w14:paraId="6B7D36EC" w14:textId="77777777">
        <w:tc>
          <w:tcPr>
            <w:tcW w:w="2715" w:type="dxa"/>
            <w:tcBorders>
              <w:top w:val="nil"/>
              <w:left w:val="nil"/>
              <w:bottom w:val="single" w:sz="4" w:space="0" w:color="243F61"/>
              <w:right w:val="nil"/>
            </w:tcBorders>
            <w:shd w:val="clear" w:color="auto" w:fill="CFE2F3"/>
            <w:tcMar>
              <w:top w:w="40" w:type="dxa"/>
              <w:left w:w="40" w:type="dxa"/>
              <w:bottom w:w="40" w:type="dxa"/>
              <w:right w:w="40" w:type="dxa"/>
            </w:tcMar>
            <w:vAlign w:val="center"/>
          </w:tcPr>
          <w:p w14:paraId="4E5AFC7F" w14:textId="77777777" w:rsidR="005A724B" w:rsidRDefault="005D2FFE">
            <w:pPr>
              <w:spacing w:before="0" w:line="240" w:lineRule="auto"/>
              <w:rPr>
                <w:color w:val="243F61"/>
                <w:sz w:val="20"/>
                <w:szCs w:val="20"/>
              </w:rPr>
            </w:pPr>
            <w:r>
              <w:rPr>
                <w:color w:val="243F61"/>
                <w:sz w:val="20"/>
                <w:szCs w:val="20"/>
              </w:rPr>
              <w:lastRenderedPageBreak/>
              <w:t>Not included/discussed</w:t>
            </w:r>
          </w:p>
        </w:tc>
        <w:tc>
          <w:tcPr>
            <w:tcW w:w="5535" w:type="dxa"/>
            <w:tcBorders>
              <w:top w:val="nil"/>
              <w:left w:val="nil"/>
              <w:bottom w:val="single" w:sz="4" w:space="0" w:color="243F61"/>
              <w:right w:val="nil"/>
            </w:tcBorders>
            <w:shd w:val="clear" w:color="auto" w:fill="CFE2F3"/>
            <w:tcMar>
              <w:top w:w="100" w:type="dxa"/>
              <w:left w:w="100" w:type="dxa"/>
              <w:bottom w:w="100" w:type="dxa"/>
              <w:right w:w="100" w:type="dxa"/>
            </w:tcMar>
            <w:vAlign w:val="center"/>
          </w:tcPr>
          <w:p w14:paraId="139584C2" w14:textId="77777777" w:rsidR="005A724B" w:rsidRDefault="005D2FFE">
            <w:pPr>
              <w:spacing w:before="0" w:line="240" w:lineRule="auto"/>
              <w:rPr>
                <w:color w:val="243F61"/>
                <w:sz w:val="20"/>
                <w:szCs w:val="20"/>
              </w:rPr>
            </w:pPr>
            <w:r>
              <w:rPr>
                <w:color w:val="243F61"/>
                <w:sz w:val="20"/>
                <w:szCs w:val="20"/>
              </w:rPr>
              <w:t>None of the above (not discussed).</w:t>
            </w:r>
          </w:p>
        </w:tc>
        <w:tc>
          <w:tcPr>
            <w:tcW w:w="870" w:type="dxa"/>
            <w:tcBorders>
              <w:top w:val="nil"/>
              <w:left w:val="nil"/>
              <w:bottom w:val="single" w:sz="4" w:space="0" w:color="243F61"/>
              <w:right w:val="nil"/>
            </w:tcBorders>
            <w:shd w:val="clear" w:color="auto" w:fill="CFE2F3"/>
            <w:tcMar>
              <w:top w:w="100" w:type="dxa"/>
              <w:left w:w="100" w:type="dxa"/>
              <w:bottom w:w="100" w:type="dxa"/>
              <w:right w:w="100" w:type="dxa"/>
            </w:tcMar>
            <w:vAlign w:val="center"/>
          </w:tcPr>
          <w:p w14:paraId="6A12BA2D" w14:textId="77777777" w:rsidR="005A724B" w:rsidRDefault="005D2FFE">
            <w:pPr>
              <w:spacing w:before="0" w:line="240" w:lineRule="auto"/>
              <w:jc w:val="center"/>
              <w:rPr>
                <w:color w:val="243F61"/>
                <w:sz w:val="20"/>
                <w:szCs w:val="20"/>
              </w:rPr>
            </w:pPr>
            <w:r>
              <w:rPr>
                <w:color w:val="243F61"/>
                <w:sz w:val="20"/>
                <w:szCs w:val="20"/>
              </w:rPr>
              <w:t>1</w:t>
            </w:r>
          </w:p>
        </w:tc>
      </w:tr>
    </w:tbl>
    <w:p w14:paraId="3DB0EF20" w14:textId="77777777" w:rsidR="005A724B" w:rsidRDefault="005A724B">
      <w:pPr>
        <w:spacing w:before="0"/>
        <w:rPr>
          <w:rFonts w:ascii="Calibri" w:eastAsia="Calibri" w:hAnsi="Calibri" w:cs="Calibri"/>
          <w:sz w:val="24"/>
          <w:szCs w:val="24"/>
        </w:rPr>
      </w:pPr>
    </w:p>
    <w:p w14:paraId="47D26DF9" w14:textId="77777777" w:rsidR="005A724B" w:rsidRDefault="005D2FFE">
      <w:pPr>
        <w:pStyle w:val="Heading4"/>
      </w:pPr>
      <w:bookmarkStart w:id="39" w:name="_k7ouzz6lslhq" w:colFirst="0" w:colLast="0"/>
      <w:bookmarkEnd w:id="39"/>
      <w:r>
        <w:t>Plan Team Minutes-Reports</w:t>
      </w:r>
    </w:p>
    <w:p w14:paraId="6ED1D101" w14:textId="77777777" w:rsidR="005A724B" w:rsidRDefault="005D2FFE">
      <w:pPr>
        <w:spacing w:before="0"/>
      </w:pPr>
      <w:r>
        <w:t xml:space="preserve">The Bering Sea and Aleutian Islands (BSAI) Groundfish Plan Team meetings provide opportunities for researchers to present relevant novel or cutting edge efforts that have not been fully developed but can provide context and meaning to the BSAI Plan Team’s </w:t>
      </w:r>
      <w:r>
        <w:t>goals.  As a result, the CCTF reviewed the September and November 2019-2021 BSAI Groundfish Plan Team minutes using the search criteria described above.  [ Methods to add]</w:t>
      </w:r>
    </w:p>
    <w:p w14:paraId="024C149E" w14:textId="77777777" w:rsidR="005A724B" w:rsidRDefault="005D2FFE">
      <w:pPr>
        <w:pStyle w:val="Heading4"/>
      </w:pPr>
      <w:bookmarkStart w:id="40" w:name="_69xaqxol7uot" w:colFirst="0" w:colLast="0"/>
      <w:bookmarkEnd w:id="40"/>
      <w:r>
        <w:t>Technical Memos on surveys ?</w:t>
      </w:r>
    </w:p>
    <w:p w14:paraId="3BBFB19D" w14:textId="77777777" w:rsidR="005A724B" w:rsidRDefault="005D2FFE">
      <w:pPr>
        <w:spacing w:before="0"/>
      </w:pPr>
      <w:r>
        <w:t>[ Methods to add]</w:t>
      </w:r>
    </w:p>
    <w:p w14:paraId="440DA110" w14:textId="77777777" w:rsidR="005A724B" w:rsidRDefault="005D2FFE">
      <w:pPr>
        <w:spacing w:before="0"/>
      </w:pPr>
      <w:r>
        <w:t>→ This maybe should go to the Info</w:t>
      </w:r>
      <w:r>
        <w:t>rmation section - there were 5 hits on “climate change” in the survey tech memos. Use 2019, 2020 (gap year), 2021 for this review</w:t>
      </w:r>
    </w:p>
    <w:p w14:paraId="59E8C92A" w14:textId="77777777" w:rsidR="005A724B" w:rsidRDefault="005D2FFE">
      <w:pPr>
        <w:spacing w:after="80"/>
        <w:rPr>
          <w:i/>
          <w:color w:val="0B5394"/>
          <w:sz w:val="24"/>
          <w:szCs w:val="24"/>
        </w:rPr>
      </w:pPr>
      <w:r>
        <w:rPr>
          <w:i/>
          <w:color w:val="0B5394"/>
          <w:sz w:val="24"/>
          <w:szCs w:val="24"/>
        </w:rPr>
        <w:t>Ecosystem Status Reports (ESR)</w:t>
      </w:r>
    </w:p>
    <w:p w14:paraId="527A2EBE" w14:textId="77777777" w:rsidR="005A724B" w:rsidRDefault="005D2FFE">
      <w:pPr>
        <w:spacing w:before="0"/>
      </w:pPr>
      <w:r>
        <w:t>The CCTF evaluated the last three years of the Ecosystem Status Reports of the Eastern Berin</w:t>
      </w:r>
      <w:r>
        <w:t>g Sea (ESR) using the keyword search criteria described above. The ESR sets out to summarize and synthesize climate and fishing effects on the eastern Bering Sea shelf and slope regions on an annual basis and is temporally constrained from an extensive tim</w:t>
      </w:r>
      <w:r>
        <w:t xml:space="preserve">e-series hindcast spanning decades up to a 9-month forecast.  Contained within the report are four chapters communicating ecosystem information at a range of scales from visual figures to more lengthy reports. Within each ESR report, climate, fishery, and </w:t>
      </w:r>
      <w:r>
        <w:t>ecosystem information are summarized within 3-4 chapters which include a Report Card, an Ecosystem Assessment, and an Ecosystems Indicators chapter. In ESRs prior to 2021, they contained an Executive Summary of Recent Trends chapter. Additionally, statemen</w:t>
      </w:r>
      <w:r>
        <w:t>ts utilizing the keyword were selectively added to the summary search table to better contextualize the use of the keyword.</w:t>
      </w:r>
    </w:p>
    <w:p w14:paraId="34600ABD" w14:textId="77777777" w:rsidR="005A724B" w:rsidRDefault="005D2FFE">
      <w:pPr>
        <w:spacing w:before="0"/>
      </w:pPr>
      <w:r>
        <w:t xml:space="preserve"> </w:t>
      </w:r>
    </w:p>
    <w:p w14:paraId="6388B4B9" w14:textId="77777777" w:rsidR="005A724B" w:rsidRDefault="005D2FFE">
      <w:pPr>
        <w:spacing w:before="0"/>
      </w:pPr>
      <w:r>
        <w:t>[To ADD: Summary tables…….analyses   ]</w:t>
      </w:r>
    </w:p>
    <w:p w14:paraId="0E8A02AA" w14:textId="77777777" w:rsidR="005A724B" w:rsidRDefault="005D2FFE">
      <w:pPr>
        <w:spacing w:after="80"/>
        <w:rPr>
          <w:i/>
          <w:color w:val="0B5394"/>
          <w:sz w:val="24"/>
          <w:szCs w:val="24"/>
        </w:rPr>
      </w:pPr>
      <w:r>
        <w:rPr>
          <w:i/>
          <w:color w:val="0B5394"/>
          <w:sz w:val="24"/>
          <w:szCs w:val="24"/>
        </w:rPr>
        <w:t>Economic SAFE report (Econ SAFE)</w:t>
      </w:r>
    </w:p>
    <w:p w14:paraId="5F94E4FC" w14:textId="77777777" w:rsidR="005A724B" w:rsidRDefault="005D2FFE">
      <w:pPr>
        <w:spacing w:before="0"/>
      </w:pPr>
      <w:r>
        <w:t>The Economic SAFE report (Econ SAFE) reflects the intersec</w:t>
      </w:r>
      <w:r>
        <w:t>tion of climate related effects on ecosystem productivity, fishery regulation, and economic forces. The report contains “detailed information about economic aspects of the groundfish fisheries, including figures and tables, economic performance indices, 20</w:t>
      </w:r>
      <w:r>
        <w:t>21 product price and ex-vessel price projections, year-to-date information on volume and value, an Amendment 80 fishery economic data report (EDR) summary, a Gulf Trawl fishery EDR summary, and market profiles for the most commercially valuable species.” T</w:t>
      </w:r>
      <w:r>
        <w:t>he CCTF evaluated the 2019 and 2020 Econ SAFE reports using the previously described keyword search criteria. Like the ESR analyses, statements utilizing the keyword were selectively added to the summary search table (table? Excel file?) to better contextu</w:t>
      </w:r>
      <w:r>
        <w:t>alize the use of the keyword.</w:t>
      </w:r>
    </w:p>
    <w:p w14:paraId="6E217E59" w14:textId="77777777" w:rsidR="005A724B" w:rsidRDefault="005D2FFE">
      <w:pPr>
        <w:spacing w:before="0"/>
      </w:pPr>
      <w:r>
        <w:t xml:space="preserve"> </w:t>
      </w:r>
    </w:p>
    <w:p w14:paraId="15F8FE44" w14:textId="77777777" w:rsidR="005A724B" w:rsidRDefault="005D2FFE">
      <w:pPr>
        <w:spacing w:before="0"/>
      </w:pPr>
      <w:r>
        <w:t>[To add: Summary tables…….analyses ]</w:t>
      </w:r>
    </w:p>
    <w:p w14:paraId="0C3F39C4" w14:textId="77777777" w:rsidR="005A724B" w:rsidRDefault="005D2FFE">
      <w:pPr>
        <w:spacing w:before="0"/>
      </w:pPr>
      <w:r>
        <w:lastRenderedPageBreak/>
        <w:t xml:space="preserve"> </w:t>
      </w:r>
    </w:p>
    <w:p w14:paraId="7097DD7B" w14:textId="77777777" w:rsidR="005A724B" w:rsidRDefault="005D2FFE">
      <w:pPr>
        <w:pStyle w:val="Heading4"/>
      </w:pPr>
      <w:bookmarkStart w:id="41" w:name="_1zq68god2rev" w:colFirst="0" w:colLast="0"/>
      <w:bookmarkEnd w:id="41"/>
      <w:r>
        <w:t>SAFE Report Introduction</w:t>
      </w:r>
    </w:p>
    <w:p w14:paraId="0D18AA41" w14:textId="77777777" w:rsidR="005A724B" w:rsidRDefault="005D2FFE">
      <w:pPr>
        <w:spacing w:before="0"/>
      </w:pPr>
      <w:r>
        <w:t>The introductions for the groundfish SAFE reports and Crab SAFE reports provide the overall summary of stock status as well as raise overarching themes or issue</w:t>
      </w:r>
      <w:r>
        <w:t>s for consideration across species-specific assessments. The CCTF reviewed  the introductions from the 2021, 2020, and 2019 SAFE reports for groundfish and crab using the standardized search criteria outlined above.</w:t>
      </w:r>
    </w:p>
    <w:p w14:paraId="064828C1" w14:textId="77777777" w:rsidR="005A724B" w:rsidRDefault="005D2FFE">
      <w:pPr>
        <w:pStyle w:val="Heading4"/>
      </w:pPr>
      <w:bookmarkStart w:id="42" w:name="_q9rzr33kgqfu" w:colFirst="0" w:colLast="0"/>
      <w:bookmarkEnd w:id="42"/>
      <w:r>
        <w:t>Groundfish SAFE: Species Specific Assess</w:t>
      </w:r>
      <w:r>
        <w:t>ments</w:t>
      </w:r>
    </w:p>
    <w:p w14:paraId="19501CE1" w14:textId="77777777" w:rsidR="005A724B" w:rsidRDefault="005D2FFE">
      <w:pPr>
        <w:spacing w:before="0"/>
      </w:pPr>
      <w:r>
        <w:t>Each stock assessment chapter of the groundfish or crab SAFE reports includes information regarding current status and trends in the fishery stock, as well as relevant background information for the design of the population dynamics model underpinnin</w:t>
      </w:r>
      <w:r>
        <w:t>g the status assessment. Each chapter also includes an Ecosystem Considerations section, as well as ecological and social-economic information important for the context of the status and trends of the species. For some stocks there is an expanded Ecosystem</w:t>
      </w:r>
      <w:r>
        <w:t xml:space="preserve"> and Social Profile (ESP) appendix with additional social and ecological indicators relevant for the stock. Multiple groundfish species chapters also include a Risk Table section that details considerations or concerns (or lack thereof) that underpin adjus</w:t>
      </w:r>
      <w:r>
        <w:t>tments (or not) to the model-recommended ABC and OFL. For each stock assessment chapter we applied the search criteria to the entire stock assessment as well as associated ESP appendices, when applicable. We included the following case study species in thi</w:t>
      </w:r>
      <w:r>
        <w:t xml:space="preserve">s review: Bering sea yellowfin sole, Alaska sablefish, Bering sea pollock, and Bering sea forage (includes herring and squid). Copies of these assessments can be found on the AFSC website at the following </w:t>
      </w:r>
      <w:hyperlink r:id="rId18">
        <w:r>
          <w:rPr>
            <w:color w:val="1155CC"/>
            <w:u w:val="single"/>
          </w:rPr>
          <w:t>LINK</w:t>
        </w:r>
      </w:hyperlink>
      <w:r>
        <w:t xml:space="preserve">.  </w:t>
      </w:r>
    </w:p>
    <w:p w14:paraId="31709006" w14:textId="77777777" w:rsidR="005A724B" w:rsidRDefault="005A724B">
      <w:pPr>
        <w:spacing w:before="0"/>
      </w:pPr>
    </w:p>
    <w:p w14:paraId="4651F711" w14:textId="77777777" w:rsidR="005A724B" w:rsidRDefault="005D2FFE">
      <w:pPr>
        <w:pStyle w:val="Heading4"/>
      </w:pPr>
      <w:bookmarkStart w:id="43" w:name="_gxh58875dnqz" w:colFirst="0" w:colLast="0"/>
      <w:bookmarkEnd w:id="43"/>
      <w:r>
        <w:t>Crab SAFE: Species Specific Assessments:</w:t>
      </w:r>
    </w:p>
    <w:p w14:paraId="51802C8E" w14:textId="77777777" w:rsidR="005A724B" w:rsidRDefault="005D2FFE">
      <w:pPr>
        <w:spacing w:before="0"/>
        <w:rPr>
          <w:sz w:val="24"/>
          <w:szCs w:val="24"/>
        </w:rPr>
      </w:pPr>
      <w:r>
        <w:t>Each stock assessment chapter of the crab SAFE report similarly includes information relevant to status review.</w:t>
      </w:r>
      <w:r>
        <w:t xml:space="preserve">  The two stock assessment chapters of the crab SAFE reports reviewed, Bering Sea snow crab and Bristol Bay red king crab (BBRKC), each include information regarding current status and trends in the stock, as well as relevant background information for the</w:t>
      </w:r>
      <w:r>
        <w:t xml:space="preserve"> design of the population dynamics model underpinning the status assessment. Specific sections on ecosystem considerations are variable. An Ecosystem Considerations section is in the snow crab assessment for each of the years reviewed. The BBRKC chapter ha</w:t>
      </w:r>
      <w:r>
        <w:t>d no formal ecosystem section in 2019 but in the following years there was an Ecosystem and Social Profile (ESP) appendix with additional social and ecological indicators relevant for the stock. An ESP section or appendix for snow crab is expected to be in</w:t>
      </w:r>
      <w:r>
        <w:t xml:space="preserve">cluded in upcoming assessments.  There are no risk tables included in the Intro or crab SAFE chapters currently.  Copies of these assessments can be found on the AFSC website at the following </w:t>
      </w:r>
      <w:hyperlink r:id="rId19">
        <w:r>
          <w:rPr>
            <w:color w:val="1155CC"/>
            <w:u w:val="single"/>
          </w:rPr>
          <w:t>LINK</w:t>
        </w:r>
      </w:hyperlink>
      <w:r>
        <w:t xml:space="preserve">.  </w:t>
      </w:r>
    </w:p>
    <w:p w14:paraId="3D3A1436" w14:textId="77777777" w:rsidR="005A724B" w:rsidRDefault="005D2FFE">
      <w:pPr>
        <w:pStyle w:val="Heading3"/>
      </w:pPr>
      <w:bookmarkStart w:id="44" w:name="_esv2qm1p46us" w:colFirst="0" w:colLast="0"/>
      <w:bookmarkEnd w:id="44"/>
      <w:r>
        <w:t>Results</w:t>
      </w:r>
    </w:p>
    <w:p w14:paraId="7826202C" w14:textId="77777777" w:rsidR="005A724B" w:rsidRDefault="005A724B"/>
    <w:p w14:paraId="6B7B750A" w14:textId="77777777" w:rsidR="005A724B" w:rsidRDefault="005D2FFE">
      <w:pPr>
        <w:pStyle w:val="Heading4"/>
      </w:pPr>
      <w:bookmarkStart w:id="45" w:name="_7581dhu3zgof" w:colFirst="0" w:colLast="0"/>
      <w:bookmarkEnd w:id="45"/>
      <w:r>
        <w:lastRenderedPageBreak/>
        <w:t>Plan Team Minutes-Reports</w:t>
      </w:r>
    </w:p>
    <w:p w14:paraId="7A45ED33" w14:textId="77777777" w:rsidR="005A724B" w:rsidRDefault="005D2FFE">
      <w:pPr>
        <w:spacing w:before="0"/>
      </w:pPr>
      <w:r>
        <w:t>We did not conduct full searches through Plan Team minutes or reports, however, the SAFE reviewers noted that in several instances, it is known that peer group reviews occurring at the stock Plan Teams receive climate related research presentations.  The i</w:t>
      </w:r>
      <w:r>
        <w:t>nformation is very explicit to evaluate linkages to stock status for a number of stocks that may be reflecting dynamics that are related to changing conditions. The team reports (minutes) are typically compiled to reflect the topics covered and how they fi</w:t>
      </w:r>
      <w:r>
        <w:t>t into stock considerations, and they are presented/reviewed by the SSC as part of the normal Council process.  We note this to highlight that there is broader, more informal attention and inclusion of climate related impacts as part of typical Plan Team a</w:t>
      </w:r>
      <w:r>
        <w:t>ctivity for both groundfish and crab.  We briefly evaluated the Nov-Dec period for groundfish, and the Sep-Oct period for crab, both which align with stock-seasonal cycles for status determinations and management actions.  In both cases there are reference</w:t>
      </w:r>
      <w:r>
        <w:t>s to climate research, ecosystem overviews, ESRs, ESPs, and other environmental issues with some directions and advice noted to address further climate-linkages to assessments.</w:t>
      </w:r>
    </w:p>
    <w:p w14:paraId="67A9C55F" w14:textId="77777777" w:rsidR="005A724B" w:rsidRDefault="005A724B">
      <w:pPr>
        <w:spacing w:before="0"/>
      </w:pPr>
    </w:p>
    <w:p w14:paraId="7705B37C" w14:textId="77777777" w:rsidR="005A724B" w:rsidRDefault="005D2FFE">
      <w:pPr>
        <w:spacing w:before="0"/>
      </w:pPr>
      <w:r>
        <w:t>The 2021 Sep-Oct and Nov-Dec Plan Team meeting minutes were the</w:t>
      </w:r>
      <w:r>
        <w:t xml:space="preserve"> only place where climate change trends were presented and explicitly included in a stock assessment model. The presentations to the Plan Team focused on a climate informed multispecies stock assessment model and AFSC’s ACLIM 2.0 climate modeling goals and</w:t>
      </w:r>
      <w:r>
        <w:t xml:space="preserve"> objectives.  </w:t>
      </w:r>
    </w:p>
    <w:p w14:paraId="30C3A46B" w14:textId="77777777" w:rsidR="005A724B" w:rsidRDefault="005D2FFE">
      <w:pPr>
        <w:pStyle w:val="Heading4"/>
      </w:pPr>
      <w:bookmarkStart w:id="46" w:name="_qg0ws4lq5mke" w:colFirst="0" w:colLast="0"/>
      <w:bookmarkEnd w:id="46"/>
      <w:r>
        <w:t>Ecosystem Status Report (ESR): Is climate change information included in the Bering Sea ESR?</w:t>
      </w:r>
    </w:p>
    <w:p w14:paraId="5C8766D3" w14:textId="77777777" w:rsidR="005A724B" w:rsidRDefault="005D2FFE">
      <w:pPr>
        <w:rPr>
          <w:b/>
        </w:rPr>
      </w:pPr>
      <w:r>
        <w:t>In general, as is the intention of the ESR, ecological and climate information was clearly provided in terms of observed changes to date and anticip</w:t>
      </w:r>
      <w:r>
        <w:t xml:space="preserve">ated changes for the next 9 </w:t>
      </w:r>
      <w:proofErr w:type="spellStart"/>
      <w:r>
        <w:t>mo</w:t>
      </w:r>
      <w:proofErr w:type="spellEnd"/>
      <w:r>
        <w:t xml:space="preserve">- 2 years, including observations of climate-driven ecological trends as well as seasonal climate forecasts and trends in both large-scale and regional climate patterns. However, the report does not explicitly include climate </w:t>
      </w:r>
      <w:r>
        <w:t xml:space="preserve">change information, such as long-term (5-50+ year) climate change projections or discussion of climate change vulnerability or anticipated impacts for various ecosystem processes and fishery species. Climate change specific terms such as “climate change”, </w:t>
      </w:r>
      <w:r>
        <w:t>“global warming” and “long-term change” rarely appear in the ESR reports (Table 2.2), and most often occur in terms of context (e.g., an index may be useful for predicting responses to future climate change) rather than detailing a specific prediction of f</w:t>
      </w:r>
      <w:r>
        <w:t>uture change (e.g., % change in recruitment anticipated by 2050 under low mitigation scenarios). That said, in multiple places extreme events and climate/temperature impacts are discussed in detail, events which in some cases have now been attributed to an</w:t>
      </w:r>
      <w:r>
        <w:t>thropogenic climate change, namely impacts of recent Marine Heatwaves (</w:t>
      </w:r>
      <w:proofErr w:type="spellStart"/>
      <w:r>
        <w:t>Laufkötter</w:t>
      </w:r>
      <w:proofErr w:type="spellEnd"/>
      <w:r>
        <w:t xml:space="preserve"> et al. 2020) and loss of sea ice (Jones et al. 2020), as well as changes in wind, circulation, and ocean chemistry that are consistent with anticipated future climate change </w:t>
      </w:r>
      <w:r>
        <w:t>(</w:t>
      </w:r>
      <w:proofErr w:type="spellStart"/>
      <w:r>
        <w:t>IPCCa</w:t>
      </w:r>
      <w:proofErr w:type="spellEnd"/>
      <w:r>
        <w:t xml:space="preserve"> 2021). </w:t>
      </w:r>
      <w:r>
        <w:rPr>
          <w:b/>
        </w:rPr>
        <w:t xml:space="preserve">As such the ESRs provide a critical linkage between recent trends and long-term changes that could readily be used to provide climate change information for decision making. </w:t>
      </w:r>
    </w:p>
    <w:p w14:paraId="51809135" w14:textId="77777777" w:rsidR="005A724B" w:rsidRDefault="005D2FFE">
      <w:pPr>
        <w:pStyle w:val="Heading4"/>
      </w:pPr>
      <w:bookmarkStart w:id="47" w:name="_3arpic9jv54q" w:colFirst="0" w:colLast="0"/>
      <w:bookmarkEnd w:id="47"/>
      <w:r>
        <w:lastRenderedPageBreak/>
        <w:t>Economic Status</w:t>
      </w:r>
      <w:r>
        <w:t xml:space="preserve"> Reports (Econ SAFE)</w:t>
      </w:r>
    </w:p>
    <w:p w14:paraId="4C4F6EF4" w14:textId="77777777" w:rsidR="005A724B" w:rsidRDefault="005D2FFE">
      <w:pPr>
        <w:spacing w:before="0"/>
      </w:pPr>
      <w:r>
        <w:t xml:space="preserve">Five of the 18 search terms </w:t>
      </w:r>
      <w:r>
        <w:t>found in the 2019 and 2020 Econ SAFE reports were climate, forecast, projection, sea ice and unprecedented. Pollock production, price projections, vessel master survey, and Covid-19 impacts [ Add additional results]</w:t>
      </w:r>
    </w:p>
    <w:p w14:paraId="1E60522C" w14:textId="77777777" w:rsidR="005A724B" w:rsidRDefault="005D2FFE">
      <w:pPr>
        <w:pStyle w:val="Heading4"/>
        <w:rPr>
          <w:highlight w:val="yellow"/>
        </w:rPr>
      </w:pPr>
      <w:bookmarkStart w:id="48" w:name="_lllqhox71iqv" w:colFirst="0" w:colLast="0"/>
      <w:bookmarkEnd w:id="48"/>
      <w:r>
        <w:t xml:space="preserve">SAFE </w:t>
      </w:r>
      <w:r>
        <w:t>Intro: Is the introduction raisi</w:t>
      </w:r>
      <w:r>
        <w:t>ng the issue of climate change impacts?</w:t>
      </w:r>
    </w:p>
    <w:p w14:paraId="703D190E" w14:textId="77777777" w:rsidR="005A724B" w:rsidRDefault="005A724B">
      <w:pPr>
        <w:spacing w:before="0"/>
      </w:pPr>
    </w:p>
    <w:p w14:paraId="72F71B54" w14:textId="77777777" w:rsidR="005A724B" w:rsidRDefault="005D2FFE">
      <w:pPr>
        <w:spacing w:before="0"/>
      </w:pPr>
      <w:r>
        <w:t>In the crab SAFE Introductions, the information is generally focused on providing context directly for information related to OFL and ABC setting, data and assessment methodology, stock biomass and recruitment trend</w:t>
      </w:r>
      <w:r>
        <w:t>s, and final recommendations.  The crab SAFE Introduction covers all ten FMP crab stocks, with a few pages devoted to each species, with about 40 pages total per year. The Introduction searches performed reflected infrequent hits on our search terms, and a</w:t>
      </w:r>
      <w:r>
        <w:t xml:space="preserve"> closer review in the Introductions show that the issues around climate change impacts for crab are generally not raised in the crab SAFE Introductions.  </w:t>
      </w:r>
    </w:p>
    <w:p w14:paraId="0CE05F6D" w14:textId="77777777" w:rsidR="005A724B" w:rsidRDefault="005D2FFE">
      <w:pPr>
        <w:spacing w:before="0"/>
        <w:rPr>
          <w:highlight w:val="yellow"/>
        </w:rPr>
      </w:pPr>
      <w:r>
        <w:rPr>
          <w:highlight w:val="yellow"/>
        </w:rPr>
        <w:t>[Add final findings]</w:t>
      </w:r>
    </w:p>
    <w:p w14:paraId="16B9A075" w14:textId="77777777" w:rsidR="005A724B" w:rsidRDefault="005D2FFE">
      <w:pPr>
        <w:pStyle w:val="Heading4"/>
      </w:pPr>
      <w:bookmarkStart w:id="49" w:name="_1kne4xbpbaxw" w:colFirst="0" w:colLast="0"/>
      <w:bookmarkEnd w:id="49"/>
      <w:r>
        <w:t>Individual Stock Assessment Chapters</w:t>
      </w:r>
    </w:p>
    <w:p w14:paraId="6A4D6365" w14:textId="77777777" w:rsidR="005A724B" w:rsidRDefault="005D2FFE">
      <w:r>
        <w:t>While climate variability and ecological im</w:t>
      </w:r>
      <w:r>
        <w:t>pacts of events that have been attributed to climate change (i.e., MHW, changes in cold pool area, sea ice loss) frequently appear in the text of multiple assessments, climate change information is not yet explicitly included in individual stock assessment</w:t>
      </w:r>
      <w:r>
        <w:t xml:space="preserve"> chapters. Of the reports reviewed, the term “climate change” only appeared in one stock assessment (EBS yellowfin sole, 2021) in response to a SSC comment pertaining to the potential for climate-driven redistribution. However, climate change was implicit </w:t>
      </w:r>
      <w:r>
        <w:t>in the text and discussion for multiple stocks. Often this appeared around discussion of the cold pool area, changes in bottom or surface temperature, and for Pacific cod, in terms of Ocean Acidification impacts on larval survival. This information most fr</w:t>
      </w:r>
      <w:r>
        <w:t>equently appeared in text associated with the Risk Table, Ecosystem Considerations, Research Gaps, and ESP sections of the reports, specifically around changes in sea ice, MHWs, and shifting distributions. For crab, there were more contextual references to</w:t>
      </w:r>
      <w:r>
        <w:t xml:space="preserve"> temperatures, warming, around the cold pool dynamics, regime shift, and current responses in the crab stock.</w:t>
      </w:r>
    </w:p>
    <w:p w14:paraId="35EB110E" w14:textId="77777777" w:rsidR="005A724B" w:rsidRDefault="005D2FFE">
      <w:r>
        <w:t>In addition, a few stock assessments used climate covariates directly within the assessment model, variables that are outputs of climate projectio</w:t>
      </w:r>
      <w:r>
        <w:t>ns for the Bering Sea and therefore could potentially be used to extrapolate climate projections to species-specific changes. This includes temperature as a covariate on survey catchability for yellowfin sole and the cold-pool index in VAST biomass expansi</w:t>
      </w:r>
      <w:r>
        <w:t>ons used in pollock and Pacific cod accepted models. For other assessments, climate indices were included in candidate models but were not in selected models for a given year. For crab, the current assessments don't include environmental covariates, but th</w:t>
      </w:r>
      <w:r>
        <w:t>ere are references to research included for context of stock status and population dynamics in the Bering Sea around climate change, notably for snow crab and climate indices..</w:t>
      </w:r>
    </w:p>
    <w:p w14:paraId="15FA0720" w14:textId="77777777" w:rsidR="005A724B" w:rsidRDefault="005D2FFE">
      <w:r>
        <w:t>Climate change information from recent vulnerability assessments and climate ch</w:t>
      </w:r>
      <w:r>
        <w:t xml:space="preserve">ange projections of redistributions and productivity were largely not included in individual stock </w:t>
      </w:r>
      <w:r>
        <w:lastRenderedPageBreak/>
        <w:t xml:space="preserve">assessments, despite these being widely cited in the peer reviewed literature. The exception was discussion of potential redistribution of yellowfin sole in </w:t>
      </w:r>
      <w:r>
        <w:t xml:space="preserve">that species’ assessment where the author discussed that “ shifts may occur under future climate change” that may impact yellowfin sole fisheries which cannot access fish in the NEBS where bottom trawling is restricted. That assessment author also pointed </w:t>
      </w:r>
      <w:r>
        <w:t>to the importance of monitoring nursery areas in Norton Sound and Kuskokwim-</w:t>
      </w:r>
      <w:proofErr w:type="spellStart"/>
      <w:r>
        <w:t>Togiak</w:t>
      </w:r>
      <w:proofErr w:type="spellEnd"/>
      <w:r>
        <w:t xml:space="preserve"> Bays as areas “experiencing anomalously high water temperatures because of climate change that are likely to impact fish growth and condition”. While most assessments did no</w:t>
      </w:r>
      <w:r>
        <w:t xml:space="preserve">t explicitly discuss climate change, many assessments included climate change citations in the references for the assessment. This indicates that climate change information is implicit in some of the context for recent trends or changes to model structure </w:t>
      </w:r>
      <w:r>
        <w:t xml:space="preserve">and design. </w:t>
      </w:r>
    </w:p>
    <w:p w14:paraId="33F02394" w14:textId="77777777" w:rsidR="005A724B" w:rsidRDefault="005A724B">
      <w:pPr>
        <w:spacing w:before="0"/>
      </w:pPr>
    </w:p>
    <w:p w14:paraId="58D52449" w14:textId="77777777" w:rsidR="005A724B" w:rsidRDefault="005D2FFE">
      <w:pPr>
        <w:pStyle w:val="Heading3"/>
        <w:spacing w:line="240" w:lineRule="auto"/>
        <w:rPr>
          <w:color w:val="337AB7"/>
        </w:rPr>
      </w:pPr>
      <w:bookmarkStart w:id="50" w:name="_3dy6vkm" w:colFirst="0" w:colLast="0"/>
      <w:bookmarkStart w:id="51" w:name="_ubmyqjpoxofp" w:colFirst="0" w:colLast="0"/>
      <w:bookmarkStart w:id="52" w:name="_ozqdwrvne4ra" w:colFirst="0" w:colLast="0"/>
      <w:bookmarkStart w:id="53" w:name="_8kdum8s3xqh6" w:colFirst="0" w:colLast="0"/>
      <w:bookmarkEnd w:id="50"/>
      <w:bookmarkEnd w:id="51"/>
      <w:bookmarkEnd w:id="52"/>
      <w:bookmarkEnd w:id="53"/>
      <w:r>
        <w:rPr>
          <w:color w:val="337AB7"/>
        </w:rPr>
        <w:t>Future directions</w:t>
      </w:r>
    </w:p>
    <w:p w14:paraId="03DDF4D7" w14:textId="5CEE245D" w:rsidR="005A724B" w:rsidRDefault="005D2FFE">
      <w:pPr>
        <w:pStyle w:val="Heading4"/>
      </w:pPr>
      <w:bookmarkStart w:id="54" w:name="_nnskvjb7z6dh" w:colFirst="0" w:colLast="0"/>
      <w:bookmarkEnd w:id="54"/>
      <w:proofErr w:type="spellStart"/>
      <w:r>
        <w:t>Nearterm</w:t>
      </w:r>
      <w:proofErr w:type="spellEnd"/>
      <w:r>
        <w:t xml:space="preserve"> implementation</w:t>
      </w:r>
    </w:p>
    <w:p w14:paraId="75069A4B" w14:textId="77777777" w:rsidR="005A724B" w:rsidRDefault="005A724B">
      <w:pPr>
        <w:spacing w:before="0"/>
      </w:pPr>
    </w:p>
    <w:p w14:paraId="195A264F" w14:textId="77777777" w:rsidR="005A724B" w:rsidRDefault="005D2FFE">
      <w:pPr>
        <w:spacing w:before="0"/>
        <w:rPr>
          <w:highlight w:val="yellow"/>
        </w:rPr>
      </w:pPr>
      <w:r>
        <w:t>Potential on-ramps</w:t>
      </w:r>
      <w:r>
        <w:rPr>
          <w:highlight w:val="yellow"/>
        </w:rPr>
        <w:t xml:space="preserve"> (in no particular order yet)</w:t>
      </w:r>
    </w:p>
    <w:p w14:paraId="327C704E" w14:textId="77777777" w:rsidR="005A724B" w:rsidRDefault="005D2FFE">
      <w:pPr>
        <w:numPr>
          <w:ilvl w:val="0"/>
          <w:numId w:val="14"/>
        </w:numPr>
        <w:spacing w:before="0"/>
      </w:pPr>
      <w:r>
        <w:t>Synthesis / climate change section in ESR</w:t>
      </w:r>
    </w:p>
    <w:p w14:paraId="6AED1E60" w14:textId="77777777" w:rsidR="005A724B" w:rsidRDefault="005D2FFE">
      <w:pPr>
        <w:numPr>
          <w:ilvl w:val="1"/>
          <w:numId w:val="14"/>
        </w:numPr>
        <w:spacing w:before="0"/>
      </w:pPr>
      <w:r>
        <w:t>ESR: the rigorous and standardized methodology and operational, transparent, and timely approach to synthesizing management relevant advice provides a framework for summarizing management relevant climate change in</w:t>
      </w:r>
      <w:r>
        <w:t>formation through the CCTF Climate Change Report.</w:t>
      </w:r>
    </w:p>
    <w:p w14:paraId="25B33200" w14:textId="77777777" w:rsidR="005A724B" w:rsidRDefault="005D2FFE">
      <w:pPr>
        <w:numPr>
          <w:ilvl w:val="1"/>
          <w:numId w:val="14"/>
        </w:numPr>
        <w:spacing w:before="0"/>
      </w:pPr>
      <w:r>
        <w:t>Top 4 mentions in the 2019-2021 ESRs are temperature, warm, sea ice, and cold pool respectively. Climate change projections of these variables in the EBS have been done and are likely easiest to include. In</w:t>
      </w:r>
      <w:r>
        <w:t xml:space="preserve"> several cases, ESR authors relate their reported observations to one of the above. Some examples:</w:t>
      </w:r>
    </w:p>
    <w:p w14:paraId="6691FDD8" w14:textId="77777777" w:rsidR="005A724B" w:rsidRDefault="005D2FFE">
      <w:pPr>
        <w:widowControl w:val="0"/>
        <w:numPr>
          <w:ilvl w:val="2"/>
          <w:numId w:val="14"/>
        </w:numPr>
        <w:spacing w:before="0"/>
        <w:jc w:val="left"/>
        <w:rPr>
          <w:sz w:val="24"/>
          <w:szCs w:val="24"/>
        </w:rPr>
      </w:pPr>
      <w:r>
        <w:t>Understanding how climatic perturbations, and particularly the recent warm periods (</w:t>
      </w:r>
      <w:proofErr w:type="spellStart"/>
      <w:r>
        <w:t>Stabeno</w:t>
      </w:r>
      <w:proofErr w:type="spellEnd"/>
      <w:r>
        <w:t xml:space="preserve"> and Bell, 2019) influence primary production is a critical compon</w:t>
      </w:r>
      <w:r>
        <w:t>ent in understanding ecosystem dynamics in the Bering Sea.</w:t>
      </w:r>
    </w:p>
    <w:p w14:paraId="09C42B21" w14:textId="77777777" w:rsidR="005A724B" w:rsidRDefault="005D2FFE">
      <w:pPr>
        <w:widowControl w:val="0"/>
        <w:numPr>
          <w:ilvl w:val="2"/>
          <w:numId w:val="14"/>
        </w:numPr>
        <w:spacing w:before="0"/>
        <w:jc w:val="left"/>
      </w:pPr>
      <w:r>
        <w:t xml:space="preserve">The variations of temperature and salinity between Bering Sea Project regions indicate that water mass properties vary considerably both spatially (horizontally across regions and vertically above </w:t>
      </w:r>
      <w:r>
        <w:t xml:space="preserve">and below the MLD) and interannually, and will impact ecosystem dynamics and distributions of zooplankton, fish, and other higher trophic levels. </w:t>
      </w:r>
    </w:p>
    <w:p w14:paraId="45B7346E" w14:textId="77777777" w:rsidR="005A724B" w:rsidRDefault="005D2FFE">
      <w:pPr>
        <w:widowControl w:val="0"/>
        <w:numPr>
          <w:ilvl w:val="2"/>
          <w:numId w:val="14"/>
        </w:numPr>
        <w:spacing w:before="0"/>
        <w:jc w:val="left"/>
      </w:pPr>
      <w:r>
        <w:t>Recent warming in the EBS and NBS is unlike previous warm periods. The magnitude and seasonality of warming s</w:t>
      </w:r>
      <w:r>
        <w:t>uggests that loss of sea ice may lead to an entirely different ecosystem, which could have drastic impacts on prey quality, predator-prey overlap, and locations of commercial fish populations.</w:t>
      </w:r>
    </w:p>
    <w:p w14:paraId="20633695" w14:textId="77777777" w:rsidR="005A724B" w:rsidRDefault="005D2FFE">
      <w:pPr>
        <w:widowControl w:val="0"/>
        <w:numPr>
          <w:ilvl w:val="2"/>
          <w:numId w:val="14"/>
        </w:numPr>
        <w:spacing w:before="0"/>
        <w:jc w:val="left"/>
      </w:pPr>
      <w:r>
        <w:t>In the EBS, local species richness may be particularly sensitiv</w:t>
      </w:r>
      <w:r>
        <w:t>e to long-term trends in bottom temperature as the cold pool extent changes (</w:t>
      </w:r>
      <w:proofErr w:type="spellStart"/>
      <w:r>
        <w:t>Mueter</w:t>
      </w:r>
      <w:proofErr w:type="spellEnd"/>
      <w:r>
        <w:t xml:space="preserve"> and Litzow, 2008) and provides a useful index for monitoring </w:t>
      </w:r>
      <w:r>
        <w:lastRenderedPageBreak/>
        <w:t>responses of the groundfish community to projected climate warming (</w:t>
      </w:r>
      <w:proofErr w:type="spellStart"/>
      <w:r>
        <w:t>Alabia</w:t>
      </w:r>
      <w:proofErr w:type="spellEnd"/>
      <w:r>
        <w:t xml:space="preserve"> et al., 2020).</w:t>
      </w:r>
    </w:p>
    <w:p w14:paraId="1931A4B5" w14:textId="77777777" w:rsidR="005A724B" w:rsidRDefault="005D2FFE">
      <w:pPr>
        <w:widowControl w:val="0"/>
        <w:numPr>
          <w:ilvl w:val="1"/>
          <w:numId w:val="14"/>
        </w:numPr>
        <w:spacing w:before="0"/>
        <w:jc w:val="left"/>
      </w:pPr>
      <w:r>
        <w:t xml:space="preserve">A natural offramp to </w:t>
      </w:r>
      <w:r>
        <w:t>present climate change projections of temperature, sea ice and EBS bottom temperatures may be following ESR author reports detailing their observations/hindcasts to variations in observed EBS physical properties. It could then give stakeholders a more imme</w:t>
      </w:r>
      <w:r>
        <w:t xml:space="preserve">diate view of the current conditions relative to climate change projections.  </w:t>
      </w:r>
    </w:p>
    <w:p w14:paraId="20887E89" w14:textId="77777777" w:rsidR="005A724B" w:rsidRDefault="005D2FFE">
      <w:pPr>
        <w:numPr>
          <w:ilvl w:val="0"/>
          <w:numId w:val="14"/>
        </w:numPr>
        <w:spacing w:before="0"/>
      </w:pPr>
      <w:proofErr w:type="spellStart"/>
      <w:r>
        <w:t>Seperate</w:t>
      </w:r>
      <w:proofErr w:type="spellEnd"/>
      <w:r>
        <w:t xml:space="preserve"> section in SAFE or an independent climate change report</w:t>
      </w:r>
    </w:p>
    <w:p w14:paraId="2F6B0BE3" w14:textId="77777777" w:rsidR="005A724B" w:rsidRDefault="005D2FFE">
      <w:pPr>
        <w:numPr>
          <w:ilvl w:val="0"/>
          <w:numId w:val="14"/>
        </w:numPr>
        <w:spacing w:before="0"/>
      </w:pPr>
      <w:r>
        <w:t>Intro section for each SAFE report could include a climate change section:</w:t>
      </w:r>
    </w:p>
    <w:p w14:paraId="38B3CD32" w14:textId="77777777" w:rsidR="005A724B" w:rsidRDefault="005D2FFE">
      <w:pPr>
        <w:numPr>
          <w:ilvl w:val="1"/>
          <w:numId w:val="7"/>
        </w:numPr>
        <w:spacing w:before="0"/>
      </w:pPr>
      <w:r>
        <w:t>Attribution studies for MHW and sea i</w:t>
      </w:r>
      <w:r>
        <w:t xml:space="preserve">ce loss to anthropogenic climate change (could be in the ecosystem considerations sections of each assessment or could be included in the ESR or Introduction sections of each SAFE report). </w:t>
      </w:r>
    </w:p>
    <w:p w14:paraId="64D3C6D0" w14:textId="77777777" w:rsidR="005A724B" w:rsidRDefault="005D2FFE">
      <w:pPr>
        <w:numPr>
          <w:ilvl w:val="1"/>
          <w:numId w:val="7"/>
        </w:numPr>
        <w:spacing w:before="0"/>
      </w:pPr>
      <w:r>
        <w:t>Include projected changes in physical conditions under SSP1 26 and</w:t>
      </w:r>
      <w:r>
        <w:t xml:space="preserve"> SSP5 85 for the EBS at near-term, medium term, and long-term (2100)</w:t>
      </w:r>
    </w:p>
    <w:p w14:paraId="2B7EF6A0" w14:textId="77777777" w:rsidR="005A724B" w:rsidRDefault="005D2FFE">
      <w:pPr>
        <w:numPr>
          <w:ilvl w:val="1"/>
          <w:numId w:val="7"/>
        </w:numPr>
        <w:spacing w:before="0"/>
      </w:pPr>
      <w:r>
        <w:t>Upcoming climate change research/activities</w:t>
      </w:r>
    </w:p>
    <w:p w14:paraId="40C82287" w14:textId="77777777" w:rsidR="005A724B" w:rsidRDefault="005D2FFE">
      <w:pPr>
        <w:numPr>
          <w:ilvl w:val="2"/>
          <w:numId w:val="7"/>
        </w:numPr>
        <w:spacing w:before="0"/>
        <w:jc w:val="left"/>
      </w:pPr>
      <w:r>
        <w:t>While there were no long-term climate projections/forecasts/warming presented in the 2019-2021 ESRs or Econ SAFE, presentations showing the abo</w:t>
      </w:r>
      <w:r>
        <w:t xml:space="preserve">ve were given to the 2021 December and September Plan Teams which included </w:t>
      </w:r>
      <w:proofErr w:type="spellStart"/>
      <w:r>
        <w:t>Holsman’s</w:t>
      </w:r>
      <w:proofErr w:type="spellEnd"/>
      <w:r>
        <w:t xml:space="preserve"> multispecies stock assessment modeling and future research plans for ACLIM 2.0. At the moment, the Plan Team has been the only onramp to communicate these long-term projec</w:t>
      </w:r>
      <w:r>
        <w:t xml:space="preserve">tions and could be a continued space, as noted below, to provide relevant climate change information – particularly ongoing research that could have NPFMC relevance.   </w:t>
      </w:r>
    </w:p>
    <w:p w14:paraId="58E17D0B" w14:textId="77777777" w:rsidR="005A724B" w:rsidRDefault="005D2FFE">
      <w:pPr>
        <w:numPr>
          <w:ilvl w:val="0"/>
          <w:numId w:val="14"/>
        </w:numPr>
        <w:spacing w:before="0"/>
      </w:pPr>
      <w:r>
        <w:t>Safe Chapters</w:t>
      </w:r>
    </w:p>
    <w:p w14:paraId="5D86ED54" w14:textId="77777777" w:rsidR="005A724B" w:rsidRDefault="005D2FFE">
      <w:pPr>
        <w:numPr>
          <w:ilvl w:val="1"/>
          <w:numId w:val="14"/>
        </w:numPr>
        <w:spacing w:before="0"/>
      </w:pPr>
      <w:r>
        <w:t>Paragraph in each safe chapter</w:t>
      </w:r>
    </w:p>
    <w:p w14:paraId="1C4BA3A8" w14:textId="77777777" w:rsidR="005A724B" w:rsidRDefault="005D2FFE">
      <w:pPr>
        <w:numPr>
          <w:ilvl w:val="1"/>
          <w:numId w:val="14"/>
        </w:numPr>
        <w:spacing w:before="0"/>
      </w:pPr>
      <w:r>
        <w:t>Each stock assessment chapter could include a climate change information section or slightly modified ESP with:</w:t>
      </w:r>
    </w:p>
    <w:p w14:paraId="1CD22C57" w14:textId="77777777" w:rsidR="005A724B" w:rsidRDefault="005D2FFE">
      <w:pPr>
        <w:numPr>
          <w:ilvl w:val="2"/>
          <w:numId w:val="14"/>
        </w:numPr>
        <w:spacing w:before="0"/>
      </w:pPr>
      <w:r>
        <w:t xml:space="preserve">Climate couplings for each species including current state of knowledge around OA, temperature, SLR, O2, and circulation  </w:t>
      </w:r>
    </w:p>
    <w:p w14:paraId="45FBC3F2" w14:textId="77777777" w:rsidR="005A724B" w:rsidRDefault="005D2FFE">
      <w:pPr>
        <w:numPr>
          <w:ilvl w:val="2"/>
          <w:numId w:val="14"/>
        </w:numPr>
        <w:spacing w:before="0"/>
      </w:pPr>
      <w:r>
        <w:t>Climate projections f</w:t>
      </w:r>
      <w:r>
        <w:t>or each species including estimates of re-distribution and productivity</w:t>
      </w:r>
    </w:p>
    <w:p w14:paraId="6698F98C" w14:textId="77777777" w:rsidR="005A724B" w:rsidRDefault="005D2FFE">
      <w:pPr>
        <w:numPr>
          <w:ilvl w:val="1"/>
          <w:numId w:val="14"/>
        </w:numPr>
        <w:spacing w:before="0"/>
      </w:pPr>
      <w:r>
        <w:t>Risk, vulnerability (and adaptation potential ?) table</w:t>
      </w:r>
    </w:p>
    <w:p w14:paraId="15AA5983" w14:textId="77777777" w:rsidR="005A724B" w:rsidRDefault="005D2FFE">
      <w:pPr>
        <w:numPr>
          <w:ilvl w:val="2"/>
          <w:numId w:val="14"/>
        </w:numPr>
        <w:spacing w:before="0"/>
        <w:jc w:val="left"/>
      </w:pPr>
      <w:r>
        <w:t xml:space="preserve">A table such as this would fit well in the Econ SAFE </w:t>
      </w:r>
      <w:r>
        <w:t xml:space="preserve">– a document that contains short-term price projections (1-3yr) that lacks any climate change/economic linkages. ACLIM 2 research and results could be a vital addition to the Econ SAFE document.  </w:t>
      </w:r>
    </w:p>
    <w:p w14:paraId="4338AE69" w14:textId="77777777" w:rsidR="005A724B" w:rsidRDefault="005D2FFE">
      <w:pPr>
        <w:numPr>
          <w:ilvl w:val="1"/>
          <w:numId w:val="14"/>
        </w:numPr>
        <w:spacing w:before="0"/>
      </w:pPr>
      <w:r>
        <w:t>Safe author survey of climate readiness of each stock (base</w:t>
      </w:r>
      <w:r>
        <w:t>d on their opinion and set criteria for climate readiness)</w:t>
      </w:r>
    </w:p>
    <w:p w14:paraId="7087D858" w14:textId="77777777" w:rsidR="005A724B" w:rsidRDefault="005D2FFE">
      <w:pPr>
        <w:numPr>
          <w:ilvl w:val="0"/>
          <w:numId w:val="14"/>
        </w:numPr>
        <w:spacing w:before="0"/>
      </w:pPr>
      <w:r>
        <w:t>Include a climate briefing as part of the Plan Team meetings to help inform this section</w:t>
      </w:r>
    </w:p>
    <w:p w14:paraId="26839EE2" w14:textId="77777777" w:rsidR="005A724B" w:rsidRDefault="005D2FFE">
      <w:pPr>
        <w:numPr>
          <w:ilvl w:val="0"/>
          <w:numId w:val="14"/>
        </w:numPr>
        <w:spacing w:before="0"/>
      </w:pPr>
      <w:r>
        <w:t>CCTF climate report(s) can be used to periodically update this information through producing synthesis secti</w:t>
      </w:r>
      <w:r>
        <w:t>ons for each species as well as the ecosystem as a whole.</w:t>
      </w:r>
    </w:p>
    <w:p w14:paraId="227301C5" w14:textId="77777777" w:rsidR="005A724B" w:rsidRDefault="005D2FFE">
      <w:pPr>
        <w:pStyle w:val="Heading4"/>
      </w:pPr>
      <w:bookmarkStart w:id="55" w:name="_qqthrixubcqp" w:colFirst="0" w:colLast="0"/>
      <w:bookmarkEnd w:id="55"/>
      <w:r>
        <w:lastRenderedPageBreak/>
        <w:t xml:space="preserve">Longer term Implementation ideas for the full climate report </w:t>
      </w:r>
    </w:p>
    <w:p w14:paraId="3117A8DA" w14:textId="77777777" w:rsidR="005A724B" w:rsidRDefault="005D2FFE">
      <w:pPr>
        <w:numPr>
          <w:ilvl w:val="0"/>
          <w:numId w:val="15"/>
        </w:numPr>
        <w:spacing w:before="0"/>
        <w:rPr>
          <w:color w:val="000000"/>
        </w:rPr>
        <w:sectPr w:rsidR="005A724B">
          <w:pgSz w:w="12240" w:h="15840"/>
          <w:pgMar w:top="1440" w:right="1440" w:bottom="1440" w:left="1440" w:header="720" w:footer="720" w:gutter="0"/>
          <w:cols w:space="720"/>
        </w:sectPr>
      </w:pPr>
      <w:r>
        <w:t>[tba in phase 2]</w:t>
      </w:r>
    </w:p>
    <w:p w14:paraId="73B57534" w14:textId="636502F6" w:rsidR="005A724B" w:rsidRDefault="005D2FFE">
      <w:pPr>
        <w:pStyle w:val="Heading2"/>
      </w:pPr>
      <w:bookmarkStart w:id="56" w:name="_aqx6cmni37x" w:colFirst="0" w:colLast="0"/>
      <w:bookmarkEnd w:id="56"/>
      <w:r>
        <w:lastRenderedPageBreak/>
        <w:t xml:space="preserve">Section 3: Knowledge base overview </w:t>
      </w:r>
    </w:p>
    <w:p w14:paraId="23BF64B6" w14:textId="77777777" w:rsidR="005A724B" w:rsidRDefault="005D2FFE">
      <w:pPr>
        <w:pStyle w:val="Heading3"/>
        <w:spacing w:after="80" w:line="240" w:lineRule="auto"/>
        <w:rPr>
          <w:color w:val="337AB7"/>
        </w:rPr>
      </w:pPr>
      <w:bookmarkStart w:id="57" w:name="_z3z86jfd3fw" w:colFirst="0" w:colLast="0"/>
      <w:bookmarkStart w:id="58" w:name="_8t3xnvb1u7mt" w:colFirst="0" w:colLast="0"/>
      <w:bookmarkEnd w:id="57"/>
      <w:bookmarkEnd w:id="58"/>
      <w:r>
        <w:rPr>
          <w:color w:val="337AB7"/>
        </w:rPr>
        <w:t>Ran</w:t>
      </w:r>
      <w:r>
        <w:rPr>
          <w:color w:val="337AB7"/>
        </w:rPr>
        <w:t>king Methodology</w:t>
      </w:r>
    </w:p>
    <w:p w14:paraId="0087644D" w14:textId="77777777" w:rsidR="005A724B" w:rsidRDefault="005D2FFE">
      <w:pPr>
        <w:pStyle w:val="Heading5"/>
      </w:pPr>
      <w:bookmarkStart w:id="59" w:name="_tda0b4apnxzc" w:colFirst="0" w:colLast="0"/>
      <w:bookmarkEnd w:id="59"/>
      <w:r>
        <w:t>Table 3.1.  DRAFT Climate readiness ranking criteria for section 3</w:t>
      </w:r>
    </w:p>
    <w:tbl>
      <w:tblPr>
        <w:tblStyle w:val="a6"/>
        <w:tblW w:w="9405" w:type="dxa"/>
        <w:tblLayout w:type="fixed"/>
        <w:tblLook w:val="0600" w:firstRow="0" w:lastRow="0" w:firstColumn="0" w:lastColumn="0" w:noHBand="1" w:noVBand="1"/>
      </w:tblPr>
      <w:tblGrid>
        <w:gridCol w:w="2250"/>
        <w:gridCol w:w="2055"/>
        <w:gridCol w:w="5100"/>
      </w:tblGrid>
      <w:tr w:rsidR="005A724B" w14:paraId="181984D0" w14:textId="77777777">
        <w:trPr>
          <w:trHeight w:val="435"/>
        </w:trPr>
        <w:tc>
          <w:tcPr>
            <w:tcW w:w="2250" w:type="dxa"/>
            <w:tcBorders>
              <w:top w:val="single" w:sz="4" w:space="0" w:color="243F61"/>
              <w:left w:val="nil"/>
              <w:bottom w:val="single" w:sz="12" w:space="0" w:color="243F61"/>
              <w:right w:val="nil"/>
            </w:tcBorders>
            <w:shd w:val="clear" w:color="auto" w:fill="9FC5E8"/>
            <w:tcMar>
              <w:top w:w="40" w:type="dxa"/>
              <w:left w:w="40" w:type="dxa"/>
              <w:bottom w:w="40" w:type="dxa"/>
              <w:right w:w="40" w:type="dxa"/>
            </w:tcMar>
            <w:vAlign w:val="center"/>
          </w:tcPr>
          <w:p w14:paraId="651F8AB4" w14:textId="77777777" w:rsidR="005A724B" w:rsidRDefault="005D2FFE">
            <w:pPr>
              <w:spacing w:before="0" w:line="240" w:lineRule="auto"/>
              <w:rPr>
                <w:b/>
                <w:color w:val="243F61"/>
              </w:rPr>
            </w:pPr>
            <w:r>
              <w:rPr>
                <w:b/>
                <w:color w:val="243F61"/>
              </w:rPr>
              <w:t>Ranking</w:t>
            </w:r>
          </w:p>
        </w:tc>
        <w:tc>
          <w:tcPr>
            <w:tcW w:w="2055"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06190618" w14:textId="77777777" w:rsidR="005A724B" w:rsidRDefault="005D2FFE">
            <w:pPr>
              <w:spacing w:before="0" w:line="240" w:lineRule="auto"/>
              <w:rPr>
                <w:b/>
                <w:color w:val="243F61"/>
              </w:rPr>
            </w:pPr>
            <w:r>
              <w:rPr>
                <w:b/>
                <w:color w:val="243F61"/>
              </w:rPr>
              <w:t>Description</w:t>
            </w:r>
          </w:p>
        </w:tc>
        <w:tc>
          <w:tcPr>
            <w:tcW w:w="5100" w:type="dxa"/>
            <w:tcBorders>
              <w:top w:val="single" w:sz="4" w:space="0" w:color="243F61"/>
              <w:left w:val="nil"/>
              <w:bottom w:val="single" w:sz="12" w:space="0" w:color="243F61"/>
              <w:right w:val="nil"/>
            </w:tcBorders>
            <w:shd w:val="clear" w:color="auto" w:fill="9FC5E8"/>
            <w:tcMar>
              <w:top w:w="100" w:type="dxa"/>
              <w:left w:w="100" w:type="dxa"/>
              <w:bottom w:w="100" w:type="dxa"/>
              <w:right w:w="100" w:type="dxa"/>
            </w:tcMar>
            <w:vAlign w:val="center"/>
          </w:tcPr>
          <w:p w14:paraId="090B787A" w14:textId="77777777" w:rsidR="005A724B" w:rsidRDefault="005D2FFE">
            <w:pPr>
              <w:spacing w:before="0" w:line="240" w:lineRule="auto"/>
              <w:rPr>
                <w:b/>
                <w:color w:val="243F61"/>
              </w:rPr>
            </w:pPr>
            <w:r>
              <w:rPr>
                <w:b/>
                <w:color w:val="243F61"/>
              </w:rPr>
              <w:t>Section 3 specific details</w:t>
            </w:r>
          </w:p>
        </w:tc>
      </w:tr>
      <w:tr w:rsidR="005A724B" w14:paraId="6984CA71" w14:textId="77777777">
        <w:tc>
          <w:tcPr>
            <w:tcW w:w="2250" w:type="dxa"/>
            <w:tcBorders>
              <w:top w:val="single" w:sz="12" w:space="0" w:color="243F61"/>
              <w:left w:val="nil"/>
              <w:bottom w:val="nil"/>
              <w:right w:val="nil"/>
            </w:tcBorders>
            <w:tcMar>
              <w:top w:w="40" w:type="dxa"/>
              <w:left w:w="40" w:type="dxa"/>
              <w:bottom w:w="40" w:type="dxa"/>
              <w:right w:w="40" w:type="dxa"/>
            </w:tcMar>
            <w:vAlign w:val="center"/>
          </w:tcPr>
          <w:p w14:paraId="2608E4A6" w14:textId="77777777" w:rsidR="005A724B" w:rsidRDefault="005D2FFE">
            <w:pPr>
              <w:numPr>
                <w:ilvl w:val="0"/>
                <w:numId w:val="22"/>
              </w:numPr>
              <w:spacing w:before="0" w:line="240" w:lineRule="auto"/>
              <w:jc w:val="left"/>
              <w:rPr>
                <w:color w:val="243F61"/>
                <w:sz w:val="20"/>
                <w:szCs w:val="20"/>
              </w:rPr>
            </w:pPr>
            <w:r>
              <w:rPr>
                <w:color w:val="243F61"/>
                <w:sz w:val="20"/>
                <w:szCs w:val="20"/>
              </w:rPr>
              <w:t>Not Ready</w:t>
            </w:r>
          </w:p>
        </w:tc>
        <w:tc>
          <w:tcPr>
            <w:tcW w:w="2055" w:type="dxa"/>
            <w:tcBorders>
              <w:top w:val="single" w:sz="12" w:space="0" w:color="243F61"/>
              <w:left w:val="nil"/>
              <w:bottom w:val="nil"/>
              <w:right w:val="nil"/>
            </w:tcBorders>
            <w:shd w:val="clear" w:color="auto" w:fill="auto"/>
            <w:tcMar>
              <w:top w:w="100" w:type="dxa"/>
              <w:left w:w="100" w:type="dxa"/>
              <w:bottom w:w="100" w:type="dxa"/>
              <w:right w:w="100" w:type="dxa"/>
            </w:tcMar>
            <w:vAlign w:val="center"/>
          </w:tcPr>
          <w:p w14:paraId="3E3879EA" w14:textId="77777777" w:rsidR="005A724B" w:rsidRDefault="005D2FFE">
            <w:pPr>
              <w:spacing w:before="0" w:line="240" w:lineRule="auto"/>
              <w:jc w:val="left"/>
              <w:rPr>
                <w:color w:val="243F61"/>
                <w:sz w:val="20"/>
                <w:szCs w:val="20"/>
              </w:rPr>
            </w:pPr>
            <w:r>
              <w:rPr>
                <w:color w:val="243F61"/>
                <w:sz w:val="20"/>
                <w:szCs w:val="20"/>
              </w:rPr>
              <w:t>No climate information included</w:t>
            </w:r>
          </w:p>
        </w:tc>
        <w:tc>
          <w:tcPr>
            <w:tcW w:w="5100" w:type="dxa"/>
            <w:tcBorders>
              <w:top w:val="single" w:sz="12" w:space="0" w:color="243F61"/>
              <w:left w:val="nil"/>
              <w:bottom w:val="nil"/>
              <w:right w:val="nil"/>
            </w:tcBorders>
            <w:tcMar>
              <w:top w:w="100" w:type="dxa"/>
              <w:left w:w="100" w:type="dxa"/>
              <w:bottom w:w="100" w:type="dxa"/>
              <w:right w:w="100" w:type="dxa"/>
            </w:tcMar>
          </w:tcPr>
          <w:p w14:paraId="17A9D609" w14:textId="77777777" w:rsidR="005A724B" w:rsidRDefault="005D2FFE">
            <w:pPr>
              <w:spacing w:before="0" w:line="240" w:lineRule="auto"/>
              <w:jc w:val="left"/>
              <w:rPr>
                <w:color w:val="243F61"/>
                <w:sz w:val="20"/>
                <w:szCs w:val="20"/>
              </w:rPr>
            </w:pPr>
            <w:r>
              <w:rPr>
                <w:color w:val="243F61"/>
                <w:sz w:val="20"/>
                <w:szCs w:val="20"/>
              </w:rPr>
              <w:t>Climate change information does not occur implicitly or explicitly in the document, text, or advice.</w:t>
            </w:r>
          </w:p>
        </w:tc>
      </w:tr>
      <w:tr w:rsidR="005A724B" w14:paraId="382D5028"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26575394" w14:textId="77777777" w:rsidR="005A724B" w:rsidRDefault="005D2FFE">
            <w:pPr>
              <w:numPr>
                <w:ilvl w:val="0"/>
                <w:numId w:val="22"/>
              </w:numPr>
              <w:spacing w:before="0" w:line="240" w:lineRule="auto"/>
              <w:jc w:val="left"/>
              <w:rPr>
                <w:color w:val="243F61"/>
                <w:sz w:val="20"/>
                <w:szCs w:val="20"/>
              </w:rPr>
            </w:pPr>
            <w:r>
              <w:rPr>
                <w:color w:val="243F61"/>
                <w:sz w:val="20"/>
                <w:szCs w:val="20"/>
              </w:rPr>
              <w:t>On the way to climate advice</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7F2E1846" w14:textId="77777777" w:rsidR="005A724B" w:rsidRDefault="005D2FFE">
            <w:pPr>
              <w:spacing w:before="0" w:line="240" w:lineRule="auto"/>
              <w:jc w:val="left"/>
              <w:rPr>
                <w:color w:val="243F61"/>
                <w:sz w:val="20"/>
                <w:szCs w:val="20"/>
              </w:rPr>
            </w:pPr>
            <w:r>
              <w:rPr>
                <w:color w:val="243F61"/>
                <w:sz w:val="20"/>
                <w:szCs w:val="20"/>
              </w:rPr>
              <w:t>Some implicit climate variability information included</w:t>
            </w:r>
          </w:p>
        </w:tc>
        <w:tc>
          <w:tcPr>
            <w:tcW w:w="5100" w:type="dxa"/>
            <w:tcBorders>
              <w:top w:val="nil"/>
              <w:left w:val="nil"/>
              <w:bottom w:val="nil"/>
              <w:right w:val="nil"/>
            </w:tcBorders>
            <w:shd w:val="clear" w:color="auto" w:fill="CFE2F3"/>
            <w:tcMar>
              <w:top w:w="100" w:type="dxa"/>
              <w:left w:w="100" w:type="dxa"/>
              <w:bottom w:w="100" w:type="dxa"/>
              <w:right w:w="100" w:type="dxa"/>
            </w:tcMar>
          </w:tcPr>
          <w:p w14:paraId="26662885" w14:textId="77777777" w:rsidR="005A724B" w:rsidRDefault="005D2FFE">
            <w:pPr>
              <w:spacing w:before="0" w:line="240" w:lineRule="auto"/>
              <w:jc w:val="left"/>
              <w:rPr>
                <w:color w:val="243F61"/>
                <w:sz w:val="20"/>
                <w:szCs w:val="20"/>
              </w:rPr>
            </w:pPr>
            <w:r>
              <w:rPr>
                <w:color w:val="243F61"/>
                <w:sz w:val="20"/>
                <w:szCs w:val="20"/>
              </w:rPr>
              <w:t>Climate and/or ecological information is included in the document but climate change information does not occur implicitly or explicitly in the document, text, or advice.</w:t>
            </w:r>
          </w:p>
        </w:tc>
      </w:tr>
      <w:tr w:rsidR="005A724B" w14:paraId="1192D75B" w14:textId="77777777">
        <w:tc>
          <w:tcPr>
            <w:tcW w:w="2250" w:type="dxa"/>
            <w:tcBorders>
              <w:top w:val="nil"/>
              <w:left w:val="nil"/>
              <w:bottom w:val="nil"/>
              <w:right w:val="nil"/>
            </w:tcBorders>
            <w:tcMar>
              <w:top w:w="40" w:type="dxa"/>
              <w:left w:w="40" w:type="dxa"/>
              <w:bottom w:w="40" w:type="dxa"/>
              <w:right w:w="40" w:type="dxa"/>
            </w:tcMar>
            <w:vAlign w:val="center"/>
          </w:tcPr>
          <w:p w14:paraId="3D68E034" w14:textId="77777777" w:rsidR="005A724B" w:rsidRDefault="005D2FFE">
            <w:pPr>
              <w:numPr>
                <w:ilvl w:val="0"/>
                <w:numId w:val="22"/>
              </w:numPr>
              <w:spacing w:before="0" w:line="240" w:lineRule="auto"/>
              <w:jc w:val="left"/>
              <w:rPr>
                <w:color w:val="243F61"/>
                <w:sz w:val="20"/>
                <w:szCs w:val="20"/>
              </w:rPr>
            </w:pPr>
            <w:r>
              <w:rPr>
                <w:color w:val="243F61"/>
                <w:sz w:val="20"/>
                <w:szCs w:val="20"/>
              </w:rPr>
              <w:t>Somewhat ready</w:t>
            </w:r>
          </w:p>
        </w:tc>
        <w:tc>
          <w:tcPr>
            <w:tcW w:w="2055" w:type="dxa"/>
            <w:tcBorders>
              <w:top w:val="nil"/>
              <w:left w:val="nil"/>
              <w:bottom w:val="nil"/>
              <w:right w:val="nil"/>
            </w:tcBorders>
            <w:tcMar>
              <w:top w:w="100" w:type="dxa"/>
              <w:left w:w="100" w:type="dxa"/>
              <w:bottom w:w="100" w:type="dxa"/>
              <w:right w:w="100" w:type="dxa"/>
            </w:tcMar>
            <w:vAlign w:val="center"/>
          </w:tcPr>
          <w:p w14:paraId="7B6E0447" w14:textId="77777777" w:rsidR="005A724B" w:rsidRDefault="005D2FFE">
            <w:pPr>
              <w:spacing w:before="0" w:line="240" w:lineRule="auto"/>
              <w:jc w:val="left"/>
              <w:rPr>
                <w:color w:val="243F61"/>
                <w:sz w:val="20"/>
                <w:szCs w:val="20"/>
              </w:rPr>
            </w:pPr>
            <w:r>
              <w:rPr>
                <w:color w:val="243F61"/>
                <w:sz w:val="20"/>
                <w:szCs w:val="20"/>
              </w:rPr>
              <w:t>Some implicit climate change information included</w:t>
            </w:r>
          </w:p>
        </w:tc>
        <w:tc>
          <w:tcPr>
            <w:tcW w:w="5100" w:type="dxa"/>
            <w:tcBorders>
              <w:top w:val="nil"/>
              <w:left w:val="nil"/>
              <w:bottom w:val="nil"/>
              <w:right w:val="nil"/>
            </w:tcBorders>
            <w:tcMar>
              <w:top w:w="100" w:type="dxa"/>
              <w:left w:w="100" w:type="dxa"/>
              <w:bottom w:w="100" w:type="dxa"/>
              <w:right w:w="100" w:type="dxa"/>
            </w:tcMar>
          </w:tcPr>
          <w:p w14:paraId="46A70C62" w14:textId="77777777" w:rsidR="005A724B" w:rsidRDefault="005D2FFE">
            <w:pPr>
              <w:spacing w:before="0" w:line="240" w:lineRule="auto"/>
              <w:jc w:val="left"/>
              <w:rPr>
                <w:color w:val="243F61"/>
                <w:sz w:val="20"/>
                <w:szCs w:val="20"/>
              </w:rPr>
            </w:pPr>
            <w:r>
              <w:rPr>
                <w:color w:val="243F61"/>
                <w:sz w:val="20"/>
                <w:szCs w:val="20"/>
              </w:rPr>
              <w:t>Climate and/or ecol</w:t>
            </w:r>
            <w:r>
              <w:rPr>
                <w:color w:val="243F61"/>
                <w:sz w:val="20"/>
                <w:szCs w:val="20"/>
              </w:rPr>
              <w:t>ogical information is included in the document, text, or advice but climate change information is not explicitly discussed in the document, text, or advice.</w:t>
            </w:r>
          </w:p>
        </w:tc>
      </w:tr>
      <w:tr w:rsidR="005A724B" w14:paraId="3413ED95" w14:textId="77777777">
        <w:tc>
          <w:tcPr>
            <w:tcW w:w="2250" w:type="dxa"/>
            <w:tcBorders>
              <w:top w:val="nil"/>
              <w:left w:val="nil"/>
              <w:bottom w:val="nil"/>
              <w:right w:val="nil"/>
            </w:tcBorders>
            <w:shd w:val="clear" w:color="auto" w:fill="CFE2F3"/>
            <w:tcMar>
              <w:top w:w="40" w:type="dxa"/>
              <w:left w:w="40" w:type="dxa"/>
              <w:bottom w:w="40" w:type="dxa"/>
              <w:right w:w="40" w:type="dxa"/>
            </w:tcMar>
            <w:vAlign w:val="center"/>
          </w:tcPr>
          <w:p w14:paraId="495C8A09" w14:textId="77777777" w:rsidR="005A724B" w:rsidRDefault="005D2FFE">
            <w:pPr>
              <w:numPr>
                <w:ilvl w:val="0"/>
                <w:numId w:val="22"/>
              </w:numPr>
              <w:spacing w:before="0" w:line="240" w:lineRule="auto"/>
              <w:jc w:val="left"/>
              <w:rPr>
                <w:color w:val="243F61"/>
                <w:sz w:val="20"/>
                <w:szCs w:val="20"/>
              </w:rPr>
            </w:pPr>
            <w:r>
              <w:rPr>
                <w:color w:val="243F61"/>
                <w:sz w:val="20"/>
                <w:szCs w:val="20"/>
              </w:rPr>
              <w:t>Nearly ready</w:t>
            </w:r>
          </w:p>
        </w:tc>
        <w:tc>
          <w:tcPr>
            <w:tcW w:w="2055" w:type="dxa"/>
            <w:tcBorders>
              <w:top w:val="nil"/>
              <w:left w:val="nil"/>
              <w:bottom w:val="nil"/>
              <w:right w:val="nil"/>
            </w:tcBorders>
            <w:shd w:val="clear" w:color="auto" w:fill="CFE2F3"/>
            <w:tcMar>
              <w:top w:w="100" w:type="dxa"/>
              <w:left w:w="100" w:type="dxa"/>
              <w:bottom w:w="100" w:type="dxa"/>
              <w:right w:w="100" w:type="dxa"/>
            </w:tcMar>
            <w:vAlign w:val="center"/>
          </w:tcPr>
          <w:p w14:paraId="7E285C26" w14:textId="77777777" w:rsidR="005A724B" w:rsidRDefault="005D2FFE">
            <w:pPr>
              <w:spacing w:before="0" w:line="240" w:lineRule="auto"/>
              <w:jc w:val="left"/>
              <w:rPr>
                <w:color w:val="243F61"/>
                <w:sz w:val="20"/>
                <w:szCs w:val="20"/>
              </w:rPr>
            </w:pPr>
            <w:r>
              <w:rPr>
                <w:color w:val="243F61"/>
                <w:sz w:val="20"/>
                <w:szCs w:val="20"/>
              </w:rPr>
              <w:t>Few modifications would result in climate readiness</w:t>
            </w:r>
          </w:p>
        </w:tc>
        <w:tc>
          <w:tcPr>
            <w:tcW w:w="5100" w:type="dxa"/>
            <w:tcBorders>
              <w:top w:val="nil"/>
              <w:left w:val="nil"/>
              <w:bottom w:val="nil"/>
              <w:right w:val="nil"/>
            </w:tcBorders>
            <w:shd w:val="clear" w:color="auto" w:fill="CFE2F3"/>
            <w:tcMar>
              <w:top w:w="100" w:type="dxa"/>
              <w:left w:w="100" w:type="dxa"/>
              <w:bottom w:w="100" w:type="dxa"/>
              <w:right w:w="100" w:type="dxa"/>
            </w:tcMar>
          </w:tcPr>
          <w:p w14:paraId="6D6418AF" w14:textId="77777777" w:rsidR="005A724B" w:rsidRDefault="005D2FFE">
            <w:pPr>
              <w:spacing w:before="0" w:line="240" w:lineRule="auto"/>
              <w:jc w:val="left"/>
              <w:rPr>
                <w:color w:val="243F61"/>
                <w:sz w:val="20"/>
                <w:szCs w:val="20"/>
              </w:rPr>
            </w:pPr>
            <w:r>
              <w:rPr>
                <w:color w:val="243F61"/>
                <w:sz w:val="20"/>
                <w:szCs w:val="20"/>
              </w:rPr>
              <w:t>Climate and/or ecological informa</w:t>
            </w:r>
            <w:r>
              <w:rPr>
                <w:color w:val="243F61"/>
                <w:sz w:val="20"/>
                <w:szCs w:val="20"/>
              </w:rPr>
              <w:t xml:space="preserve">tion is included in the document, text, or advice but climate change information is only explicitly discussed in a few places to set the context for future directions but it is not used to explain current trends or future directions, nor is used to adjust </w:t>
            </w:r>
            <w:r>
              <w:rPr>
                <w:color w:val="243F61"/>
                <w:sz w:val="20"/>
                <w:szCs w:val="20"/>
              </w:rPr>
              <w:t>ABC, modify management actions, or provide other advice to the process.</w:t>
            </w:r>
          </w:p>
        </w:tc>
      </w:tr>
      <w:tr w:rsidR="005A724B" w14:paraId="7F66B671" w14:textId="77777777">
        <w:tc>
          <w:tcPr>
            <w:tcW w:w="2250" w:type="dxa"/>
            <w:tcBorders>
              <w:top w:val="nil"/>
              <w:left w:val="nil"/>
              <w:bottom w:val="single" w:sz="8" w:space="0" w:color="243F61"/>
              <w:right w:val="nil"/>
            </w:tcBorders>
            <w:tcMar>
              <w:top w:w="40" w:type="dxa"/>
              <w:left w:w="40" w:type="dxa"/>
              <w:bottom w:w="40" w:type="dxa"/>
              <w:right w:w="40" w:type="dxa"/>
            </w:tcMar>
            <w:vAlign w:val="center"/>
          </w:tcPr>
          <w:p w14:paraId="7B8E3847" w14:textId="77777777" w:rsidR="005A724B" w:rsidRDefault="005D2FFE">
            <w:pPr>
              <w:numPr>
                <w:ilvl w:val="0"/>
                <w:numId w:val="22"/>
              </w:numPr>
              <w:spacing w:before="0" w:line="240" w:lineRule="auto"/>
              <w:jc w:val="left"/>
              <w:rPr>
                <w:color w:val="243F61"/>
                <w:sz w:val="20"/>
                <w:szCs w:val="20"/>
              </w:rPr>
            </w:pPr>
            <w:r>
              <w:rPr>
                <w:color w:val="243F61"/>
                <w:sz w:val="20"/>
                <w:szCs w:val="20"/>
              </w:rPr>
              <w:t>Climate ready</w:t>
            </w:r>
          </w:p>
        </w:tc>
        <w:tc>
          <w:tcPr>
            <w:tcW w:w="2055" w:type="dxa"/>
            <w:tcBorders>
              <w:top w:val="nil"/>
              <w:left w:val="nil"/>
              <w:bottom w:val="single" w:sz="8" w:space="0" w:color="243F61"/>
              <w:right w:val="nil"/>
            </w:tcBorders>
            <w:tcMar>
              <w:top w:w="100" w:type="dxa"/>
              <w:left w:w="100" w:type="dxa"/>
              <w:bottom w:w="100" w:type="dxa"/>
              <w:right w:w="100" w:type="dxa"/>
            </w:tcMar>
            <w:vAlign w:val="center"/>
          </w:tcPr>
          <w:p w14:paraId="1A12031E" w14:textId="77777777" w:rsidR="005A724B" w:rsidRDefault="005D2FFE">
            <w:pPr>
              <w:spacing w:before="0" w:line="240" w:lineRule="auto"/>
              <w:jc w:val="left"/>
              <w:rPr>
                <w:color w:val="243F61"/>
                <w:sz w:val="20"/>
                <w:szCs w:val="20"/>
              </w:rPr>
            </w:pPr>
            <w:r>
              <w:rPr>
                <w:color w:val="243F61"/>
                <w:sz w:val="20"/>
                <w:szCs w:val="20"/>
              </w:rPr>
              <w:t>Process and information in place for regular (operational) climate change informed advice</w:t>
            </w:r>
          </w:p>
        </w:tc>
        <w:tc>
          <w:tcPr>
            <w:tcW w:w="5100" w:type="dxa"/>
            <w:tcBorders>
              <w:top w:val="nil"/>
              <w:left w:val="nil"/>
              <w:bottom w:val="single" w:sz="8" w:space="0" w:color="243F61"/>
              <w:right w:val="nil"/>
            </w:tcBorders>
            <w:tcMar>
              <w:top w:w="100" w:type="dxa"/>
              <w:left w:w="100" w:type="dxa"/>
              <w:bottom w:w="100" w:type="dxa"/>
              <w:right w:w="100" w:type="dxa"/>
            </w:tcMar>
          </w:tcPr>
          <w:p w14:paraId="400E4B2C" w14:textId="77777777" w:rsidR="005A724B" w:rsidRDefault="005D2FFE">
            <w:pPr>
              <w:spacing w:before="0" w:line="240" w:lineRule="auto"/>
              <w:jc w:val="left"/>
              <w:rPr>
                <w:color w:val="243F61"/>
                <w:sz w:val="20"/>
                <w:szCs w:val="20"/>
              </w:rPr>
            </w:pPr>
            <w:r>
              <w:rPr>
                <w:color w:val="243F61"/>
                <w:sz w:val="20"/>
                <w:szCs w:val="20"/>
              </w:rPr>
              <w:t xml:space="preserve">Climate change information is explicitly used to explain current trends and/or future directions, vulnerability or lack of sensitivity to climate change, and is used </w:t>
            </w:r>
            <w:r>
              <w:rPr>
                <w:color w:val="243F61"/>
                <w:sz w:val="20"/>
                <w:szCs w:val="20"/>
              </w:rPr>
              <w:t>to adjust ABC, modify management actions, or provide other advice to the process.</w:t>
            </w:r>
          </w:p>
        </w:tc>
      </w:tr>
    </w:tbl>
    <w:p w14:paraId="2271F6A0" w14:textId="77777777" w:rsidR="005A724B" w:rsidRDefault="005A724B">
      <w:pPr>
        <w:spacing w:before="0"/>
        <w:rPr>
          <w:sz w:val="24"/>
          <w:szCs w:val="24"/>
        </w:rPr>
      </w:pPr>
    </w:p>
    <w:p w14:paraId="090F2F6C" w14:textId="77777777" w:rsidR="005A724B" w:rsidRDefault="005D2FFE">
      <w:pPr>
        <w:pStyle w:val="Heading3"/>
        <w:rPr>
          <w:rFonts w:ascii="Times New Roman" w:eastAsia="Times New Roman" w:hAnsi="Times New Roman" w:cs="Times New Roman"/>
          <w:u w:val="single"/>
        </w:rPr>
      </w:pPr>
      <w:bookmarkStart w:id="60" w:name="_hzioe9kursie" w:colFirst="0" w:colLast="0"/>
      <w:bookmarkEnd w:id="60"/>
      <w:r>
        <w:t>3.0 Introduction</w:t>
      </w:r>
    </w:p>
    <w:p w14:paraId="269AE6CD" w14:textId="77777777" w:rsidR="005A724B" w:rsidRDefault="005D2FFE">
      <w:r>
        <w:t xml:space="preserve">This section of the synthesis focuses on the various knowledge bases that support climate readiness and adaptation measures.  The first subsection (3.1) below is devoted to the current status of these knowledge bases and the ways in which they inform such </w:t>
      </w:r>
      <w:r>
        <w:t>readiness and measures.  That discussion focuses on three key knowledge bases - Indigenous community, industry, and NMFS/NPFMC - with brief discussion of others as well.  The net is cast broadly to describe knowledge bases which support climate readiness a</w:t>
      </w:r>
      <w:r>
        <w:t>nd adaptation measures both in and outside the existing NMFS/NPFMC system.  Doing such naturally leads to the second subsection (3.2), which builds off the previous section by identifying, through an implicit gap analysis, those elements of broader knowled</w:t>
      </w:r>
      <w:r>
        <w:t>ge-</w:t>
      </w:r>
      <w:proofErr w:type="spellStart"/>
      <w:r>
        <w:t>base</w:t>
      </w:r>
      <w:proofErr w:type="spellEnd"/>
      <w:r>
        <w:t xml:space="preserve"> activities which are not but could be readily inputted into </w:t>
      </w:r>
      <w:r>
        <w:lastRenderedPageBreak/>
        <w:t>the NMFS/NPFMC management system to improve climate readiness and adaptation measures (i.e. ‘low-hanging fruit’).</w:t>
      </w:r>
    </w:p>
    <w:p w14:paraId="1F951287" w14:textId="77777777" w:rsidR="005A724B" w:rsidRDefault="005A724B"/>
    <w:p w14:paraId="34F48688" w14:textId="77777777" w:rsidR="005A724B" w:rsidRDefault="005D2FFE">
      <w:pPr>
        <w:pStyle w:val="Heading3"/>
      </w:pPr>
      <w:bookmarkStart w:id="61" w:name="_3al01gdz7k0e" w:colFirst="0" w:colLast="0"/>
      <w:bookmarkEnd w:id="61"/>
      <w:r>
        <w:t>3.1: Summary and evaluation of knowledge bases feeding into current climate readiness and adaptation measures in Bering Sea fisheries</w:t>
      </w:r>
    </w:p>
    <w:p w14:paraId="23D9DFCE" w14:textId="77777777" w:rsidR="005A724B" w:rsidRDefault="005D2FFE">
      <w:r>
        <w:t>This subsection is divided into four parts, illustrating the knowledge bases which contribute to Bering Sea fisheries clim</w:t>
      </w:r>
      <w:r>
        <w:t>ate readiness and adaptation measures. These four subsections are: Indigenous community, industry and other Local Knowledge, agency and Council  (NMFS/NPFMC), and a brief discussion of other bases (e.g. academic, NGO, etc.).</w:t>
      </w:r>
    </w:p>
    <w:p w14:paraId="786BB7DA" w14:textId="77777777" w:rsidR="005A724B" w:rsidRDefault="005A724B"/>
    <w:p w14:paraId="5779141D" w14:textId="77777777" w:rsidR="005A724B" w:rsidRDefault="005D2FFE">
      <w:pPr>
        <w:pStyle w:val="Heading4"/>
        <w:spacing w:after="240"/>
        <w:rPr>
          <w:sz w:val="26"/>
          <w:szCs w:val="26"/>
        </w:rPr>
      </w:pPr>
      <w:bookmarkStart w:id="62" w:name="_p0pb6rddnocz" w:colFirst="0" w:colLast="0"/>
      <w:bookmarkEnd w:id="62"/>
      <w:r>
        <w:rPr>
          <w:sz w:val="26"/>
          <w:szCs w:val="26"/>
        </w:rPr>
        <w:t>3.1.1: Community knowledge bas</w:t>
      </w:r>
      <w:r>
        <w:rPr>
          <w:sz w:val="26"/>
          <w:szCs w:val="26"/>
        </w:rPr>
        <w:t>e: Indigenous marine stewardship, subsistence, and co-management contributes to current climate readiness and adaptation</w:t>
      </w:r>
    </w:p>
    <w:p w14:paraId="5B05885B" w14:textId="77777777" w:rsidR="005A724B" w:rsidRDefault="005D2FFE">
      <w:r>
        <w:t>Three existing “community”-based elements of the climate readiness knowledge base are discussed here. The first is the knowledge and</w:t>
      </w:r>
      <w:r>
        <w:t xml:space="preserve"> epistemic tools (e.g. stewardship practices, principles of relationships to the environment, harvest flexibility, etc.) that Bering Sea Indigenous communities have, as well as the documentation and application of that knowledge (e.g. through applied socia</w:t>
      </w:r>
      <w:r>
        <w:t>l science). The second is the knowledge base that comes from co-management arrangements which has applications to climate readiness and adaptation. A third source of knowledge used in climate readiness that relates to Indigenous communities - the community</w:t>
      </w:r>
      <w:r>
        <w:t xml:space="preserve"> knowledge which is inputted or integrated into the existing NPFMC and NMFS management system - is deferred to section below. As the first two elements of this knowledge bases are extant but may or may not be inputted into the NPFMC/NMFS management system </w:t>
      </w:r>
      <w:r>
        <w:t>currently, they are outlined here as part of the collective existing climate readiness/adaptation knowledge base, not the NPFMC/NMFS knowledge base. To the extent that their utility may be potentially utilized in the future for NPFMC/NMFS management to inc</w:t>
      </w:r>
      <w:r>
        <w:t>rease climate readiness and adaptation but are not (or not fully) currently, they may be noted further below in Section 3.2 with regard to a gap analysis and near-term recommendations.</w:t>
      </w:r>
    </w:p>
    <w:p w14:paraId="7E4CF381" w14:textId="77777777" w:rsidR="005A724B" w:rsidRDefault="005D2FFE">
      <w:pPr>
        <w:pStyle w:val="Heading6"/>
        <w:spacing w:after="240"/>
      </w:pPr>
      <w:bookmarkStart w:id="63" w:name="_3gi3jndrm414" w:colFirst="0" w:colLast="0"/>
      <w:bookmarkEnd w:id="63"/>
      <w:r>
        <w:t>Knowledge base of Bering Sea Indigenous communities</w:t>
      </w:r>
    </w:p>
    <w:p w14:paraId="6926A401" w14:textId="77777777" w:rsidR="005A724B" w:rsidRDefault="005D2FFE">
      <w:r>
        <w:t>Two main categories</w:t>
      </w:r>
      <w:r>
        <w:t xml:space="preserve"> of Bering Sea Indigenous community knowledge regarding climate resilience are identified here: 1) those pertaining to observations, perspectives and interpretation of changes and impacts resulting from changes, and 2) resilience tools (e.g. practices, val</w:t>
      </w:r>
      <w:r>
        <w:t xml:space="preserve">ues, systems, strategies, responses to changes and impacts, etc.).  </w:t>
      </w:r>
    </w:p>
    <w:p w14:paraId="0A6EBC38" w14:textId="77777777" w:rsidR="005A724B" w:rsidRDefault="005D2FFE">
      <w:r>
        <w:t>The sources of data informing these categories can be largely broken down into three categories: 1) raw observations, 2) documentation and analysis of community knowledge, and, 3) communi</w:t>
      </w:r>
      <w:r>
        <w:t xml:space="preserve">ty knowledge shared within and between communities but that is not ‘documented’ (for lack of a better word) elsewhere. The first kind of data can be found in places like the Indigenous Sentinels </w:t>
      </w:r>
      <w:r>
        <w:lastRenderedPageBreak/>
        <w:t>Network (ISN) and the Skipper Science Partnership, Alaska Arc</w:t>
      </w:r>
      <w:r>
        <w:t>tic Observing and Knowledge Hub (AAOKH), Indigenous Observers Network (ION), Exchange for Local Observations and Knowledge of the Arctic (ELOKA) and the Local Environmental Observer (LEO) Network, among other local-level or community-driven monitoring prog</w:t>
      </w:r>
      <w:r>
        <w:t xml:space="preserve">rams and databases. Promoting and facilitating networking, expansion and syncing of these programs together may benefit incorporation of these data into the NPFMC/NMFS process, as data could be streamlined and made readily available to these efforts where </w:t>
      </w:r>
      <w:r>
        <w:t>they are not possible now.</w:t>
      </w:r>
    </w:p>
    <w:p w14:paraId="55375B80" w14:textId="77777777" w:rsidR="005A724B" w:rsidRDefault="005D2FFE">
      <w:r>
        <w:t>The second kind of data (documentation and analysis of community knowledge) mainly come from Tribal, non-profit, academic, agency, and private sources. This work may be in the form of collaborative or co-productive work, planning</w:t>
      </w:r>
      <w:r>
        <w:t>, guidance, and policy documents, other scientific work that doesn’t fit into those categories, or other types of products. These data are typically available in peer-reviewed or grey literature.</w:t>
      </w:r>
    </w:p>
    <w:p w14:paraId="47BE2F51" w14:textId="77777777" w:rsidR="005A724B" w:rsidRDefault="005D2FFE">
      <w:r>
        <w:t xml:space="preserve">The third kind of data is community knowledge shared within </w:t>
      </w:r>
      <w:r>
        <w:t>and between communities but not ‘documented’ elsewhere; this likely forms the vast majority of community knowledge pertaining to the climate resilience and adaptation knowledge base, and as such can be one key area where management structures may look to e</w:t>
      </w:r>
      <w:r>
        <w:t>nhance and develop mechanisms to bring this knowledge into their processes to increase climate readiness and maximize systemic resilience.</w:t>
      </w:r>
    </w:p>
    <w:p w14:paraId="662A0CE4" w14:textId="77777777" w:rsidR="005A724B" w:rsidRDefault="005D2FFE">
      <w:pPr>
        <w:pStyle w:val="Heading6"/>
        <w:spacing w:after="240"/>
        <w:rPr>
          <w:sz w:val="24"/>
          <w:szCs w:val="24"/>
        </w:rPr>
      </w:pPr>
      <w:bookmarkStart w:id="64" w:name="_iagm43s4u0k3" w:colFirst="0" w:colLast="0"/>
      <w:bookmarkEnd w:id="64"/>
      <w:r>
        <w:rPr>
          <w:sz w:val="24"/>
          <w:szCs w:val="24"/>
        </w:rPr>
        <w:t>Observations, perspectives, and interpretation of changes and impacts from changes</w:t>
      </w:r>
    </w:p>
    <w:p w14:paraId="763D7831" w14:textId="77777777" w:rsidR="005A724B" w:rsidRDefault="005D2FFE">
      <w:r>
        <w:t xml:space="preserve">The first main category of Bering </w:t>
      </w:r>
      <w:r>
        <w:t>Sea Indigenous community knowledge regarding climate resilience to be discussed here is that which pertains to community observations and interpretations of changes and their impacts. Impacts include environmental, social, and interlinked changes. There is</w:t>
      </w:r>
      <w:r>
        <w:t xml:space="preserve"> a wealth of data describing these changes and their impacts, coming from a variety of sources (as noted earlier; e.g. </w:t>
      </w:r>
      <w:proofErr w:type="spellStart"/>
      <w:r>
        <w:t>Krupnik</w:t>
      </w:r>
      <w:proofErr w:type="spellEnd"/>
      <w:r>
        <w:t xml:space="preserve"> and Jolly 2002, Raymond-</w:t>
      </w:r>
      <w:proofErr w:type="spellStart"/>
      <w:r>
        <w:t>Yakoubian</w:t>
      </w:r>
      <w:proofErr w:type="spellEnd"/>
      <w:r>
        <w:t xml:space="preserve"> 2009, 2013, Aronson 2013, </w:t>
      </w:r>
      <w:proofErr w:type="spellStart"/>
      <w:r>
        <w:t>Kawerak</w:t>
      </w:r>
      <w:proofErr w:type="spellEnd"/>
      <w:r>
        <w:t xml:space="preserve"> 2013a, 2013b, 2014, 2021b, Fall et al. 2013, Johnson and Gray</w:t>
      </w:r>
      <w:r>
        <w:t xml:space="preserve"> 2014, </w:t>
      </w:r>
      <w:proofErr w:type="spellStart"/>
      <w:r>
        <w:t>Gadamus</w:t>
      </w:r>
      <w:proofErr w:type="spellEnd"/>
      <w:r>
        <w:t xml:space="preserve"> and Raymond-</w:t>
      </w:r>
      <w:proofErr w:type="spellStart"/>
      <w:r>
        <w:t>Yakoubian</w:t>
      </w:r>
      <w:proofErr w:type="spellEnd"/>
      <w:r>
        <w:t xml:space="preserve"> 2015, Brinkman et al. 2016, Huntington et al. 2017, 2021, Raymond-</w:t>
      </w:r>
      <w:proofErr w:type="spellStart"/>
      <w:r>
        <w:t>Yakoubian</w:t>
      </w:r>
      <w:proofErr w:type="spellEnd"/>
      <w:r>
        <w:t xml:space="preserve"> and Raymond-</w:t>
      </w:r>
      <w:proofErr w:type="spellStart"/>
      <w:r>
        <w:t>Yakoubian</w:t>
      </w:r>
      <w:proofErr w:type="spellEnd"/>
      <w:r>
        <w:t xml:space="preserve"> 2016, </w:t>
      </w:r>
      <w:proofErr w:type="spellStart"/>
      <w:r>
        <w:t>Jantarasami</w:t>
      </w:r>
      <w:proofErr w:type="spellEnd"/>
      <w:r>
        <w:t xml:space="preserve"> et al. 2018, Raymond-</w:t>
      </w:r>
      <w:proofErr w:type="spellStart"/>
      <w:r>
        <w:t>Yakoubian</w:t>
      </w:r>
      <w:proofErr w:type="spellEnd"/>
      <w:r>
        <w:t xml:space="preserve"> and Daniel 2018, Slats et al. 2019, Igiugig Village Council 2020, </w:t>
      </w:r>
      <w:proofErr w:type="spellStart"/>
      <w:r>
        <w:t>Muston</w:t>
      </w:r>
      <w:r>
        <w:t>en</w:t>
      </w:r>
      <w:proofErr w:type="spellEnd"/>
      <w:r>
        <w:t xml:space="preserve"> and Van Dam 2021).  These include, but are not limited to:</w:t>
      </w:r>
    </w:p>
    <w:p w14:paraId="2F38E930" w14:textId="77777777" w:rsidR="005A724B" w:rsidRDefault="005A724B">
      <w:pPr>
        <w:sectPr w:rsidR="005A724B">
          <w:pgSz w:w="12240" w:h="15840"/>
          <w:pgMar w:top="1440" w:right="1440" w:bottom="1440" w:left="1440" w:header="720" w:footer="720" w:gutter="0"/>
          <w:cols w:space="720"/>
        </w:sectPr>
      </w:pPr>
    </w:p>
    <w:p w14:paraId="355693CE" w14:textId="77777777" w:rsidR="005A724B" w:rsidRDefault="005D2FFE">
      <w:pPr>
        <w:numPr>
          <w:ilvl w:val="0"/>
          <w:numId w:val="3"/>
        </w:numPr>
        <w:spacing w:before="0" w:after="120" w:line="240" w:lineRule="auto"/>
        <w:ind w:left="360"/>
        <w:jc w:val="left"/>
      </w:pPr>
      <w:r>
        <w:t>Changing weather, including winds, rain, and storms</w:t>
      </w:r>
    </w:p>
    <w:p w14:paraId="5571169C" w14:textId="77777777" w:rsidR="005A724B" w:rsidRDefault="005D2FFE">
      <w:pPr>
        <w:numPr>
          <w:ilvl w:val="0"/>
          <w:numId w:val="3"/>
        </w:numPr>
        <w:spacing w:before="0" w:after="120" w:line="240" w:lineRule="auto"/>
        <w:ind w:left="360"/>
        <w:jc w:val="left"/>
      </w:pPr>
      <w:r>
        <w:t>Changes to sea and river ice</w:t>
      </w:r>
    </w:p>
    <w:p w14:paraId="6E7D312A" w14:textId="77777777" w:rsidR="005A724B" w:rsidRDefault="005D2FFE">
      <w:pPr>
        <w:numPr>
          <w:ilvl w:val="0"/>
          <w:numId w:val="3"/>
        </w:numPr>
        <w:spacing w:before="0" w:after="120" w:line="240" w:lineRule="auto"/>
        <w:ind w:left="360"/>
        <w:jc w:val="left"/>
      </w:pPr>
      <w:r>
        <w:t>Sea level rise and storm surges</w:t>
      </w:r>
    </w:p>
    <w:p w14:paraId="53D417EF" w14:textId="77777777" w:rsidR="005A724B" w:rsidRDefault="005D2FFE">
      <w:pPr>
        <w:numPr>
          <w:ilvl w:val="0"/>
          <w:numId w:val="3"/>
        </w:numPr>
        <w:spacing w:before="0" w:after="120" w:line="240" w:lineRule="auto"/>
        <w:ind w:left="360"/>
        <w:jc w:val="left"/>
      </w:pPr>
      <w:r>
        <w:t>Increase in wildfire risk</w:t>
      </w:r>
    </w:p>
    <w:p w14:paraId="0AA71973" w14:textId="77777777" w:rsidR="005A724B" w:rsidRDefault="005D2FFE">
      <w:pPr>
        <w:numPr>
          <w:ilvl w:val="0"/>
          <w:numId w:val="3"/>
        </w:numPr>
        <w:spacing w:before="0" w:after="120" w:line="240" w:lineRule="auto"/>
        <w:ind w:left="360"/>
        <w:jc w:val="left"/>
      </w:pPr>
      <w:r>
        <w:t>Increase in flooding events</w:t>
      </w:r>
    </w:p>
    <w:p w14:paraId="4787FA4A" w14:textId="77777777" w:rsidR="005A724B" w:rsidRDefault="005D2FFE">
      <w:pPr>
        <w:numPr>
          <w:ilvl w:val="0"/>
          <w:numId w:val="3"/>
        </w:numPr>
        <w:spacing w:before="0" w:after="120" w:line="240" w:lineRule="auto"/>
        <w:ind w:left="360"/>
        <w:jc w:val="left"/>
      </w:pPr>
      <w:r>
        <w:t>Changing abundance, distri</w:t>
      </w:r>
      <w:r>
        <w:t>bution, health, behavior, and presence of bird, fish and animal species</w:t>
      </w:r>
    </w:p>
    <w:p w14:paraId="4699B47C" w14:textId="77777777" w:rsidR="005A724B" w:rsidRDefault="005D2FFE">
      <w:pPr>
        <w:numPr>
          <w:ilvl w:val="0"/>
          <w:numId w:val="3"/>
        </w:numPr>
        <w:spacing w:before="0" w:after="120" w:line="240" w:lineRule="auto"/>
        <w:ind w:left="360"/>
        <w:jc w:val="left"/>
      </w:pPr>
      <w:r>
        <w:t>Air and water temperature changes</w:t>
      </w:r>
    </w:p>
    <w:p w14:paraId="11ADDD74" w14:textId="77777777" w:rsidR="005A724B" w:rsidRDefault="005D2FFE">
      <w:pPr>
        <w:numPr>
          <w:ilvl w:val="0"/>
          <w:numId w:val="3"/>
        </w:numPr>
        <w:spacing w:before="0" w:after="120" w:line="240" w:lineRule="auto"/>
        <w:ind w:left="360"/>
        <w:jc w:val="left"/>
      </w:pPr>
      <w:r>
        <w:t>Landscape changes, such as erosion, drying up of lakes, and melting permafrost</w:t>
      </w:r>
    </w:p>
    <w:p w14:paraId="56156DE7" w14:textId="77777777" w:rsidR="005A724B" w:rsidRDefault="005D2FFE">
      <w:pPr>
        <w:numPr>
          <w:ilvl w:val="0"/>
          <w:numId w:val="3"/>
        </w:numPr>
        <w:spacing w:before="0" w:after="120" w:line="240" w:lineRule="auto"/>
        <w:ind w:left="360"/>
        <w:jc w:val="left"/>
      </w:pPr>
      <w:r>
        <w:t>Overall ecosystem sustainability</w:t>
      </w:r>
    </w:p>
    <w:p w14:paraId="0F260AB1" w14:textId="77777777" w:rsidR="005A724B" w:rsidRDefault="005D2FFE">
      <w:pPr>
        <w:numPr>
          <w:ilvl w:val="0"/>
          <w:numId w:val="3"/>
        </w:numPr>
        <w:spacing w:before="0" w:after="120" w:line="240" w:lineRule="auto"/>
        <w:ind w:left="360"/>
        <w:jc w:val="left"/>
      </w:pPr>
      <w:r>
        <w:t>Changes to water quality (e.g. algal b</w:t>
      </w:r>
      <w:r>
        <w:t xml:space="preserve">looms, </w:t>
      </w:r>
      <w:proofErr w:type="spellStart"/>
      <w:r>
        <w:t>siltification</w:t>
      </w:r>
      <w:proofErr w:type="spellEnd"/>
      <w:r>
        <w:t>, loss of potable water sources)</w:t>
      </w:r>
    </w:p>
    <w:p w14:paraId="4174DEA0" w14:textId="77777777" w:rsidR="005A724B" w:rsidRDefault="005D2FFE">
      <w:pPr>
        <w:numPr>
          <w:ilvl w:val="0"/>
          <w:numId w:val="3"/>
        </w:numPr>
        <w:spacing w:before="0" w:after="120" w:line="240" w:lineRule="auto"/>
        <w:ind w:left="360"/>
        <w:jc w:val="left"/>
      </w:pPr>
      <w:r>
        <w:t>Changes to vegetation</w:t>
      </w:r>
    </w:p>
    <w:p w14:paraId="3B8D6E0D" w14:textId="77777777" w:rsidR="005A724B" w:rsidRDefault="005D2FFE">
      <w:pPr>
        <w:numPr>
          <w:ilvl w:val="0"/>
          <w:numId w:val="3"/>
        </w:numPr>
        <w:spacing w:before="0" w:after="120" w:line="240" w:lineRule="auto"/>
        <w:ind w:left="360"/>
        <w:jc w:val="left"/>
      </w:pPr>
      <w:r>
        <w:t>Damage to infrastructure and potential needs for protection, mitigation, and relocation</w:t>
      </w:r>
    </w:p>
    <w:p w14:paraId="3BC3BEF7" w14:textId="77777777" w:rsidR="005A724B" w:rsidRDefault="005D2FFE">
      <w:pPr>
        <w:numPr>
          <w:ilvl w:val="0"/>
          <w:numId w:val="3"/>
        </w:numPr>
        <w:spacing w:before="0" w:after="120" w:line="240" w:lineRule="auto"/>
        <w:ind w:left="360"/>
        <w:jc w:val="left"/>
      </w:pPr>
      <w:r>
        <w:t>Contamination and pollution</w:t>
      </w:r>
    </w:p>
    <w:p w14:paraId="5F81E631" w14:textId="77777777" w:rsidR="005A724B" w:rsidRDefault="005D2FFE">
      <w:pPr>
        <w:numPr>
          <w:ilvl w:val="0"/>
          <w:numId w:val="3"/>
        </w:numPr>
        <w:spacing w:before="0" w:after="120" w:line="240" w:lineRule="auto"/>
        <w:ind w:left="360"/>
        <w:jc w:val="left"/>
      </w:pPr>
      <w:r>
        <w:lastRenderedPageBreak/>
        <w:t>Changes to access to subsistence resources</w:t>
      </w:r>
    </w:p>
    <w:p w14:paraId="1568C530" w14:textId="77777777" w:rsidR="005A724B" w:rsidRDefault="005D2FFE">
      <w:pPr>
        <w:numPr>
          <w:ilvl w:val="0"/>
          <w:numId w:val="3"/>
        </w:numPr>
        <w:spacing w:before="0" w:after="120" w:line="240" w:lineRule="auto"/>
        <w:ind w:left="360"/>
        <w:jc w:val="left"/>
      </w:pPr>
      <w:r>
        <w:t>Changes in industrial activity (e.g. increases in shipping and vessel traffic)</w:t>
      </w:r>
    </w:p>
    <w:p w14:paraId="6F617EAD" w14:textId="77777777" w:rsidR="005A724B" w:rsidRDefault="005D2FFE">
      <w:pPr>
        <w:numPr>
          <w:ilvl w:val="0"/>
          <w:numId w:val="3"/>
        </w:numPr>
        <w:spacing w:before="0" w:after="120" w:line="240" w:lineRule="auto"/>
        <w:ind w:left="360"/>
        <w:jc w:val="left"/>
      </w:pPr>
      <w:r>
        <w:t>Changes in subsistence activities</w:t>
      </w:r>
    </w:p>
    <w:p w14:paraId="0A45B48D" w14:textId="77777777" w:rsidR="005A724B" w:rsidRDefault="005D2FFE">
      <w:pPr>
        <w:numPr>
          <w:ilvl w:val="0"/>
          <w:numId w:val="3"/>
        </w:numPr>
        <w:spacing w:before="0" w:after="120" w:line="240" w:lineRule="auto"/>
        <w:ind w:left="360"/>
        <w:jc w:val="left"/>
      </w:pPr>
      <w:r>
        <w:t>Other and wide-ranging social and cultural changes and impacts (e.g. relationships with animals, par</w:t>
      </w:r>
      <w:r>
        <w:t>ticipation in exchange activities, intergenerational knowledge transmission, etc.)</w:t>
      </w:r>
    </w:p>
    <w:p w14:paraId="2F2C48E2" w14:textId="77777777" w:rsidR="005A724B" w:rsidRDefault="005D2FFE">
      <w:pPr>
        <w:numPr>
          <w:ilvl w:val="0"/>
          <w:numId w:val="3"/>
        </w:numPr>
        <w:spacing w:before="0" w:after="120" w:line="240" w:lineRule="auto"/>
        <w:ind w:left="360"/>
        <w:jc w:val="left"/>
      </w:pPr>
      <w:r>
        <w:t>Economic changes</w:t>
      </w:r>
    </w:p>
    <w:p w14:paraId="50F4E0C4" w14:textId="77777777" w:rsidR="005A724B" w:rsidRDefault="005D2FFE">
      <w:pPr>
        <w:numPr>
          <w:ilvl w:val="0"/>
          <w:numId w:val="3"/>
        </w:numPr>
        <w:spacing w:before="0" w:after="120" w:line="240" w:lineRule="auto"/>
        <w:ind w:left="360"/>
        <w:jc w:val="left"/>
      </w:pPr>
      <w:r>
        <w:t>Changes regarding health and well-being (e.g. psychological health, access to preferred dietary resources, etc.)</w:t>
      </w:r>
    </w:p>
    <w:p w14:paraId="5D5F90CC" w14:textId="77777777" w:rsidR="005A724B" w:rsidRDefault="005D2FFE">
      <w:pPr>
        <w:numPr>
          <w:ilvl w:val="0"/>
          <w:numId w:val="3"/>
        </w:numPr>
        <w:spacing w:before="0" w:after="120" w:line="240" w:lineRule="auto"/>
        <w:ind w:left="360"/>
        <w:jc w:val="left"/>
      </w:pPr>
      <w:r>
        <w:t>Regulatory changes</w:t>
      </w:r>
    </w:p>
    <w:p w14:paraId="3642DAE5" w14:textId="77777777" w:rsidR="005A724B" w:rsidRDefault="005D2FFE">
      <w:pPr>
        <w:numPr>
          <w:ilvl w:val="0"/>
          <w:numId w:val="3"/>
        </w:numPr>
        <w:spacing w:before="0" w:after="120" w:line="240" w:lineRule="auto"/>
        <w:ind w:left="360"/>
        <w:jc w:val="left"/>
      </w:pPr>
      <w:r>
        <w:t>Changes with regard to r</w:t>
      </w:r>
      <w:r>
        <w:t>esearch activities</w:t>
      </w:r>
    </w:p>
    <w:p w14:paraId="3DD4558A" w14:textId="77777777" w:rsidR="005A724B" w:rsidRDefault="005D2FFE">
      <w:pPr>
        <w:numPr>
          <w:ilvl w:val="0"/>
          <w:numId w:val="3"/>
        </w:numPr>
        <w:spacing w:before="0" w:after="120" w:line="240" w:lineRule="auto"/>
        <w:ind w:left="360"/>
        <w:jc w:val="left"/>
        <w:sectPr w:rsidR="005A724B">
          <w:type w:val="continuous"/>
          <w:pgSz w:w="12240" w:h="15840"/>
          <w:pgMar w:top="1440" w:right="1440" w:bottom="1440" w:left="1440" w:header="720" w:footer="720" w:gutter="0"/>
          <w:cols w:num="2" w:space="720" w:equalWidth="0">
            <w:col w:w="4320" w:space="720"/>
            <w:col w:w="4320" w:space="0"/>
          </w:cols>
        </w:sectPr>
      </w:pPr>
      <w:r>
        <w:t>Cumulative and interlinked changes</w:t>
      </w:r>
    </w:p>
    <w:p w14:paraId="15E25A83" w14:textId="77777777" w:rsidR="005A724B" w:rsidRDefault="005A724B"/>
    <w:tbl>
      <w:tblPr>
        <w:tblStyle w:val="a7"/>
        <w:tblW w:w="9360" w:type="dxa"/>
        <w:tblLayout w:type="fixed"/>
        <w:tblLook w:val="0600" w:firstRow="0" w:lastRow="0" w:firstColumn="0" w:lastColumn="0" w:noHBand="1" w:noVBand="1"/>
      </w:tblPr>
      <w:tblGrid>
        <w:gridCol w:w="9360"/>
      </w:tblGrid>
      <w:tr w:rsidR="005A724B" w14:paraId="0AC5D2C5" w14:textId="77777777">
        <w:tc>
          <w:tcPr>
            <w:tcW w:w="9360" w:type="dxa"/>
            <w:tcBorders>
              <w:top w:val="single" w:sz="8" w:space="0" w:color="000000"/>
              <w:bottom w:val="single" w:sz="8" w:space="0" w:color="000000"/>
            </w:tcBorders>
            <w:shd w:val="clear" w:color="auto" w:fill="CFE2F3"/>
            <w:tcMar>
              <w:top w:w="387" w:type="dxa"/>
              <w:left w:w="387" w:type="dxa"/>
              <w:bottom w:w="387" w:type="dxa"/>
              <w:right w:w="387" w:type="dxa"/>
            </w:tcMar>
          </w:tcPr>
          <w:p w14:paraId="27B72317" w14:textId="77777777" w:rsidR="005A724B" w:rsidRDefault="005D2FFE">
            <w:pPr>
              <w:pStyle w:val="Heading5"/>
              <w:widowControl w:val="0"/>
              <w:spacing w:line="240" w:lineRule="auto"/>
              <w:jc w:val="center"/>
              <w:rPr>
                <w:color w:val="073763"/>
              </w:rPr>
            </w:pPr>
            <w:bookmarkStart w:id="65" w:name="_ndwynjvwardo" w:colFirst="0" w:colLast="0"/>
            <w:bookmarkEnd w:id="65"/>
            <w:r>
              <w:rPr>
                <w:color w:val="073763"/>
              </w:rPr>
              <w:t>Box 1. Critically examining climate change, impacts, and adaptation</w:t>
            </w:r>
          </w:p>
          <w:p w14:paraId="37C9F87B" w14:textId="77777777" w:rsidR="005A724B" w:rsidRDefault="005A724B">
            <w:pPr>
              <w:widowControl w:val="0"/>
              <w:spacing w:line="240" w:lineRule="auto"/>
              <w:jc w:val="center"/>
              <w:rPr>
                <w:rFonts w:ascii="Times New Roman" w:eastAsia="Times New Roman" w:hAnsi="Times New Roman" w:cs="Times New Roman"/>
                <w:color w:val="073763"/>
                <w:u w:val="single"/>
              </w:rPr>
            </w:pPr>
          </w:p>
          <w:p w14:paraId="5A4E5954" w14:textId="77777777" w:rsidR="005A724B" w:rsidRDefault="005D2FFE">
            <w:pPr>
              <w:spacing w:before="0" w:line="240" w:lineRule="auto"/>
              <w:rPr>
                <w:rFonts w:ascii="Times New Roman" w:eastAsia="Times New Roman" w:hAnsi="Times New Roman" w:cs="Times New Roman"/>
                <w:color w:val="073763"/>
              </w:rPr>
            </w:pPr>
            <w:r>
              <w:rPr>
                <w:color w:val="073763"/>
              </w:rPr>
              <w:t xml:space="preserve">Critical understanding of the concepts of climate change, impacts, and adaptation are key.  It has been argued that there is a need for an indigenization of climate change, along the lines of </w:t>
            </w:r>
            <w:proofErr w:type="spellStart"/>
            <w:r>
              <w:rPr>
                <w:color w:val="073763"/>
              </w:rPr>
              <w:t>Sahlin’s</w:t>
            </w:r>
            <w:proofErr w:type="spellEnd"/>
            <w:r>
              <w:rPr>
                <w:color w:val="073763"/>
              </w:rPr>
              <w:t xml:space="preserve"> theorization of the indigenization of modernity, wherei</w:t>
            </w:r>
            <w:r>
              <w:rPr>
                <w:color w:val="073763"/>
              </w:rPr>
              <w:t>n understandings of climate change are not seen in hegemonic terms (and thus understandings of it in relationship to communities are framed simply in terms of ‘effects’ on communities) but rather a focus is placed on understanding how this phenomena is sit</w:t>
            </w:r>
            <w:r>
              <w:rPr>
                <w:color w:val="073763"/>
              </w:rPr>
              <w:t>uated contextually and made real through various cross-cutting lived discourses of various kinds (Raymond-</w:t>
            </w:r>
            <w:proofErr w:type="spellStart"/>
            <w:r>
              <w:rPr>
                <w:color w:val="073763"/>
              </w:rPr>
              <w:t>Yakoubian</w:t>
            </w:r>
            <w:proofErr w:type="spellEnd"/>
            <w:r>
              <w:rPr>
                <w:color w:val="073763"/>
              </w:rPr>
              <w:t xml:space="preserve"> and Raymond-</w:t>
            </w:r>
            <w:proofErr w:type="spellStart"/>
            <w:r>
              <w:rPr>
                <w:color w:val="073763"/>
              </w:rPr>
              <w:t>Yakoubian</w:t>
            </w:r>
            <w:proofErr w:type="spellEnd"/>
            <w:r>
              <w:rPr>
                <w:color w:val="073763"/>
              </w:rPr>
              <w:t xml:space="preserve"> 2015, </w:t>
            </w:r>
            <w:proofErr w:type="spellStart"/>
            <w:r>
              <w:rPr>
                <w:color w:val="073763"/>
              </w:rPr>
              <w:t>Sahlins</w:t>
            </w:r>
            <w:proofErr w:type="spellEnd"/>
            <w:r>
              <w:rPr>
                <w:color w:val="073763"/>
              </w:rPr>
              <w:t xml:space="preserve"> 1993). Another critical perspective on the relationship between changes, impacts, and adaptation comes f</w:t>
            </w:r>
            <w:r>
              <w:rPr>
                <w:color w:val="073763"/>
              </w:rPr>
              <w:t xml:space="preserve">rom Herman-Mercer et al. (2016), who notes the importance of examining generational differences as pertains to observations of changes and impacts and their relationship to developing adaptation strategies. The adaptation concept itself is also in need of </w:t>
            </w:r>
            <w:r>
              <w:rPr>
                <w:color w:val="073763"/>
              </w:rPr>
              <w:t xml:space="preserve">constant critical analysis and interrogation; </w:t>
            </w:r>
            <w:proofErr w:type="spellStart"/>
            <w:r>
              <w:rPr>
                <w:color w:val="073763"/>
              </w:rPr>
              <w:t>Thorton</w:t>
            </w:r>
            <w:proofErr w:type="spellEnd"/>
            <w:r>
              <w:rPr>
                <w:color w:val="073763"/>
              </w:rPr>
              <w:t xml:space="preserve"> and </w:t>
            </w:r>
            <w:proofErr w:type="spellStart"/>
            <w:r>
              <w:rPr>
                <w:color w:val="073763"/>
              </w:rPr>
              <w:t>Manasfi</w:t>
            </w:r>
            <w:proofErr w:type="spellEnd"/>
            <w:r>
              <w:rPr>
                <w:color w:val="073763"/>
              </w:rPr>
              <w:t xml:space="preserve"> (2010) have noted the importance of such a critical approach, and that “human adaptation is not a single strategy but rather a set of diverse, intersecting processes that may evolve autonomo</w:t>
            </w:r>
            <w:r>
              <w:rPr>
                <w:color w:val="073763"/>
              </w:rPr>
              <w:t>usly or through planning in response to the panoply of climatic and non-climatic stressors.”</w:t>
            </w:r>
          </w:p>
        </w:tc>
      </w:tr>
    </w:tbl>
    <w:p w14:paraId="62338E94" w14:textId="77777777" w:rsidR="005A724B" w:rsidRDefault="005D2FFE">
      <w:pPr>
        <w:pStyle w:val="Heading6"/>
        <w:spacing w:after="240"/>
        <w:rPr>
          <w:sz w:val="24"/>
          <w:szCs w:val="24"/>
        </w:rPr>
      </w:pPr>
      <w:bookmarkStart w:id="66" w:name="_6ssafijjlgjp" w:colFirst="0" w:colLast="0"/>
      <w:bookmarkEnd w:id="66"/>
      <w:r>
        <w:rPr>
          <w:sz w:val="24"/>
          <w:szCs w:val="24"/>
        </w:rPr>
        <w:t>Resilience Tools</w:t>
      </w:r>
    </w:p>
    <w:p w14:paraId="6EF1BAC0" w14:textId="77777777" w:rsidR="005A724B" w:rsidRDefault="005D2FFE">
      <w:r>
        <w:t>The second main category of Indigenous community knowledge regarding climate resilience is that which can be broadly characterized as knowledge relating to resilience ‘tools’. The term ‘tools’ is meant to be taken in a broad sense here from what might be c</w:t>
      </w:r>
      <w:r>
        <w:t xml:space="preserve">haracterized as the more tangible (e.g. knowledge about and use of technologies) to the more abstract (e.g. values). A wide variety of tools are utilized by communities which already contribute to their climate resilience. The knowledge base pertaining to </w:t>
      </w:r>
      <w:r>
        <w:t>these tools spans from the information developed within communities and shared between generations and other communities of various kinds, to the documentation and analysis of these tools and their application in a variety of settings (e.g. policy-setting)</w:t>
      </w:r>
      <w:r>
        <w:t xml:space="preserve">. The following list encapsulates some of these main resilience tools identified within this </w:t>
      </w:r>
      <w:r>
        <w:lastRenderedPageBreak/>
        <w:t xml:space="preserve">part of the knowledge base, as well as provide some information on the pertinent epistemic contexts (see e.g. </w:t>
      </w:r>
      <w:proofErr w:type="spellStart"/>
      <w:r>
        <w:t>Berkes</w:t>
      </w:r>
      <w:proofErr w:type="spellEnd"/>
      <w:r>
        <w:t xml:space="preserve"> 2002, Raymond-</w:t>
      </w:r>
      <w:proofErr w:type="spellStart"/>
      <w:r>
        <w:t>Yakoubian</w:t>
      </w:r>
      <w:proofErr w:type="spellEnd"/>
      <w:r>
        <w:t xml:space="preserve"> 2009, 2013, 2016, Aron</w:t>
      </w:r>
      <w:r>
        <w:t xml:space="preserve">son 2013, Huntington and </w:t>
      </w:r>
      <w:proofErr w:type="spellStart"/>
      <w:r>
        <w:t>Noongwook</w:t>
      </w:r>
      <w:proofErr w:type="spellEnd"/>
      <w:r>
        <w:t xml:space="preserve"> 2013, </w:t>
      </w:r>
      <w:proofErr w:type="spellStart"/>
      <w:r>
        <w:t>Kawerak</w:t>
      </w:r>
      <w:proofErr w:type="spellEnd"/>
      <w:r>
        <w:t xml:space="preserve"> 2013a, 2013b, 2014, 2015, 2021a, 2021b, Murray et al. 2013, Johnson and Gray 2014, Pearce et al. 2014, </w:t>
      </w:r>
      <w:proofErr w:type="spellStart"/>
      <w:r>
        <w:t>Gadamus</w:t>
      </w:r>
      <w:proofErr w:type="spellEnd"/>
      <w:r>
        <w:t xml:space="preserve"> et al. 2015, </w:t>
      </w:r>
      <w:proofErr w:type="spellStart"/>
      <w:r>
        <w:t>Gadamus</w:t>
      </w:r>
      <w:proofErr w:type="spellEnd"/>
      <w:r>
        <w:t xml:space="preserve"> and Raymond-</w:t>
      </w:r>
      <w:proofErr w:type="spellStart"/>
      <w:r>
        <w:t>Yakoubian</w:t>
      </w:r>
      <w:proofErr w:type="spellEnd"/>
      <w:r>
        <w:t xml:space="preserve"> 2015, Raymond-</w:t>
      </w:r>
      <w:proofErr w:type="spellStart"/>
      <w:r>
        <w:t>Yakoubian</w:t>
      </w:r>
      <w:proofErr w:type="spellEnd"/>
      <w:r>
        <w:t xml:space="preserve"> and Raymond-</w:t>
      </w:r>
      <w:proofErr w:type="spellStart"/>
      <w:r>
        <w:t>Yakoubian</w:t>
      </w:r>
      <w:proofErr w:type="spellEnd"/>
      <w:r>
        <w:t xml:space="preserve"> 2015, T</w:t>
      </w:r>
      <w:r>
        <w:t xml:space="preserve">hornton and </w:t>
      </w:r>
      <w:proofErr w:type="spellStart"/>
      <w:r>
        <w:t>Manasfi</w:t>
      </w:r>
      <w:proofErr w:type="spellEnd"/>
      <w:r>
        <w:t xml:space="preserve"> 2010, Huntington et al. 2017, 2019, 2021, Kettle et al. 2017, Raymond-</w:t>
      </w:r>
      <w:proofErr w:type="spellStart"/>
      <w:r>
        <w:t>Yakoubian</w:t>
      </w:r>
      <w:proofErr w:type="spellEnd"/>
      <w:r>
        <w:t xml:space="preserve"> et al. 2017, </w:t>
      </w:r>
      <w:proofErr w:type="spellStart"/>
      <w:r>
        <w:t>Jantarasami</w:t>
      </w:r>
      <w:proofErr w:type="spellEnd"/>
      <w:r>
        <w:t xml:space="preserve"> et al. 2018, Raymond-</w:t>
      </w:r>
      <w:proofErr w:type="spellStart"/>
      <w:r>
        <w:t>Yakoubian</w:t>
      </w:r>
      <w:proofErr w:type="spellEnd"/>
      <w:r>
        <w:t xml:space="preserve"> and Daniel 2018, Igiugig Village Council 2020, Carothers et al. 2021, </w:t>
      </w:r>
      <w:proofErr w:type="spellStart"/>
      <w:r>
        <w:t>Mustonen</w:t>
      </w:r>
      <w:proofErr w:type="spellEnd"/>
      <w:r>
        <w:t xml:space="preserve"> and Van Dam 2021, Ste</w:t>
      </w:r>
      <w:r>
        <w:t xml:space="preserve">ffen et al. 2021, </w:t>
      </w:r>
      <w:proofErr w:type="spellStart"/>
      <w:r>
        <w:t>Ellam</w:t>
      </w:r>
      <w:proofErr w:type="spellEnd"/>
      <w:r>
        <w:t xml:space="preserve"> </w:t>
      </w:r>
      <w:proofErr w:type="spellStart"/>
      <w:r>
        <w:t>Yua</w:t>
      </w:r>
      <w:proofErr w:type="spellEnd"/>
      <w:r>
        <w:t xml:space="preserve"> et al. 2022).</w:t>
      </w:r>
    </w:p>
    <w:p w14:paraId="4A9642AC" w14:textId="77777777" w:rsidR="005A724B" w:rsidRDefault="005A724B"/>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60"/>
        <w:gridCol w:w="5700"/>
      </w:tblGrid>
      <w:tr w:rsidR="005A724B" w14:paraId="738D03AB" w14:textId="77777777">
        <w:tc>
          <w:tcPr>
            <w:tcW w:w="3660" w:type="dxa"/>
            <w:shd w:val="clear" w:color="auto" w:fill="auto"/>
            <w:tcMar>
              <w:top w:w="100" w:type="dxa"/>
              <w:left w:w="100" w:type="dxa"/>
              <w:bottom w:w="100" w:type="dxa"/>
              <w:right w:w="100" w:type="dxa"/>
            </w:tcMar>
          </w:tcPr>
          <w:p w14:paraId="0188A21F" w14:textId="77777777" w:rsidR="005A724B" w:rsidRDefault="005D2FFE">
            <w:pPr>
              <w:widowControl w:val="0"/>
              <w:pBdr>
                <w:top w:val="nil"/>
                <w:left w:val="nil"/>
                <w:bottom w:val="nil"/>
                <w:right w:val="nil"/>
                <w:between w:val="nil"/>
              </w:pBdr>
              <w:spacing w:before="0" w:line="240" w:lineRule="auto"/>
              <w:jc w:val="center"/>
              <w:rPr>
                <w:b/>
              </w:rPr>
            </w:pPr>
            <w:r>
              <w:rPr>
                <w:b/>
              </w:rPr>
              <w:t>Resilience tools</w:t>
            </w:r>
          </w:p>
        </w:tc>
        <w:tc>
          <w:tcPr>
            <w:tcW w:w="5700" w:type="dxa"/>
            <w:shd w:val="clear" w:color="auto" w:fill="auto"/>
            <w:tcMar>
              <w:top w:w="100" w:type="dxa"/>
              <w:left w:w="100" w:type="dxa"/>
              <w:bottom w:w="100" w:type="dxa"/>
              <w:right w:w="100" w:type="dxa"/>
            </w:tcMar>
          </w:tcPr>
          <w:p w14:paraId="71C0265F" w14:textId="77777777" w:rsidR="005A724B" w:rsidRDefault="005D2FFE">
            <w:pPr>
              <w:widowControl w:val="0"/>
              <w:pBdr>
                <w:top w:val="nil"/>
                <w:left w:val="nil"/>
                <w:bottom w:val="nil"/>
                <w:right w:val="nil"/>
                <w:between w:val="nil"/>
              </w:pBdr>
              <w:spacing w:before="0" w:line="240" w:lineRule="auto"/>
              <w:jc w:val="center"/>
              <w:rPr>
                <w:b/>
              </w:rPr>
            </w:pPr>
            <w:r>
              <w:rPr>
                <w:b/>
              </w:rPr>
              <w:t>Examples/Discussion</w:t>
            </w:r>
          </w:p>
        </w:tc>
      </w:tr>
      <w:tr w:rsidR="005A724B" w14:paraId="39E769CE" w14:textId="77777777">
        <w:tc>
          <w:tcPr>
            <w:tcW w:w="3660" w:type="dxa"/>
            <w:shd w:val="clear" w:color="auto" w:fill="auto"/>
            <w:tcMar>
              <w:top w:w="100" w:type="dxa"/>
              <w:left w:w="100" w:type="dxa"/>
              <w:bottom w:w="100" w:type="dxa"/>
              <w:right w:w="100" w:type="dxa"/>
            </w:tcMar>
          </w:tcPr>
          <w:p w14:paraId="03D2B7ED" w14:textId="77777777" w:rsidR="005A724B" w:rsidRDefault="005A724B">
            <w:pPr>
              <w:widowControl w:val="0"/>
              <w:pBdr>
                <w:top w:val="nil"/>
                <w:left w:val="nil"/>
                <w:bottom w:val="nil"/>
                <w:right w:val="nil"/>
                <w:between w:val="nil"/>
              </w:pBdr>
              <w:spacing w:before="0" w:line="240" w:lineRule="auto"/>
              <w:jc w:val="center"/>
            </w:pPr>
          </w:p>
          <w:p w14:paraId="45E6BBDD" w14:textId="77777777" w:rsidR="005A724B" w:rsidRDefault="005A724B">
            <w:pPr>
              <w:widowControl w:val="0"/>
              <w:pBdr>
                <w:top w:val="nil"/>
                <w:left w:val="nil"/>
                <w:bottom w:val="nil"/>
                <w:right w:val="nil"/>
                <w:between w:val="nil"/>
              </w:pBdr>
              <w:spacing w:before="0" w:line="240" w:lineRule="auto"/>
              <w:jc w:val="center"/>
            </w:pPr>
          </w:p>
          <w:p w14:paraId="3FC1F30A" w14:textId="77777777" w:rsidR="005A724B" w:rsidRDefault="005A724B">
            <w:pPr>
              <w:widowControl w:val="0"/>
              <w:pBdr>
                <w:top w:val="nil"/>
                <w:left w:val="nil"/>
                <w:bottom w:val="nil"/>
                <w:right w:val="nil"/>
                <w:between w:val="nil"/>
              </w:pBdr>
              <w:spacing w:before="0" w:line="240" w:lineRule="auto"/>
              <w:jc w:val="center"/>
            </w:pPr>
          </w:p>
          <w:p w14:paraId="0E9593BD" w14:textId="77777777" w:rsidR="005A724B" w:rsidRDefault="005A724B">
            <w:pPr>
              <w:widowControl w:val="0"/>
              <w:pBdr>
                <w:top w:val="nil"/>
                <w:left w:val="nil"/>
                <w:bottom w:val="nil"/>
                <w:right w:val="nil"/>
                <w:between w:val="nil"/>
              </w:pBdr>
              <w:spacing w:before="0" w:line="240" w:lineRule="auto"/>
              <w:jc w:val="center"/>
            </w:pPr>
          </w:p>
          <w:p w14:paraId="1B51699E" w14:textId="77777777" w:rsidR="005A724B" w:rsidRDefault="005D2FFE">
            <w:pPr>
              <w:widowControl w:val="0"/>
              <w:pBdr>
                <w:top w:val="nil"/>
                <w:left w:val="nil"/>
                <w:bottom w:val="nil"/>
                <w:right w:val="nil"/>
                <w:between w:val="nil"/>
              </w:pBdr>
              <w:spacing w:before="0" w:line="240" w:lineRule="auto"/>
              <w:jc w:val="center"/>
            </w:pPr>
            <w:r>
              <w:t>Knowledge itself</w:t>
            </w:r>
          </w:p>
        </w:tc>
        <w:tc>
          <w:tcPr>
            <w:tcW w:w="5700" w:type="dxa"/>
            <w:shd w:val="clear" w:color="auto" w:fill="auto"/>
            <w:tcMar>
              <w:top w:w="100" w:type="dxa"/>
              <w:left w:w="100" w:type="dxa"/>
              <w:bottom w:w="100" w:type="dxa"/>
              <w:right w:w="100" w:type="dxa"/>
            </w:tcMar>
          </w:tcPr>
          <w:p w14:paraId="1D4D8F78" w14:textId="77777777" w:rsidR="005A724B" w:rsidRDefault="005D2FFE">
            <w:pPr>
              <w:widowControl w:val="0"/>
              <w:numPr>
                <w:ilvl w:val="0"/>
                <w:numId w:val="25"/>
              </w:numPr>
              <w:pBdr>
                <w:top w:val="nil"/>
                <w:left w:val="nil"/>
                <w:bottom w:val="nil"/>
                <w:right w:val="nil"/>
                <w:between w:val="nil"/>
              </w:pBdr>
              <w:spacing w:before="0" w:line="240" w:lineRule="auto"/>
              <w:jc w:val="left"/>
            </w:pPr>
            <w:r>
              <w:t>Inclusive of both research and non-research activities</w:t>
            </w:r>
          </w:p>
          <w:p w14:paraId="4385A37E" w14:textId="77777777" w:rsidR="005A724B" w:rsidRDefault="005D2FFE">
            <w:pPr>
              <w:widowControl w:val="0"/>
              <w:numPr>
                <w:ilvl w:val="0"/>
                <w:numId w:val="25"/>
              </w:numPr>
              <w:pBdr>
                <w:top w:val="nil"/>
                <w:left w:val="nil"/>
                <w:bottom w:val="nil"/>
                <w:right w:val="nil"/>
                <w:between w:val="nil"/>
              </w:pBdr>
              <w:spacing w:before="0" w:line="240" w:lineRule="auto"/>
              <w:jc w:val="left"/>
            </w:pPr>
            <w:r>
              <w:t>Forms of Indigenous Knowledge (e.g. Traditional Knowledge)</w:t>
            </w:r>
          </w:p>
          <w:p w14:paraId="78DDFBC0" w14:textId="77777777" w:rsidR="005A724B" w:rsidRDefault="005D2FFE">
            <w:pPr>
              <w:widowControl w:val="0"/>
              <w:numPr>
                <w:ilvl w:val="0"/>
                <w:numId w:val="25"/>
              </w:numPr>
              <w:pBdr>
                <w:top w:val="nil"/>
                <w:left w:val="nil"/>
                <w:bottom w:val="nil"/>
                <w:right w:val="nil"/>
                <w:between w:val="nil"/>
              </w:pBdr>
              <w:spacing w:before="0" w:line="240" w:lineRule="auto"/>
              <w:jc w:val="left"/>
            </w:pPr>
            <w:r>
              <w:t>Indigenous methodologies and the use of Indigenous evidence-bases for policy-making</w:t>
            </w:r>
          </w:p>
          <w:p w14:paraId="770FF2ED" w14:textId="77777777" w:rsidR="005A724B" w:rsidRDefault="005D2FFE">
            <w:pPr>
              <w:widowControl w:val="0"/>
              <w:numPr>
                <w:ilvl w:val="0"/>
                <w:numId w:val="25"/>
              </w:numPr>
              <w:pBdr>
                <w:top w:val="nil"/>
                <w:left w:val="nil"/>
                <w:bottom w:val="nil"/>
                <w:right w:val="nil"/>
                <w:between w:val="nil"/>
              </w:pBdr>
              <w:spacing w:before="0" w:line="240" w:lineRule="auto"/>
              <w:jc w:val="left"/>
            </w:pPr>
            <w:r>
              <w:t>Integrative, Indigenous-informed, collaborative and co-productive research, management, and policy-making</w:t>
            </w:r>
          </w:p>
        </w:tc>
      </w:tr>
      <w:tr w:rsidR="005A724B" w14:paraId="5E299B34" w14:textId="77777777">
        <w:tc>
          <w:tcPr>
            <w:tcW w:w="3660" w:type="dxa"/>
            <w:shd w:val="clear" w:color="auto" w:fill="auto"/>
            <w:tcMar>
              <w:top w:w="100" w:type="dxa"/>
              <w:left w:w="100" w:type="dxa"/>
              <w:bottom w:w="100" w:type="dxa"/>
              <w:right w:w="100" w:type="dxa"/>
            </w:tcMar>
          </w:tcPr>
          <w:p w14:paraId="7DD2D97A" w14:textId="77777777" w:rsidR="005A724B" w:rsidRDefault="005A724B">
            <w:pPr>
              <w:widowControl w:val="0"/>
              <w:pBdr>
                <w:top w:val="nil"/>
                <w:left w:val="nil"/>
                <w:bottom w:val="nil"/>
                <w:right w:val="nil"/>
                <w:between w:val="nil"/>
              </w:pBdr>
              <w:spacing w:before="0" w:line="240" w:lineRule="auto"/>
              <w:jc w:val="center"/>
            </w:pPr>
          </w:p>
          <w:p w14:paraId="1CEE0EC4" w14:textId="77777777" w:rsidR="005A724B" w:rsidRDefault="005D2FFE">
            <w:pPr>
              <w:widowControl w:val="0"/>
              <w:pBdr>
                <w:top w:val="nil"/>
                <w:left w:val="nil"/>
                <w:bottom w:val="nil"/>
                <w:right w:val="nil"/>
                <w:between w:val="nil"/>
              </w:pBdr>
              <w:spacing w:before="0" w:line="240" w:lineRule="auto"/>
              <w:jc w:val="center"/>
            </w:pPr>
            <w:r>
              <w:t>Traditional Values</w:t>
            </w:r>
          </w:p>
        </w:tc>
        <w:tc>
          <w:tcPr>
            <w:tcW w:w="5700" w:type="dxa"/>
            <w:shd w:val="clear" w:color="auto" w:fill="auto"/>
            <w:tcMar>
              <w:top w:w="100" w:type="dxa"/>
              <w:left w:w="100" w:type="dxa"/>
              <w:bottom w:w="100" w:type="dxa"/>
              <w:right w:w="100" w:type="dxa"/>
            </w:tcMar>
          </w:tcPr>
          <w:p w14:paraId="73B928FA" w14:textId="77777777" w:rsidR="005A724B" w:rsidRDefault="005D2FFE">
            <w:pPr>
              <w:widowControl w:val="0"/>
              <w:numPr>
                <w:ilvl w:val="0"/>
                <w:numId w:val="2"/>
              </w:numPr>
              <w:pBdr>
                <w:top w:val="nil"/>
                <w:left w:val="nil"/>
                <w:bottom w:val="nil"/>
                <w:right w:val="nil"/>
                <w:between w:val="nil"/>
              </w:pBdr>
              <w:spacing w:before="0" w:line="240" w:lineRule="auto"/>
              <w:jc w:val="left"/>
            </w:pPr>
            <w:r>
              <w:t>Can function as a backbone for community climate resilience</w:t>
            </w:r>
          </w:p>
          <w:p w14:paraId="2165EC5E" w14:textId="77777777" w:rsidR="005A724B" w:rsidRDefault="005D2FFE">
            <w:pPr>
              <w:widowControl w:val="0"/>
              <w:numPr>
                <w:ilvl w:val="0"/>
                <w:numId w:val="2"/>
              </w:numPr>
              <w:pBdr>
                <w:top w:val="nil"/>
                <w:left w:val="nil"/>
                <w:bottom w:val="nil"/>
                <w:right w:val="nil"/>
                <w:between w:val="nil"/>
              </w:pBdr>
              <w:spacing w:before="0" w:line="240" w:lineRule="auto"/>
              <w:jc w:val="left"/>
            </w:pPr>
            <w:r>
              <w:t>E.g. values pertaining to the ecosystem, health and well-being, economics, and culture</w:t>
            </w:r>
          </w:p>
        </w:tc>
      </w:tr>
      <w:tr w:rsidR="005A724B" w14:paraId="030D945F" w14:textId="77777777">
        <w:tc>
          <w:tcPr>
            <w:tcW w:w="3660" w:type="dxa"/>
            <w:shd w:val="clear" w:color="auto" w:fill="auto"/>
            <w:tcMar>
              <w:top w:w="100" w:type="dxa"/>
              <w:left w:w="100" w:type="dxa"/>
              <w:bottom w:w="100" w:type="dxa"/>
              <w:right w:w="100" w:type="dxa"/>
            </w:tcMar>
          </w:tcPr>
          <w:p w14:paraId="7D33F78C" w14:textId="77777777" w:rsidR="005A724B" w:rsidRDefault="005A724B">
            <w:pPr>
              <w:widowControl w:val="0"/>
              <w:pBdr>
                <w:top w:val="nil"/>
                <w:left w:val="nil"/>
                <w:bottom w:val="nil"/>
                <w:right w:val="nil"/>
                <w:between w:val="nil"/>
              </w:pBdr>
              <w:spacing w:before="0" w:line="240" w:lineRule="auto"/>
              <w:jc w:val="center"/>
            </w:pPr>
          </w:p>
          <w:p w14:paraId="4DACB802" w14:textId="77777777" w:rsidR="005A724B" w:rsidRDefault="005A724B">
            <w:pPr>
              <w:widowControl w:val="0"/>
              <w:pBdr>
                <w:top w:val="nil"/>
                <w:left w:val="nil"/>
                <w:bottom w:val="nil"/>
                <w:right w:val="nil"/>
                <w:between w:val="nil"/>
              </w:pBdr>
              <w:spacing w:before="0" w:line="240" w:lineRule="auto"/>
              <w:jc w:val="center"/>
            </w:pPr>
          </w:p>
          <w:p w14:paraId="761C1232" w14:textId="77777777" w:rsidR="005A724B" w:rsidRDefault="005D2FFE">
            <w:pPr>
              <w:widowControl w:val="0"/>
              <w:pBdr>
                <w:top w:val="nil"/>
                <w:left w:val="nil"/>
                <w:bottom w:val="nil"/>
                <w:right w:val="nil"/>
                <w:between w:val="nil"/>
              </w:pBdr>
              <w:spacing w:before="0" w:line="240" w:lineRule="auto"/>
              <w:jc w:val="center"/>
            </w:pPr>
            <w:r>
              <w:t>Attitudes and Skills (and knowledge which generates/supports them)</w:t>
            </w:r>
          </w:p>
        </w:tc>
        <w:tc>
          <w:tcPr>
            <w:tcW w:w="5700" w:type="dxa"/>
            <w:shd w:val="clear" w:color="auto" w:fill="auto"/>
            <w:tcMar>
              <w:top w:w="100" w:type="dxa"/>
              <w:left w:w="100" w:type="dxa"/>
              <w:bottom w:w="100" w:type="dxa"/>
              <w:right w:w="100" w:type="dxa"/>
            </w:tcMar>
          </w:tcPr>
          <w:p w14:paraId="2DF2F077" w14:textId="77777777" w:rsidR="005A724B" w:rsidRDefault="005D2FFE">
            <w:pPr>
              <w:widowControl w:val="0"/>
              <w:numPr>
                <w:ilvl w:val="0"/>
                <w:numId w:val="19"/>
              </w:numPr>
              <w:pBdr>
                <w:top w:val="nil"/>
                <w:left w:val="nil"/>
                <w:bottom w:val="nil"/>
                <w:right w:val="nil"/>
                <w:between w:val="nil"/>
              </w:pBdr>
              <w:spacing w:before="0" w:line="240" w:lineRule="auto"/>
              <w:jc w:val="left"/>
            </w:pPr>
            <w:r>
              <w:t>Being aware, prepared and safe</w:t>
            </w:r>
          </w:p>
          <w:p w14:paraId="5BFFD913" w14:textId="77777777" w:rsidR="005A724B" w:rsidRDefault="005D2FFE">
            <w:pPr>
              <w:widowControl w:val="0"/>
              <w:numPr>
                <w:ilvl w:val="0"/>
                <w:numId w:val="19"/>
              </w:numPr>
              <w:pBdr>
                <w:top w:val="nil"/>
                <w:left w:val="nil"/>
                <w:bottom w:val="nil"/>
                <w:right w:val="nil"/>
                <w:between w:val="nil"/>
              </w:pBdr>
              <w:spacing w:before="0" w:line="240" w:lineRule="auto"/>
              <w:jc w:val="left"/>
            </w:pPr>
            <w:r>
              <w:t>Persistence</w:t>
            </w:r>
          </w:p>
          <w:p w14:paraId="01379190" w14:textId="77777777" w:rsidR="005A724B" w:rsidRDefault="005D2FFE">
            <w:pPr>
              <w:widowControl w:val="0"/>
              <w:numPr>
                <w:ilvl w:val="0"/>
                <w:numId w:val="19"/>
              </w:numPr>
              <w:pBdr>
                <w:top w:val="nil"/>
                <w:left w:val="nil"/>
                <w:bottom w:val="nil"/>
                <w:right w:val="nil"/>
                <w:between w:val="nil"/>
              </w:pBdr>
              <w:spacing w:before="0" w:line="240" w:lineRule="auto"/>
              <w:jc w:val="left"/>
            </w:pPr>
            <w:r>
              <w:t>Innovation</w:t>
            </w:r>
          </w:p>
          <w:p w14:paraId="4BD7E4C1" w14:textId="77777777" w:rsidR="005A724B" w:rsidRDefault="005D2FFE">
            <w:pPr>
              <w:widowControl w:val="0"/>
              <w:numPr>
                <w:ilvl w:val="0"/>
                <w:numId w:val="19"/>
              </w:numPr>
              <w:pBdr>
                <w:top w:val="nil"/>
                <w:left w:val="nil"/>
                <w:bottom w:val="nil"/>
                <w:right w:val="nil"/>
                <w:between w:val="nil"/>
              </w:pBdr>
              <w:spacing w:before="0" w:line="240" w:lineRule="auto"/>
              <w:jc w:val="left"/>
            </w:pPr>
            <w:r>
              <w:t>Flexibility, adaptability, and the ability to adjust</w:t>
            </w:r>
          </w:p>
          <w:p w14:paraId="346F96BC" w14:textId="77777777" w:rsidR="005A724B" w:rsidRDefault="005D2FFE">
            <w:pPr>
              <w:widowControl w:val="0"/>
              <w:numPr>
                <w:ilvl w:val="0"/>
                <w:numId w:val="19"/>
              </w:numPr>
              <w:pBdr>
                <w:top w:val="nil"/>
                <w:left w:val="nil"/>
                <w:bottom w:val="nil"/>
                <w:right w:val="nil"/>
                <w:between w:val="nil"/>
              </w:pBdr>
              <w:spacing w:before="0" w:line="240" w:lineRule="auto"/>
              <w:jc w:val="left"/>
            </w:pPr>
            <w:r>
              <w:t>Experimentation</w:t>
            </w:r>
          </w:p>
          <w:p w14:paraId="37F66857" w14:textId="77777777" w:rsidR="005A724B" w:rsidRDefault="005D2FFE">
            <w:pPr>
              <w:widowControl w:val="0"/>
              <w:numPr>
                <w:ilvl w:val="0"/>
                <w:numId w:val="19"/>
              </w:numPr>
              <w:pBdr>
                <w:top w:val="nil"/>
                <w:left w:val="nil"/>
                <w:bottom w:val="nil"/>
                <w:right w:val="nil"/>
                <w:between w:val="nil"/>
              </w:pBdr>
              <w:spacing w:before="0" w:line="240" w:lineRule="auto"/>
              <w:jc w:val="left"/>
            </w:pPr>
            <w:r>
              <w:t>Respect</w:t>
            </w:r>
          </w:p>
        </w:tc>
      </w:tr>
      <w:tr w:rsidR="005A724B" w14:paraId="59084D4E" w14:textId="77777777">
        <w:tc>
          <w:tcPr>
            <w:tcW w:w="3660" w:type="dxa"/>
            <w:shd w:val="clear" w:color="auto" w:fill="auto"/>
            <w:tcMar>
              <w:top w:w="100" w:type="dxa"/>
              <w:left w:w="100" w:type="dxa"/>
              <w:bottom w:w="100" w:type="dxa"/>
              <w:right w:w="100" w:type="dxa"/>
            </w:tcMar>
          </w:tcPr>
          <w:p w14:paraId="3B01ADEB" w14:textId="77777777" w:rsidR="005A724B" w:rsidRDefault="005A724B">
            <w:pPr>
              <w:widowControl w:val="0"/>
              <w:pBdr>
                <w:top w:val="nil"/>
                <w:left w:val="nil"/>
                <w:bottom w:val="nil"/>
                <w:right w:val="nil"/>
                <w:between w:val="nil"/>
              </w:pBdr>
              <w:spacing w:before="0" w:line="240" w:lineRule="auto"/>
              <w:jc w:val="center"/>
            </w:pPr>
          </w:p>
          <w:p w14:paraId="4A79ED0F" w14:textId="77777777" w:rsidR="005A724B" w:rsidRDefault="005A724B">
            <w:pPr>
              <w:widowControl w:val="0"/>
              <w:pBdr>
                <w:top w:val="nil"/>
                <w:left w:val="nil"/>
                <w:bottom w:val="nil"/>
                <w:right w:val="nil"/>
                <w:between w:val="nil"/>
              </w:pBdr>
              <w:spacing w:before="0" w:line="240" w:lineRule="auto"/>
              <w:jc w:val="center"/>
            </w:pPr>
          </w:p>
          <w:p w14:paraId="42883D61" w14:textId="77777777" w:rsidR="005A724B" w:rsidRDefault="005A724B">
            <w:pPr>
              <w:widowControl w:val="0"/>
              <w:pBdr>
                <w:top w:val="nil"/>
                <w:left w:val="nil"/>
                <w:bottom w:val="nil"/>
                <w:right w:val="nil"/>
                <w:between w:val="nil"/>
              </w:pBdr>
              <w:spacing w:before="0" w:line="240" w:lineRule="auto"/>
              <w:jc w:val="center"/>
            </w:pPr>
          </w:p>
          <w:p w14:paraId="7FA77F69" w14:textId="77777777" w:rsidR="005A724B" w:rsidRDefault="005A724B">
            <w:pPr>
              <w:widowControl w:val="0"/>
              <w:pBdr>
                <w:top w:val="nil"/>
                <w:left w:val="nil"/>
                <w:bottom w:val="nil"/>
                <w:right w:val="nil"/>
                <w:between w:val="nil"/>
              </w:pBdr>
              <w:spacing w:before="0" w:line="240" w:lineRule="auto"/>
              <w:jc w:val="center"/>
            </w:pPr>
          </w:p>
          <w:p w14:paraId="57CFE2CB" w14:textId="77777777" w:rsidR="005A724B" w:rsidRDefault="005A724B">
            <w:pPr>
              <w:widowControl w:val="0"/>
              <w:pBdr>
                <w:top w:val="nil"/>
                <w:left w:val="nil"/>
                <w:bottom w:val="nil"/>
                <w:right w:val="nil"/>
                <w:between w:val="nil"/>
              </w:pBdr>
              <w:spacing w:before="0" w:line="240" w:lineRule="auto"/>
              <w:jc w:val="center"/>
            </w:pPr>
          </w:p>
          <w:p w14:paraId="5D3C6521" w14:textId="77777777" w:rsidR="005A724B" w:rsidRDefault="005A724B">
            <w:pPr>
              <w:widowControl w:val="0"/>
              <w:pBdr>
                <w:top w:val="nil"/>
                <w:left w:val="nil"/>
                <w:bottom w:val="nil"/>
                <w:right w:val="nil"/>
                <w:between w:val="nil"/>
              </w:pBdr>
              <w:spacing w:before="0" w:line="240" w:lineRule="auto"/>
              <w:jc w:val="center"/>
            </w:pPr>
          </w:p>
          <w:p w14:paraId="71008597" w14:textId="77777777" w:rsidR="005A724B" w:rsidRDefault="005D2FFE">
            <w:pPr>
              <w:widowControl w:val="0"/>
              <w:pBdr>
                <w:top w:val="nil"/>
                <w:left w:val="nil"/>
                <w:bottom w:val="nil"/>
                <w:right w:val="nil"/>
                <w:between w:val="nil"/>
              </w:pBdr>
              <w:spacing w:before="0" w:line="240" w:lineRule="auto"/>
              <w:jc w:val="center"/>
            </w:pPr>
            <w:r>
              <w:t>Actions, Practices, Strategies, and Institutions</w:t>
            </w:r>
          </w:p>
        </w:tc>
        <w:tc>
          <w:tcPr>
            <w:tcW w:w="5700" w:type="dxa"/>
            <w:shd w:val="clear" w:color="auto" w:fill="auto"/>
            <w:tcMar>
              <w:top w:w="100" w:type="dxa"/>
              <w:left w:w="100" w:type="dxa"/>
              <w:bottom w:w="100" w:type="dxa"/>
              <w:right w:w="100" w:type="dxa"/>
            </w:tcMar>
          </w:tcPr>
          <w:p w14:paraId="3C11F38F" w14:textId="77777777" w:rsidR="005A724B" w:rsidRDefault="005D2FFE">
            <w:pPr>
              <w:widowControl w:val="0"/>
              <w:numPr>
                <w:ilvl w:val="0"/>
                <w:numId w:val="8"/>
              </w:numPr>
              <w:pBdr>
                <w:top w:val="nil"/>
                <w:left w:val="nil"/>
                <w:bottom w:val="nil"/>
                <w:right w:val="nil"/>
                <w:between w:val="nil"/>
              </w:pBdr>
              <w:spacing w:before="0" w:line="240" w:lineRule="auto"/>
              <w:jc w:val="left"/>
            </w:pPr>
            <w:r>
              <w:t>Supporting and increasing local autonomy and self-determination</w:t>
            </w:r>
          </w:p>
          <w:p w14:paraId="17B9789D" w14:textId="77777777" w:rsidR="005A724B" w:rsidRDefault="005D2FFE">
            <w:pPr>
              <w:widowControl w:val="0"/>
              <w:numPr>
                <w:ilvl w:val="0"/>
                <w:numId w:val="8"/>
              </w:numPr>
              <w:pBdr>
                <w:top w:val="nil"/>
                <w:left w:val="nil"/>
                <w:bottom w:val="nil"/>
                <w:right w:val="nil"/>
                <w:between w:val="nil"/>
              </w:pBdr>
              <w:spacing w:before="0" w:line="240" w:lineRule="auto"/>
              <w:jc w:val="left"/>
            </w:pPr>
            <w:r>
              <w:t>Adjusting harvest strategies and harvest use and processing strategies</w:t>
            </w:r>
          </w:p>
          <w:p w14:paraId="4154D356" w14:textId="77777777" w:rsidR="005A724B" w:rsidRDefault="005D2FFE">
            <w:pPr>
              <w:widowControl w:val="0"/>
              <w:numPr>
                <w:ilvl w:val="0"/>
                <w:numId w:val="8"/>
              </w:numPr>
              <w:pBdr>
                <w:top w:val="nil"/>
                <w:left w:val="nil"/>
                <w:bottom w:val="nil"/>
                <w:right w:val="nil"/>
                <w:between w:val="nil"/>
              </w:pBdr>
              <w:spacing w:before="0" w:line="240" w:lineRule="auto"/>
              <w:jc w:val="left"/>
            </w:pPr>
            <w:r>
              <w:t>Stewardship and management</w:t>
            </w:r>
          </w:p>
          <w:p w14:paraId="6E3C5BD6" w14:textId="77777777" w:rsidR="005A724B" w:rsidRDefault="005D2FFE">
            <w:pPr>
              <w:widowControl w:val="0"/>
              <w:numPr>
                <w:ilvl w:val="0"/>
                <w:numId w:val="8"/>
              </w:numPr>
              <w:pBdr>
                <w:top w:val="nil"/>
                <w:left w:val="nil"/>
                <w:bottom w:val="nil"/>
                <w:right w:val="nil"/>
                <w:between w:val="nil"/>
              </w:pBdr>
              <w:spacing w:before="0" w:line="240" w:lineRule="auto"/>
              <w:jc w:val="left"/>
            </w:pPr>
            <w:r>
              <w:t>Revitalization</w:t>
            </w:r>
          </w:p>
          <w:p w14:paraId="1C9C1987" w14:textId="77777777" w:rsidR="005A724B" w:rsidRDefault="005D2FFE">
            <w:pPr>
              <w:widowControl w:val="0"/>
              <w:numPr>
                <w:ilvl w:val="0"/>
                <w:numId w:val="8"/>
              </w:numPr>
              <w:pBdr>
                <w:top w:val="nil"/>
                <w:left w:val="nil"/>
                <w:bottom w:val="nil"/>
                <w:right w:val="nil"/>
                <w:between w:val="nil"/>
              </w:pBdr>
              <w:spacing w:before="0" w:line="240" w:lineRule="auto"/>
              <w:jc w:val="left"/>
            </w:pPr>
            <w:r>
              <w:t>Cultural resilience in language, storytelling, and knowledge-sharing</w:t>
            </w:r>
          </w:p>
          <w:p w14:paraId="2B8C2264" w14:textId="77777777" w:rsidR="005A724B" w:rsidRDefault="005D2FFE">
            <w:pPr>
              <w:widowControl w:val="0"/>
              <w:numPr>
                <w:ilvl w:val="0"/>
                <w:numId w:val="8"/>
              </w:numPr>
              <w:pBdr>
                <w:top w:val="nil"/>
                <w:left w:val="nil"/>
                <w:bottom w:val="nil"/>
                <w:right w:val="nil"/>
                <w:between w:val="nil"/>
              </w:pBdr>
              <w:spacing w:before="0" w:line="240" w:lineRule="auto"/>
              <w:jc w:val="left"/>
            </w:pPr>
            <w:r>
              <w:t>Increasing local capacity, funding, and support</w:t>
            </w:r>
          </w:p>
          <w:p w14:paraId="3A1021B5" w14:textId="77777777" w:rsidR="005A724B" w:rsidRDefault="005D2FFE">
            <w:pPr>
              <w:widowControl w:val="0"/>
              <w:numPr>
                <w:ilvl w:val="0"/>
                <w:numId w:val="8"/>
              </w:numPr>
              <w:pBdr>
                <w:top w:val="nil"/>
                <w:left w:val="nil"/>
                <w:bottom w:val="nil"/>
                <w:right w:val="nil"/>
                <w:between w:val="nil"/>
              </w:pBdr>
              <w:spacing w:before="0" w:line="240" w:lineRule="auto"/>
              <w:jc w:val="left"/>
            </w:pPr>
            <w:r>
              <w:t>Indigenous leadership</w:t>
            </w:r>
          </w:p>
          <w:p w14:paraId="17E9EC41" w14:textId="77777777" w:rsidR="005A724B" w:rsidRDefault="005D2FFE">
            <w:pPr>
              <w:widowControl w:val="0"/>
              <w:numPr>
                <w:ilvl w:val="0"/>
                <w:numId w:val="8"/>
              </w:numPr>
              <w:pBdr>
                <w:top w:val="nil"/>
                <w:left w:val="nil"/>
                <w:bottom w:val="nil"/>
                <w:right w:val="nil"/>
                <w:between w:val="nil"/>
              </w:pBdr>
              <w:spacing w:before="0" w:line="240" w:lineRule="auto"/>
              <w:jc w:val="left"/>
            </w:pPr>
            <w:r>
              <w:t>Decolonization processes</w:t>
            </w:r>
          </w:p>
          <w:p w14:paraId="041948BE" w14:textId="77777777" w:rsidR="005A724B" w:rsidRDefault="005D2FFE">
            <w:pPr>
              <w:widowControl w:val="0"/>
              <w:numPr>
                <w:ilvl w:val="0"/>
                <w:numId w:val="8"/>
              </w:numPr>
              <w:pBdr>
                <w:top w:val="nil"/>
                <w:left w:val="nil"/>
                <w:bottom w:val="nil"/>
                <w:right w:val="nil"/>
                <w:between w:val="nil"/>
              </w:pBdr>
              <w:spacing w:before="0" w:line="240" w:lineRule="auto"/>
              <w:jc w:val="left"/>
            </w:pPr>
            <w:r>
              <w:t>Consideration of climate change in and alongside the context of other challenges</w:t>
            </w:r>
          </w:p>
        </w:tc>
      </w:tr>
      <w:tr w:rsidR="005A724B" w14:paraId="30C71890" w14:textId="77777777">
        <w:tc>
          <w:tcPr>
            <w:tcW w:w="3660" w:type="dxa"/>
            <w:shd w:val="clear" w:color="auto" w:fill="auto"/>
            <w:tcMar>
              <w:top w:w="100" w:type="dxa"/>
              <w:left w:w="100" w:type="dxa"/>
              <w:bottom w:w="100" w:type="dxa"/>
              <w:right w:w="100" w:type="dxa"/>
            </w:tcMar>
          </w:tcPr>
          <w:p w14:paraId="2E8A9097" w14:textId="77777777" w:rsidR="005A724B" w:rsidRDefault="005A724B">
            <w:pPr>
              <w:widowControl w:val="0"/>
              <w:pBdr>
                <w:top w:val="nil"/>
                <w:left w:val="nil"/>
                <w:bottom w:val="nil"/>
                <w:right w:val="nil"/>
                <w:between w:val="nil"/>
              </w:pBdr>
              <w:spacing w:before="0" w:line="240" w:lineRule="auto"/>
              <w:jc w:val="left"/>
            </w:pPr>
          </w:p>
          <w:p w14:paraId="14D9AFE0" w14:textId="77777777" w:rsidR="005A724B" w:rsidRDefault="005D2FFE">
            <w:pPr>
              <w:widowControl w:val="0"/>
              <w:pBdr>
                <w:top w:val="nil"/>
                <w:left w:val="nil"/>
                <w:bottom w:val="nil"/>
                <w:right w:val="nil"/>
                <w:between w:val="nil"/>
              </w:pBdr>
              <w:spacing w:before="0" w:line="240" w:lineRule="auto"/>
              <w:jc w:val="center"/>
            </w:pPr>
            <w:r>
              <w:t>Planning and Visioning activities at oceans, regional, and community levels</w:t>
            </w:r>
          </w:p>
        </w:tc>
        <w:tc>
          <w:tcPr>
            <w:tcW w:w="5700" w:type="dxa"/>
            <w:shd w:val="clear" w:color="auto" w:fill="auto"/>
            <w:tcMar>
              <w:top w:w="100" w:type="dxa"/>
              <w:left w:w="100" w:type="dxa"/>
              <w:bottom w:w="100" w:type="dxa"/>
              <w:right w:w="100" w:type="dxa"/>
            </w:tcMar>
          </w:tcPr>
          <w:p w14:paraId="7E3CCEA2" w14:textId="77777777" w:rsidR="005A724B" w:rsidRDefault="005D2FFE">
            <w:pPr>
              <w:widowControl w:val="0"/>
              <w:numPr>
                <w:ilvl w:val="0"/>
                <w:numId w:val="23"/>
              </w:numPr>
              <w:pBdr>
                <w:top w:val="nil"/>
                <w:left w:val="nil"/>
                <w:bottom w:val="nil"/>
                <w:right w:val="nil"/>
                <w:between w:val="nil"/>
              </w:pBdr>
              <w:spacing w:before="0" w:line="240" w:lineRule="auto"/>
              <w:jc w:val="left"/>
            </w:pPr>
            <w:r>
              <w:t>Planning that is inclusive, equitable, accounts for Indigenous priorities, and includes possibility for conservation</w:t>
            </w:r>
          </w:p>
          <w:p w14:paraId="7DD007C5" w14:textId="77777777" w:rsidR="005A724B" w:rsidRDefault="005D2FFE">
            <w:pPr>
              <w:widowControl w:val="0"/>
              <w:numPr>
                <w:ilvl w:val="0"/>
                <w:numId w:val="23"/>
              </w:numPr>
              <w:pBdr>
                <w:top w:val="nil"/>
                <w:left w:val="nil"/>
                <w:bottom w:val="nil"/>
                <w:right w:val="nil"/>
                <w:between w:val="nil"/>
              </w:pBdr>
              <w:spacing w:before="0" w:line="240" w:lineRule="auto"/>
              <w:jc w:val="left"/>
            </w:pPr>
            <w:r>
              <w:t>Development of community climate resilience-related plans</w:t>
            </w:r>
          </w:p>
        </w:tc>
      </w:tr>
    </w:tbl>
    <w:p w14:paraId="610619DD" w14:textId="77777777" w:rsidR="005A724B" w:rsidRDefault="005A724B">
      <w:pPr>
        <w:pStyle w:val="Heading4"/>
        <w:spacing w:after="240"/>
        <w:rPr>
          <w:color w:val="666666"/>
          <w:sz w:val="22"/>
          <w:szCs w:val="22"/>
        </w:rPr>
      </w:pPr>
      <w:bookmarkStart w:id="67" w:name="_r62maug04x45" w:colFirst="0" w:colLast="0"/>
      <w:bookmarkEnd w:id="67"/>
    </w:p>
    <w:p w14:paraId="421B0D0D" w14:textId="77777777" w:rsidR="005A724B" w:rsidRDefault="005D2FFE">
      <w:pPr>
        <w:pStyle w:val="Heading4"/>
        <w:spacing w:after="240"/>
        <w:rPr>
          <w:color w:val="666666"/>
        </w:rPr>
      </w:pPr>
      <w:bookmarkStart w:id="68" w:name="_klvj4na5komr" w:colFirst="0" w:colLast="0"/>
      <w:bookmarkEnd w:id="68"/>
      <w:r>
        <w:rPr>
          <w:color w:val="666666"/>
        </w:rPr>
        <w:t xml:space="preserve">The Climate-Relevant Knowledge </w:t>
      </w:r>
      <w:r>
        <w:rPr>
          <w:color w:val="666666"/>
        </w:rPr>
        <w:t>Base from Co-Management Activities</w:t>
      </w:r>
    </w:p>
    <w:p w14:paraId="22D0766E" w14:textId="77777777" w:rsidR="005A724B" w:rsidRDefault="005D2FFE">
      <w:r>
        <w:t>Cooperative management, or co-management, is an evolving concept. Broadly speaking, the term co-management has come to mean a process of shared responsibility and authority for management of a natural resource or resource</w:t>
      </w:r>
      <w:r>
        <w:t xml:space="preserve">s. This is typically realized between a formal designated government entity and specific resource users, with each co-manager having defined and specific rights and responsibilities relating to information gathering and decision-making (i.e., Pomeroy and </w:t>
      </w:r>
      <w:proofErr w:type="spellStart"/>
      <w:r>
        <w:t>B</w:t>
      </w:r>
      <w:r>
        <w:t>erkes</w:t>
      </w:r>
      <w:proofErr w:type="spellEnd"/>
      <w:r>
        <w:t xml:space="preserve"> 1997; Sen and Nielsen 1996). Definitions and examples of co-management structures are wide-ranging and it is important for all parties involved to clearly define and mutually agree upon the goal and objectives of the co-management structure.</w:t>
      </w:r>
    </w:p>
    <w:p w14:paraId="325C111C" w14:textId="77777777" w:rsidR="005A724B" w:rsidRDefault="005D2FFE">
      <w:pPr>
        <w:rPr>
          <w:rFonts w:ascii="Times New Roman" w:eastAsia="Times New Roman" w:hAnsi="Times New Roman" w:cs="Times New Roman"/>
        </w:rPr>
      </w:pPr>
      <w:r>
        <w:t>The most</w:t>
      </w:r>
      <w:r>
        <w:t xml:space="preserve"> advanced co-management models exist in the context of fish and wildlife management, which is especially true in Alaska partially because of the unique situation resulting from the Alaska Native Claims Settlement Act, the Alaska National Interest Land Cons</w:t>
      </w:r>
      <w:r>
        <w:t>ervation Act, and related legislation (Washburn 2022). One tribal co-management example can be found in the co-management of marine mammals between Alaska Native Organizations (ANOs) and either NOAA NMFS or USFWS (polar bears, walrus). During a recent Mari</w:t>
      </w:r>
      <w:r>
        <w:t>ne Mammal Co-Management Review conducted by the Marine Mammal Commission together with a Steering Committee comprised of ANO representatives, the group came to a mutually agreed upon definition of co-management: “A partnership based on trust and respect, e</w:t>
      </w:r>
      <w:r>
        <w:t xml:space="preserve">stablished between an Alaska Native Organization, as defined by the Marine Mammal Protection Act, and either NMFS or USFWS, with shared responsibilities for the conservation of marine mammals and their sustainable subsistence use by Alaska Natives” (Malek </w:t>
      </w:r>
      <w:r>
        <w:t xml:space="preserve">and Cornish 2019). The group also provided guidance on improving co-management relationships, which included: Co-management partners should clearly define and mutually agree upon their respective roles, responsibilities, and accountability mechanisms, and </w:t>
      </w:r>
      <w:r>
        <w:t>should be more transparent regarding partner limitations; and, Co-management partners and stakeholders should work cooperatively to strengthen communications, trust, and respect within and among partners.</w:t>
      </w:r>
    </w:p>
    <w:p w14:paraId="11092D07" w14:textId="77777777" w:rsidR="005A724B" w:rsidRDefault="005D2FFE">
      <w:r>
        <w:t xml:space="preserve">Examples of information that results from existing </w:t>
      </w:r>
      <w:r>
        <w:t>co-management frameworks in Alaska as related to fisheries management include, but are not limited to:</w:t>
      </w:r>
    </w:p>
    <w:p w14:paraId="28110E75" w14:textId="77777777" w:rsidR="005A724B" w:rsidRDefault="005A724B">
      <w:pPr>
        <w:ind w:left="720" w:hanging="360"/>
        <w:sectPr w:rsidR="005A724B">
          <w:type w:val="continuous"/>
          <w:pgSz w:w="12240" w:h="15840"/>
          <w:pgMar w:top="1440" w:right="1440" w:bottom="1440" w:left="1440" w:header="720" w:footer="720" w:gutter="0"/>
          <w:cols w:space="720"/>
        </w:sectPr>
      </w:pPr>
    </w:p>
    <w:p w14:paraId="316458B9" w14:textId="77777777" w:rsidR="005A724B" w:rsidRDefault="005D2FFE">
      <w:pPr>
        <w:numPr>
          <w:ilvl w:val="0"/>
          <w:numId w:val="17"/>
        </w:numPr>
        <w:spacing w:before="0" w:line="240" w:lineRule="auto"/>
        <w:jc w:val="left"/>
      </w:pPr>
      <w:r>
        <w:t>Weather conditions, including anomalous, abnormal and changing conditions</w:t>
      </w:r>
    </w:p>
    <w:p w14:paraId="71AC9037" w14:textId="77777777" w:rsidR="005A724B" w:rsidRDefault="005D2FFE">
      <w:pPr>
        <w:numPr>
          <w:ilvl w:val="0"/>
          <w:numId w:val="17"/>
        </w:numPr>
        <w:spacing w:before="0" w:line="240" w:lineRule="auto"/>
        <w:jc w:val="left"/>
      </w:pPr>
      <w:r>
        <w:t>Changes to sea ice, including in the quality (e.g. rotten, solid), thicknes</w:t>
      </w:r>
      <w:r>
        <w:t>s, duration, extent, and safety</w:t>
      </w:r>
    </w:p>
    <w:p w14:paraId="0425741D" w14:textId="77777777" w:rsidR="005A724B" w:rsidRDefault="005D2FFE">
      <w:pPr>
        <w:numPr>
          <w:ilvl w:val="0"/>
          <w:numId w:val="17"/>
        </w:numPr>
        <w:spacing w:before="0" w:line="240" w:lineRule="auto"/>
        <w:jc w:val="left"/>
      </w:pPr>
      <w:r>
        <w:t>Animal behaviors, including changes in prey or diet, shifting distributions, strange or anomalous behaviors (e.g., due to harmful algal bloom or contaminants exposure), interactions with other species</w:t>
      </w:r>
    </w:p>
    <w:p w14:paraId="2BE41FD4" w14:textId="77777777" w:rsidR="005A724B" w:rsidRDefault="005D2FFE">
      <w:pPr>
        <w:numPr>
          <w:ilvl w:val="0"/>
          <w:numId w:val="17"/>
        </w:numPr>
        <w:spacing w:before="0" w:line="240" w:lineRule="auto"/>
        <w:jc w:val="left"/>
      </w:pPr>
      <w:r>
        <w:lastRenderedPageBreak/>
        <w:t>Presence/Absence, level</w:t>
      </w:r>
      <w:r>
        <w:t>s of (i.e., counts, estimates) and changes in abundance</w:t>
      </w:r>
    </w:p>
    <w:p w14:paraId="69A5D0B2" w14:textId="77777777" w:rsidR="005A724B" w:rsidRDefault="005D2FFE">
      <w:pPr>
        <w:numPr>
          <w:ilvl w:val="0"/>
          <w:numId w:val="17"/>
        </w:numPr>
        <w:spacing w:before="0" w:line="240" w:lineRule="auto"/>
        <w:jc w:val="left"/>
      </w:pPr>
      <w:r>
        <w:t>Presence/Absence of diseases or parasites</w:t>
      </w:r>
    </w:p>
    <w:p w14:paraId="19441DD9" w14:textId="77777777" w:rsidR="005A724B" w:rsidRDefault="005D2FFE">
      <w:pPr>
        <w:numPr>
          <w:ilvl w:val="0"/>
          <w:numId w:val="17"/>
        </w:numPr>
        <w:spacing w:before="0" w:line="240" w:lineRule="auto"/>
        <w:jc w:val="left"/>
      </w:pPr>
      <w:r>
        <w:t>Animal health (blubber thickness, quality, texture, meat quality)</w:t>
      </w:r>
    </w:p>
    <w:p w14:paraId="6539D7DC" w14:textId="77777777" w:rsidR="005A724B" w:rsidRDefault="005D2FFE">
      <w:pPr>
        <w:numPr>
          <w:ilvl w:val="0"/>
          <w:numId w:val="17"/>
        </w:numPr>
        <w:spacing w:before="0" w:line="240" w:lineRule="auto"/>
        <w:jc w:val="left"/>
      </w:pPr>
      <w:r>
        <w:t>Timing of arrival and departure of wildlife species</w:t>
      </w:r>
    </w:p>
    <w:p w14:paraId="771AFE71" w14:textId="77777777" w:rsidR="005A724B" w:rsidRDefault="005D2FFE">
      <w:pPr>
        <w:numPr>
          <w:ilvl w:val="0"/>
          <w:numId w:val="17"/>
        </w:numPr>
        <w:spacing w:before="0" w:line="240" w:lineRule="auto"/>
        <w:jc w:val="left"/>
      </w:pPr>
      <w:r>
        <w:t>Regulatory changes</w:t>
      </w:r>
    </w:p>
    <w:p w14:paraId="61A027FD" w14:textId="77777777" w:rsidR="005A724B" w:rsidRDefault="005D2FFE">
      <w:pPr>
        <w:numPr>
          <w:ilvl w:val="0"/>
          <w:numId w:val="17"/>
        </w:numPr>
        <w:spacing w:before="0" w:line="240" w:lineRule="auto"/>
        <w:jc w:val="left"/>
      </w:pPr>
      <w:r>
        <w:t>Levels of subsistence</w:t>
      </w:r>
      <w:r>
        <w:t xml:space="preserve"> harvests (number of animals taken, age and </w:t>
      </w:r>
      <w:r>
        <w:t xml:space="preserve">sex class, animal behavior and quality) </w:t>
      </w:r>
    </w:p>
    <w:p w14:paraId="582B0753" w14:textId="77777777" w:rsidR="005A724B" w:rsidRDefault="005D2FFE">
      <w:pPr>
        <w:numPr>
          <w:ilvl w:val="0"/>
          <w:numId w:val="17"/>
        </w:numPr>
        <w:spacing w:before="0" w:line="240" w:lineRule="auto"/>
        <w:jc w:val="left"/>
      </w:pPr>
      <w:r>
        <w:t>Entangled, wounded and stranded animals</w:t>
      </w:r>
    </w:p>
    <w:p w14:paraId="05C4E302" w14:textId="77777777" w:rsidR="005A724B" w:rsidRDefault="005D2FFE">
      <w:pPr>
        <w:numPr>
          <w:ilvl w:val="0"/>
          <w:numId w:val="17"/>
        </w:numPr>
        <w:spacing w:before="0" w:after="120" w:line="240" w:lineRule="auto"/>
        <w:jc w:val="left"/>
        <w:sectPr w:rsidR="005A724B">
          <w:type w:val="continuous"/>
          <w:pgSz w:w="12240" w:h="15840"/>
          <w:pgMar w:top="1440" w:right="1440" w:bottom="1440" w:left="1440" w:header="720" w:footer="720" w:gutter="0"/>
          <w:cols w:num="2" w:space="720" w:equalWidth="0">
            <w:col w:w="4320" w:space="720"/>
            <w:col w:w="4320" w:space="0"/>
          </w:cols>
        </w:sectPr>
      </w:pPr>
      <w:proofErr w:type="spellStart"/>
      <w:r>
        <w:t>Biosampling</w:t>
      </w:r>
      <w:proofErr w:type="spellEnd"/>
      <w:r>
        <w:t xml:space="preserve"> and archiving of animal tissues (e.g., blubber, vibrissae or whiskers; which can be retrospectively tested for changes in diets, exposure to contaminants, etc.)</w:t>
      </w:r>
    </w:p>
    <w:p w14:paraId="6D456DC2" w14:textId="77777777" w:rsidR="005A724B" w:rsidRDefault="005A724B"/>
    <w:p w14:paraId="1B90A7DC" w14:textId="77777777" w:rsidR="005A724B" w:rsidRDefault="005D2FFE">
      <w:r>
        <w:t>In the case of marine mammal co-management in Alaska, semi-annual and annual repor</w:t>
      </w:r>
      <w:r>
        <w:t>ts are produced and provided to the federal managing agency and made publicly available. Data from these reports are included in the Alaska marine mammal stock assessment reports (e.g. Muto et al. 2021). As projects are completed, scientific and public rep</w:t>
      </w:r>
      <w:r>
        <w:t>orts and publications are made available</w:t>
      </w:r>
      <w:r>
        <w:t>; this includes research investigating climate change impacts on marine mammals. Additionally, information regarding entangled, wounded and stranded animals are provided through standardized reporting and also mad</w:t>
      </w:r>
      <w:r>
        <w:t xml:space="preserve">e publicly available. However, there is a wealth of knowledge that is shared between co-managers formally and informally that is not currently integrated into any potentially relevant NPFMC/NMFS processes. </w:t>
      </w:r>
    </w:p>
    <w:p w14:paraId="17846A7B" w14:textId="77777777" w:rsidR="005A724B" w:rsidRDefault="005D2FFE">
      <w:r>
        <w:t>Related to, but fundamentally different from, co-</w:t>
      </w:r>
      <w:r>
        <w:t>management is the process to create cooperative management plans. Cooperative management plans consider the concerns of Federal, State, Tribal, and other stakeholders through a highly cooperative planning process, even though, at the completion of the plan</w:t>
      </w:r>
      <w:r>
        <w:t>, stakeholders are not granted regulation enforcement status. If the Fishery Management Plans under the purview of the Council should be altered to become cooperative management plans, diverse community knowledge may be incorporated in many diverse ways, a</w:t>
      </w:r>
      <w:r>
        <w:t>s the process is flexible and adaptable to the participating parties. This may be an ideal pilot project to undertake as a joint effort between the LKTKSTF and the CCTF  regarding the Bering Sea ecosystem-based fishery management.</w:t>
      </w:r>
    </w:p>
    <w:p w14:paraId="4DF5B611" w14:textId="77777777" w:rsidR="005A724B" w:rsidRDefault="005D2FFE">
      <w:pPr>
        <w:sectPr w:rsidR="005A724B">
          <w:type w:val="continuous"/>
          <w:pgSz w:w="12240" w:h="15840"/>
          <w:pgMar w:top="1440" w:right="1440" w:bottom="1440" w:left="1440" w:header="720" w:footer="720" w:gutter="0"/>
          <w:cols w:space="720"/>
        </w:sectPr>
      </w:pPr>
      <w:r>
        <w:t>There are a variety of</w:t>
      </w:r>
      <w:r>
        <w:t xml:space="preserve"> co-management examples in the U.S. where federal lands are concerned, but we must look internationally for examples of co-managed marine areas, especially those that include local or Indigenous co-management. Tribal co-management differs from other types </w:t>
      </w:r>
      <w:r>
        <w:t>of collaborative management of federal lands in that a sovereign Tribal Nation enters into the agreement of shared management responsibilities with another government entity and thus governance is upon basic principles of American Indian law (Washburn 2022</w:t>
      </w:r>
      <w:r>
        <w:t>). Tribal co-management is commonly confused with stakeholder cooperation or public-private partnerships, but is unique in that it is the practice of two (or more) sovereigns working together to address and solve matters of critical concern to each (Goodma</w:t>
      </w:r>
      <w:r>
        <w:t xml:space="preserve">n 2000). Further, as Goodman (2000) states, “Co-management is not a demand for a tribal veto power over federal projects, but rather a call for an end to federal unilateralism in decision making affecting tribal rights and resources. It is a </w:t>
      </w:r>
      <w:r>
        <w:lastRenderedPageBreak/>
        <w:t>call for a pro</w:t>
      </w:r>
      <w:r>
        <w:t>cess that would incorporate, in a constructive manner, the policy and technical expertise of each sovereign in a mutual, participatory framework.”</w:t>
      </w:r>
    </w:p>
    <w:p w14:paraId="66568BA8" w14:textId="77777777" w:rsidR="005A724B" w:rsidRDefault="005D2FFE">
      <w:pPr>
        <w:pStyle w:val="Heading4"/>
        <w:rPr>
          <w:color w:val="666666"/>
        </w:rPr>
      </w:pPr>
      <w:bookmarkStart w:id="69" w:name="_k7phapu3u1i" w:colFirst="0" w:colLast="0"/>
      <w:bookmarkEnd w:id="69"/>
      <w:r>
        <w:rPr>
          <w:color w:val="666666"/>
        </w:rPr>
        <w:t>NPFMC- and NMFS-related processes which include Indigenous community knowledge</w:t>
      </w:r>
    </w:p>
    <w:p w14:paraId="213891F0" w14:textId="77777777" w:rsidR="005A724B" w:rsidRDefault="005D2FFE">
      <w:r>
        <w:t>Discussion of the topic of the</w:t>
      </w:r>
      <w:r>
        <w:t xml:space="preserve"> extant community knowledge base which is captured in the NPFMC and NMFS management system is deferred to Section 3.1.4, below (with the exception of co-management activities, which are discussed above).</w:t>
      </w:r>
    </w:p>
    <w:p w14:paraId="124358DD" w14:textId="77777777" w:rsidR="005A724B" w:rsidRDefault="005A724B"/>
    <w:p w14:paraId="3CB4E45C" w14:textId="77777777" w:rsidR="005A724B" w:rsidRDefault="005D2FFE">
      <w:pPr>
        <w:pStyle w:val="Heading4"/>
        <w:pBdr>
          <w:top w:val="nil"/>
          <w:left w:val="nil"/>
          <w:bottom w:val="nil"/>
          <w:right w:val="nil"/>
          <w:between w:val="nil"/>
        </w:pBdr>
        <w:spacing w:after="240"/>
      </w:pPr>
      <w:bookmarkStart w:id="70" w:name="_1hgx27ixjpos" w:colFirst="0" w:colLast="0"/>
      <w:bookmarkEnd w:id="70"/>
      <w:r>
        <w:rPr>
          <w:sz w:val="26"/>
          <w:szCs w:val="26"/>
        </w:rPr>
        <w:t xml:space="preserve">3.1.2: Local and </w:t>
      </w:r>
      <w:r>
        <w:rPr>
          <w:sz w:val="26"/>
          <w:szCs w:val="26"/>
        </w:rPr>
        <w:t>i</w:t>
      </w:r>
      <w:r>
        <w:rPr>
          <w:sz w:val="26"/>
          <w:szCs w:val="26"/>
        </w:rPr>
        <w:t xml:space="preserve">ndustry </w:t>
      </w:r>
      <w:r>
        <w:rPr>
          <w:sz w:val="26"/>
          <w:szCs w:val="26"/>
        </w:rPr>
        <w:t>k</w:t>
      </w:r>
      <w:r>
        <w:rPr>
          <w:sz w:val="26"/>
          <w:szCs w:val="26"/>
        </w:rPr>
        <w:t xml:space="preserve">nowledge bases: Climate </w:t>
      </w:r>
      <w:r>
        <w:rPr>
          <w:sz w:val="26"/>
          <w:szCs w:val="26"/>
        </w:rPr>
        <w:t>change information from local and industry expertise</w:t>
      </w:r>
    </w:p>
    <w:p w14:paraId="02A9819B" w14:textId="77777777" w:rsidR="005A724B" w:rsidRDefault="005D2FFE">
      <w:pPr>
        <w:pStyle w:val="Heading4"/>
        <w:rPr>
          <w:color w:val="666666"/>
        </w:rPr>
      </w:pPr>
      <w:bookmarkStart w:id="71" w:name="_d980hjdj6png" w:colFirst="0" w:colLast="0"/>
      <w:bookmarkEnd w:id="71"/>
      <w:r>
        <w:rPr>
          <w:color w:val="666666"/>
        </w:rPr>
        <w:t xml:space="preserve">“Industry” - Fleet-Based, </w:t>
      </w:r>
      <w:proofErr w:type="spellStart"/>
      <w:r>
        <w:rPr>
          <w:color w:val="666666"/>
        </w:rPr>
        <w:t>SeaState</w:t>
      </w:r>
      <w:proofErr w:type="spellEnd"/>
      <w:r>
        <w:rPr>
          <w:color w:val="666666"/>
        </w:rPr>
        <w:t>, AKFIN, etc.</w:t>
      </w:r>
    </w:p>
    <w:p w14:paraId="3BDDC52A" w14:textId="77777777" w:rsidR="005A724B" w:rsidRDefault="005D2FFE">
      <w:r>
        <w:t xml:space="preserve">The commercial and recreational fishing industries are subject to annual catch limitations that are determined by a </w:t>
      </w:r>
      <w:proofErr w:type="spellStart"/>
      <w:r>
        <w:t>well defined</w:t>
      </w:r>
      <w:proofErr w:type="spellEnd"/>
      <w:r>
        <w:t xml:space="preserve"> analytical stock assessment process that integrates fisheries dependent and fisheries independent data using the best available</w:t>
      </w:r>
      <w:r>
        <w:t xml:space="preserve"> scientific information. With respect to readiness, resilience, and adaptation to climate change the fishing industry has to respond to: changes in annual TAC’s associated with changes in stock size and catch buffers to mitigate for uncertainty, changing m</w:t>
      </w:r>
      <w:r>
        <w:t>arket conditions, changing fishing conditions, avoiding prohibited species, changes in stock distribution, and changes in stock productivity and capacity.</w:t>
      </w:r>
    </w:p>
    <w:p w14:paraId="45E1BC65" w14:textId="77777777" w:rsidR="005A724B" w:rsidRDefault="005D2FFE">
      <w:pPr>
        <w:pStyle w:val="Heading6"/>
        <w:spacing w:after="240"/>
        <w:rPr>
          <w:sz w:val="24"/>
          <w:szCs w:val="24"/>
        </w:rPr>
      </w:pPr>
      <w:bookmarkStart w:id="72" w:name="_lbt7ourv87um" w:colFirst="0" w:colLast="0"/>
      <w:bookmarkEnd w:id="72"/>
      <w:r>
        <w:rPr>
          <w:sz w:val="24"/>
          <w:szCs w:val="24"/>
        </w:rPr>
        <w:t>Climate Readiness</w:t>
      </w:r>
    </w:p>
    <w:p w14:paraId="00053AE6" w14:textId="77777777" w:rsidR="005A724B" w:rsidRDefault="005D2FFE">
      <w:r>
        <w:t>The large industrial commercial sectors rely primarily on high-volume, low-value</w:t>
      </w:r>
      <w:r>
        <w:t>, species.  The smaller fixed-gear sectors tend to focus on low-volume, high-value species. A climate ready fishing industry will have to be adaptive to potential changes in species abundance and composition and potential shifts in the primary fishing grou</w:t>
      </w:r>
      <w:r>
        <w:t>nd where these fisheries operate. There are two major industry concerns from a readiness perspective: changes in fish distribution and changes in species abundance and composition.  Recent shifts in the Bering Sea pollock and cod stocks associated with the</w:t>
      </w:r>
      <w:r>
        <w:t xml:space="preserve"> warm water events of 2018-2019, resulted in major shifts in the location of the summer fishing grounds. Also, there have been notable historical shifts in species-compositions in temperate Marine ecosystems (e.g., shift from invertebrate fisheries to cod </w:t>
      </w:r>
      <w:r>
        <w:t>in the Gulf of Alaska) that are of concern.  The combined effects of changes in species composition and the location of where the fisheries are prosecuted have a number of impacts on fishing cost, quality, and vessel safety. Fishing operations have now mov</w:t>
      </w:r>
      <w:r>
        <w:t>ed sufficiently far north that US Coast Guards search and rescue operations require additional logistical support outside of its normal operations. Shoreside processing capacity is becoming further from the fishing grounds, increasing transit time, reducin</w:t>
      </w:r>
      <w:r>
        <w:t xml:space="preserve">g product quality, and increasing the risk of accidents. </w:t>
      </w:r>
    </w:p>
    <w:p w14:paraId="63B1329D" w14:textId="77777777" w:rsidR="005A724B" w:rsidRDefault="005D2FFE">
      <w:pPr>
        <w:pStyle w:val="Heading6"/>
        <w:spacing w:after="240"/>
        <w:rPr>
          <w:sz w:val="24"/>
          <w:szCs w:val="24"/>
        </w:rPr>
      </w:pPr>
      <w:bookmarkStart w:id="73" w:name="_kgruc3l5d7ei" w:colFirst="0" w:colLast="0"/>
      <w:bookmarkEnd w:id="73"/>
      <w:r>
        <w:rPr>
          <w:sz w:val="24"/>
          <w:szCs w:val="24"/>
        </w:rPr>
        <w:lastRenderedPageBreak/>
        <w:t>Climate Resilience</w:t>
      </w:r>
    </w:p>
    <w:p w14:paraId="1FEF9F8F" w14:textId="77777777" w:rsidR="005A724B" w:rsidRDefault="005D2FFE">
      <w:r>
        <w:t xml:space="preserve">The primary management objective is to prevent overfishing and the Council’s tier harvest control system is designed to ensure that annual catch limits will prevent overfishing and allow overfished stocks to rebuild. Specifically, annual catch limits vary </w:t>
      </w:r>
      <w:r>
        <w:t xml:space="preserve">from year-to-year, to reflect the underlying changes in stock abundance and productivity. This annual variability in catch limits trades-off with the socio-economic objectives of minimizing catch variability that leads to community and economic stability. </w:t>
      </w:r>
      <w:r>
        <w:t>Climate resilience from the fishing industry's perspective is measured by how quickly climate effects can be detected in the stock assessment, and how robust the harvest control rule (e.g., a fixed harvest rate) is to model mis-specification and uncertaint</w:t>
      </w:r>
      <w:r>
        <w:t xml:space="preserve">y about climate effects.  </w:t>
      </w:r>
    </w:p>
    <w:p w14:paraId="46C8EF37" w14:textId="77777777" w:rsidR="005A724B" w:rsidRDefault="005D2FFE">
      <w:pPr>
        <w:pStyle w:val="Heading6"/>
        <w:spacing w:after="240"/>
        <w:rPr>
          <w:sz w:val="24"/>
          <w:szCs w:val="24"/>
        </w:rPr>
      </w:pPr>
      <w:bookmarkStart w:id="74" w:name="_bwpfunphntt2" w:colFirst="0" w:colLast="0"/>
      <w:bookmarkEnd w:id="74"/>
      <w:r>
        <w:rPr>
          <w:sz w:val="24"/>
          <w:szCs w:val="24"/>
        </w:rPr>
        <w:t>Climate Adaptation</w:t>
      </w:r>
    </w:p>
    <w:p w14:paraId="258DE8A6" w14:textId="77777777" w:rsidR="005A724B" w:rsidRDefault="005D2FFE">
      <w:pPr>
        <w:spacing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5022EFB6" w14:textId="77777777" w:rsidR="005A724B" w:rsidRDefault="005D2FFE">
      <w:pPr>
        <w:pStyle w:val="Heading3"/>
        <w:jc w:val="left"/>
        <w:rPr>
          <w:sz w:val="30"/>
          <w:szCs w:val="30"/>
        </w:rPr>
      </w:pPr>
      <w:bookmarkStart w:id="75" w:name="_tyxulji2abin" w:colFirst="0" w:colLast="0"/>
      <w:bookmarkEnd w:id="75"/>
      <w:r>
        <w:rPr>
          <w:b w:val="0"/>
          <w:i/>
          <w:color w:val="0B5394"/>
          <w:sz w:val="26"/>
          <w:szCs w:val="26"/>
        </w:rPr>
        <w:t>3.1.3: Other knowledge bases</w:t>
      </w:r>
    </w:p>
    <w:p w14:paraId="6752F6ED" w14:textId="77777777" w:rsidR="005A724B" w:rsidRDefault="005D2FFE">
      <w:pPr>
        <w:spacing w:after="240"/>
      </w:pPr>
      <w:r>
        <w:t>There are a variety of knowledge systems that are not detailed here. The complexity of exploring these systems and their current and potential r</w:t>
      </w:r>
      <w:r>
        <w:t>oles in the NPFMC process exceed the scope of this project. We suggest that a comprehensive review of the minutes and public testimony from previous council meetings such as was undertaken in chapter 2 of this synthesis (e.g. from 2019 to 2021) is appropri</w:t>
      </w:r>
      <w:r>
        <w:t xml:space="preserve">ate to explore the range of knowledges that have been offered to the Council through public testimony, invited presentations, and other forms. </w:t>
      </w:r>
    </w:p>
    <w:p w14:paraId="74D7CBD2" w14:textId="77777777" w:rsidR="005A724B" w:rsidRDefault="005D2FFE">
      <w:pPr>
        <w:pStyle w:val="Heading3"/>
        <w:jc w:val="left"/>
        <w:rPr>
          <w:sz w:val="26"/>
          <w:szCs w:val="26"/>
        </w:rPr>
      </w:pPr>
      <w:bookmarkStart w:id="76" w:name="_mt3lp9m4mr6q" w:colFirst="0" w:colLast="0"/>
      <w:bookmarkEnd w:id="76"/>
      <w:r>
        <w:rPr>
          <w:b w:val="0"/>
          <w:i/>
          <w:color w:val="0B5394"/>
          <w:sz w:val="26"/>
          <w:szCs w:val="26"/>
        </w:rPr>
        <w:t>3.1.4: “Agency” knowledge base: Climate readiness and adaptation knowledge currently integrated into the NPFMC a</w:t>
      </w:r>
      <w:r>
        <w:rPr>
          <w:b w:val="0"/>
          <w:i/>
          <w:color w:val="0B5394"/>
          <w:sz w:val="26"/>
          <w:szCs w:val="26"/>
        </w:rPr>
        <w:t>nd NMFS management process</w:t>
      </w:r>
    </w:p>
    <w:p w14:paraId="15B31C72" w14:textId="77777777" w:rsidR="005A724B" w:rsidRDefault="005D2FFE">
      <w:pPr>
        <w:pStyle w:val="Heading4"/>
        <w:rPr>
          <w:color w:val="666666"/>
        </w:rPr>
      </w:pPr>
      <w:bookmarkStart w:id="77" w:name="_s3ikrxfbzohg" w:colFirst="0" w:colLast="0"/>
      <w:bookmarkEnd w:id="77"/>
      <w:r>
        <w:rPr>
          <w:color w:val="666666"/>
        </w:rPr>
        <w:t>Council bodies and activities</w:t>
      </w:r>
    </w:p>
    <w:p w14:paraId="1356FD49" w14:textId="77777777" w:rsidR="005A724B" w:rsidRDefault="005D2FFE">
      <w:pPr>
        <w:rPr>
          <w:b/>
          <w:highlight w:val="red"/>
        </w:rPr>
      </w:pPr>
      <w:r>
        <w:t>A number of Council bodies, activities and processes have substantively worked on issues in a way that can be seen as constituting part of the knowledge base pertaining to climate resilience and a</w:t>
      </w:r>
      <w:r>
        <w:t xml:space="preserve">daptation. Here we discuss the bodies as related to their level of climate readiness (and incorporate select key activities and processes within the bodies). Although not comprehensive, this table indicates the most relevant or developed activities.  </w:t>
      </w:r>
    </w:p>
    <w:p w14:paraId="0B3F9205" w14:textId="77777777" w:rsidR="005A724B" w:rsidRDefault="005A724B">
      <w:pPr>
        <w:pStyle w:val="Heading4"/>
      </w:pPr>
      <w:bookmarkStart w:id="78" w:name="_niqhthdd4mge" w:colFirst="0" w:colLast="0"/>
      <w:bookmarkEnd w:id="78"/>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460"/>
      </w:tblGrid>
      <w:tr w:rsidR="005A724B" w14:paraId="3BB8322B" w14:textId="77777777">
        <w:tc>
          <w:tcPr>
            <w:tcW w:w="3900" w:type="dxa"/>
            <w:shd w:val="clear" w:color="auto" w:fill="auto"/>
            <w:tcMar>
              <w:top w:w="100" w:type="dxa"/>
              <w:left w:w="100" w:type="dxa"/>
              <w:bottom w:w="100" w:type="dxa"/>
              <w:right w:w="100" w:type="dxa"/>
            </w:tcMar>
          </w:tcPr>
          <w:p w14:paraId="20D17BA5" w14:textId="77777777" w:rsidR="005A724B" w:rsidRDefault="005D2FFE">
            <w:pPr>
              <w:widowControl w:val="0"/>
              <w:pBdr>
                <w:top w:val="nil"/>
                <w:left w:val="nil"/>
                <w:bottom w:val="nil"/>
                <w:right w:val="nil"/>
                <w:between w:val="nil"/>
              </w:pBdr>
              <w:spacing w:before="0" w:line="240" w:lineRule="auto"/>
              <w:jc w:val="center"/>
              <w:rPr>
                <w:b/>
                <w:sz w:val="24"/>
                <w:szCs w:val="24"/>
              </w:rPr>
            </w:pPr>
            <w:r>
              <w:rPr>
                <w:b/>
                <w:sz w:val="24"/>
                <w:szCs w:val="24"/>
              </w:rPr>
              <w:t>NPF</w:t>
            </w:r>
            <w:r>
              <w:rPr>
                <w:b/>
                <w:sz w:val="24"/>
                <w:szCs w:val="24"/>
              </w:rPr>
              <w:t>MC body</w:t>
            </w:r>
          </w:p>
        </w:tc>
        <w:tc>
          <w:tcPr>
            <w:tcW w:w="5460" w:type="dxa"/>
            <w:shd w:val="clear" w:color="auto" w:fill="auto"/>
            <w:tcMar>
              <w:top w:w="100" w:type="dxa"/>
              <w:left w:w="100" w:type="dxa"/>
              <w:bottom w:w="100" w:type="dxa"/>
              <w:right w:w="100" w:type="dxa"/>
            </w:tcMar>
          </w:tcPr>
          <w:p w14:paraId="1F813AC4" w14:textId="77777777" w:rsidR="005A724B" w:rsidRDefault="005D2FFE">
            <w:pPr>
              <w:widowControl w:val="0"/>
              <w:pBdr>
                <w:top w:val="nil"/>
                <w:left w:val="nil"/>
                <w:bottom w:val="nil"/>
                <w:right w:val="nil"/>
                <w:between w:val="nil"/>
              </w:pBdr>
              <w:spacing w:before="0" w:line="240" w:lineRule="auto"/>
              <w:jc w:val="center"/>
              <w:rPr>
                <w:b/>
                <w:sz w:val="24"/>
                <w:szCs w:val="24"/>
              </w:rPr>
            </w:pPr>
            <w:r>
              <w:rPr>
                <w:b/>
                <w:sz w:val="24"/>
                <w:szCs w:val="24"/>
              </w:rPr>
              <w:t>Climate-ready knowledge base-related activities</w:t>
            </w:r>
          </w:p>
        </w:tc>
      </w:tr>
      <w:tr w:rsidR="005A724B" w14:paraId="5E43B12C" w14:textId="77777777">
        <w:tc>
          <w:tcPr>
            <w:tcW w:w="3900" w:type="dxa"/>
            <w:shd w:val="clear" w:color="auto" w:fill="auto"/>
            <w:tcMar>
              <w:top w:w="100" w:type="dxa"/>
              <w:left w:w="100" w:type="dxa"/>
              <w:bottom w:w="100" w:type="dxa"/>
              <w:right w:w="100" w:type="dxa"/>
            </w:tcMar>
          </w:tcPr>
          <w:p w14:paraId="2469619B" w14:textId="77777777" w:rsidR="005A724B" w:rsidRDefault="005D2FFE">
            <w:pPr>
              <w:widowControl w:val="0"/>
              <w:pBdr>
                <w:top w:val="nil"/>
                <w:left w:val="nil"/>
                <w:bottom w:val="nil"/>
                <w:right w:val="nil"/>
                <w:between w:val="nil"/>
              </w:pBdr>
              <w:spacing w:before="0" w:line="240" w:lineRule="auto"/>
              <w:jc w:val="left"/>
              <w:rPr>
                <w:sz w:val="20"/>
                <w:szCs w:val="20"/>
              </w:rPr>
            </w:pPr>
            <w:r>
              <w:rPr>
                <w:sz w:val="20"/>
                <w:szCs w:val="20"/>
              </w:rPr>
              <w:t>Council</w:t>
            </w:r>
          </w:p>
        </w:tc>
        <w:tc>
          <w:tcPr>
            <w:tcW w:w="5460" w:type="dxa"/>
            <w:shd w:val="clear" w:color="auto" w:fill="auto"/>
            <w:tcMar>
              <w:top w:w="100" w:type="dxa"/>
              <w:left w:w="100" w:type="dxa"/>
              <w:bottom w:w="100" w:type="dxa"/>
              <w:right w:w="100" w:type="dxa"/>
            </w:tcMar>
          </w:tcPr>
          <w:p w14:paraId="79D243CF" w14:textId="77777777" w:rsidR="005A724B" w:rsidRDefault="005D2FFE">
            <w:pPr>
              <w:widowControl w:val="0"/>
              <w:numPr>
                <w:ilvl w:val="0"/>
                <w:numId w:val="26"/>
              </w:numPr>
              <w:spacing w:before="0" w:line="240" w:lineRule="auto"/>
              <w:jc w:val="left"/>
              <w:rPr>
                <w:b/>
                <w:color w:val="B7B7B7"/>
                <w:sz w:val="20"/>
                <w:szCs w:val="20"/>
              </w:rPr>
            </w:pPr>
            <w:r>
              <w:rPr>
                <w:b/>
                <w:color w:val="B7B7B7"/>
                <w:sz w:val="20"/>
                <w:szCs w:val="20"/>
              </w:rPr>
              <w:t>[Programmatic EIS]</w:t>
            </w:r>
          </w:p>
          <w:p w14:paraId="12804780" w14:textId="77777777" w:rsidR="005A724B" w:rsidRDefault="005D2FFE">
            <w:pPr>
              <w:widowControl w:val="0"/>
              <w:numPr>
                <w:ilvl w:val="0"/>
                <w:numId w:val="26"/>
              </w:numPr>
              <w:spacing w:before="0" w:line="240" w:lineRule="auto"/>
              <w:jc w:val="left"/>
              <w:rPr>
                <w:b/>
                <w:color w:val="B7B7B7"/>
                <w:sz w:val="20"/>
                <w:szCs w:val="20"/>
              </w:rPr>
            </w:pPr>
            <w:r>
              <w:rPr>
                <w:b/>
                <w:color w:val="B7B7B7"/>
                <w:sz w:val="20"/>
                <w:szCs w:val="20"/>
              </w:rPr>
              <w:t>[Arctic FMP]</w:t>
            </w:r>
          </w:p>
        </w:tc>
      </w:tr>
      <w:tr w:rsidR="005A724B" w14:paraId="5F66154F" w14:textId="77777777">
        <w:tc>
          <w:tcPr>
            <w:tcW w:w="3900" w:type="dxa"/>
            <w:shd w:val="clear" w:color="auto" w:fill="auto"/>
            <w:tcMar>
              <w:top w:w="100" w:type="dxa"/>
              <w:left w:w="100" w:type="dxa"/>
              <w:bottom w:w="100" w:type="dxa"/>
              <w:right w:w="100" w:type="dxa"/>
            </w:tcMar>
          </w:tcPr>
          <w:p w14:paraId="65F0BD3F" w14:textId="77777777" w:rsidR="005A724B" w:rsidRDefault="005D2FFE">
            <w:pPr>
              <w:widowControl w:val="0"/>
              <w:pBdr>
                <w:top w:val="nil"/>
                <w:left w:val="nil"/>
                <w:bottom w:val="nil"/>
                <w:right w:val="nil"/>
                <w:between w:val="nil"/>
              </w:pBdr>
              <w:spacing w:before="0" w:line="240" w:lineRule="auto"/>
              <w:jc w:val="left"/>
              <w:rPr>
                <w:sz w:val="20"/>
                <w:szCs w:val="20"/>
              </w:rPr>
            </w:pPr>
            <w:r>
              <w:rPr>
                <w:sz w:val="20"/>
                <w:szCs w:val="20"/>
              </w:rPr>
              <w:t>Science and Statistical Committee</w:t>
            </w:r>
          </w:p>
        </w:tc>
        <w:tc>
          <w:tcPr>
            <w:tcW w:w="5460" w:type="dxa"/>
            <w:shd w:val="clear" w:color="auto" w:fill="auto"/>
            <w:tcMar>
              <w:top w:w="100" w:type="dxa"/>
              <w:left w:w="100" w:type="dxa"/>
              <w:bottom w:w="100" w:type="dxa"/>
              <w:right w:w="100" w:type="dxa"/>
            </w:tcMar>
          </w:tcPr>
          <w:p w14:paraId="5F99190A" w14:textId="77777777" w:rsidR="005A724B" w:rsidRDefault="005D2FFE">
            <w:pPr>
              <w:widowControl w:val="0"/>
              <w:numPr>
                <w:ilvl w:val="0"/>
                <w:numId w:val="26"/>
              </w:numPr>
              <w:pBdr>
                <w:top w:val="nil"/>
                <w:left w:val="nil"/>
                <w:bottom w:val="nil"/>
                <w:right w:val="nil"/>
                <w:between w:val="nil"/>
              </w:pBdr>
              <w:spacing w:before="0" w:line="240" w:lineRule="auto"/>
              <w:jc w:val="left"/>
              <w:rPr>
                <w:sz w:val="20"/>
                <w:szCs w:val="20"/>
              </w:rPr>
            </w:pPr>
            <w:r>
              <w:rPr>
                <w:sz w:val="20"/>
                <w:szCs w:val="20"/>
              </w:rPr>
              <w:t xml:space="preserve">Weigh in on research priorities setting, discuss </w:t>
            </w:r>
            <w:r>
              <w:rPr>
                <w:sz w:val="20"/>
                <w:szCs w:val="20"/>
              </w:rPr>
              <w:lastRenderedPageBreak/>
              <w:t>SAFE reports &amp; emerging research as related to climate-informed assessments but does not explicitly include climate information in decision-making (ABC, TAC setting).</w:t>
            </w:r>
          </w:p>
          <w:p w14:paraId="0F6277D7" w14:textId="77777777" w:rsidR="005A724B" w:rsidRDefault="005D2FFE">
            <w:pPr>
              <w:widowControl w:val="0"/>
              <w:numPr>
                <w:ilvl w:val="0"/>
                <w:numId w:val="26"/>
              </w:numPr>
              <w:pBdr>
                <w:top w:val="nil"/>
                <w:left w:val="nil"/>
                <w:bottom w:val="nil"/>
                <w:right w:val="nil"/>
                <w:between w:val="nil"/>
              </w:pBdr>
              <w:spacing w:before="0" w:line="240" w:lineRule="auto"/>
              <w:jc w:val="left"/>
              <w:rPr>
                <w:color w:val="CCCCCC"/>
                <w:sz w:val="20"/>
                <w:szCs w:val="20"/>
              </w:rPr>
            </w:pPr>
            <w:hyperlink r:id="rId20">
              <w:r>
                <w:rPr>
                  <w:b/>
                  <w:color w:val="B7B7B7"/>
                  <w:sz w:val="20"/>
                  <w:szCs w:val="20"/>
                </w:rPr>
                <w:t>Top Ten Research Priorities List</w:t>
              </w:r>
            </w:hyperlink>
            <w:r>
              <w:rPr>
                <w:b/>
                <w:color w:val="B7B7B7"/>
                <w:sz w:val="20"/>
                <w:szCs w:val="20"/>
              </w:rPr>
              <w:t xml:space="preserve"> only includes climate change impacts in one of the ten priorities</w:t>
            </w:r>
          </w:p>
          <w:p w14:paraId="4F9C3976" w14:textId="77777777" w:rsidR="005A724B" w:rsidRDefault="005D2FFE">
            <w:pPr>
              <w:widowControl w:val="0"/>
              <w:numPr>
                <w:ilvl w:val="0"/>
                <w:numId w:val="26"/>
              </w:numPr>
              <w:pBdr>
                <w:top w:val="nil"/>
                <w:left w:val="nil"/>
                <w:bottom w:val="nil"/>
                <w:right w:val="nil"/>
                <w:between w:val="nil"/>
              </w:pBdr>
              <w:spacing w:before="0" w:line="240" w:lineRule="auto"/>
              <w:jc w:val="left"/>
              <w:rPr>
                <w:color w:val="B7B7B7"/>
                <w:sz w:val="20"/>
                <w:szCs w:val="20"/>
              </w:rPr>
            </w:pPr>
            <w:r>
              <w:rPr>
                <w:b/>
                <w:color w:val="B7B7B7"/>
                <w:sz w:val="20"/>
                <w:szCs w:val="20"/>
              </w:rPr>
              <w:t>[EIS]</w:t>
            </w:r>
          </w:p>
          <w:p w14:paraId="37555336" w14:textId="77777777" w:rsidR="005A724B" w:rsidRDefault="005D2FFE">
            <w:pPr>
              <w:widowControl w:val="0"/>
              <w:numPr>
                <w:ilvl w:val="0"/>
                <w:numId w:val="26"/>
              </w:numPr>
              <w:pBdr>
                <w:top w:val="nil"/>
                <w:left w:val="nil"/>
                <w:bottom w:val="nil"/>
                <w:right w:val="nil"/>
                <w:between w:val="nil"/>
              </w:pBdr>
              <w:spacing w:before="0" w:line="240" w:lineRule="auto"/>
              <w:jc w:val="left"/>
              <w:rPr>
                <w:sz w:val="20"/>
                <w:szCs w:val="20"/>
              </w:rPr>
            </w:pPr>
            <w:r>
              <w:rPr>
                <w:sz w:val="20"/>
                <w:szCs w:val="20"/>
              </w:rPr>
              <w:t>ESR</w:t>
            </w:r>
          </w:p>
        </w:tc>
      </w:tr>
      <w:tr w:rsidR="005A724B" w14:paraId="414203B8" w14:textId="77777777">
        <w:tc>
          <w:tcPr>
            <w:tcW w:w="3900" w:type="dxa"/>
            <w:shd w:val="clear" w:color="auto" w:fill="auto"/>
            <w:tcMar>
              <w:top w:w="100" w:type="dxa"/>
              <w:left w:w="100" w:type="dxa"/>
              <w:bottom w:w="100" w:type="dxa"/>
              <w:right w:w="100" w:type="dxa"/>
            </w:tcMar>
          </w:tcPr>
          <w:p w14:paraId="6A4C579B" w14:textId="77777777" w:rsidR="005A724B" w:rsidRDefault="005D2FFE">
            <w:pPr>
              <w:widowControl w:val="0"/>
              <w:spacing w:before="0" w:line="240" w:lineRule="auto"/>
              <w:jc w:val="left"/>
              <w:rPr>
                <w:sz w:val="20"/>
                <w:szCs w:val="20"/>
              </w:rPr>
            </w:pPr>
            <w:r>
              <w:rPr>
                <w:sz w:val="20"/>
                <w:szCs w:val="20"/>
              </w:rPr>
              <w:t>Advisory Panel</w:t>
            </w:r>
          </w:p>
        </w:tc>
        <w:tc>
          <w:tcPr>
            <w:tcW w:w="5460" w:type="dxa"/>
            <w:shd w:val="clear" w:color="auto" w:fill="auto"/>
            <w:tcMar>
              <w:top w:w="100" w:type="dxa"/>
              <w:left w:w="100" w:type="dxa"/>
              <w:bottom w:w="100" w:type="dxa"/>
              <w:right w:w="100" w:type="dxa"/>
            </w:tcMar>
          </w:tcPr>
          <w:p w14:paraId="0DC9C255" w14:textId="77777777" w:rsidR="005A724B" w:rsidRDefault="005D2FFE">
            <w:pPr>
              <w:widowControl w:val="0"/>
              <w:numPr>
                <w:ilvl w:val="0"/>
                <w:numId w:val="26"/>
              </w:numPr>
              <w:spacing w:before="0" w:line="240" w:lineRule="auto"/>
              <w:jc w:val="left"/>
              <w:rPr>
                <w:sz w:val="20"/>
                <w:szCs w:val="20"/>
              </w:rPr>
            </w:pPr>
            <w:r>
              <w:rPr>
                <w:sz w:val="20"/>
                <w:szCs w:val="20"/>
              </w:rPr>
              <w:t>Weigh in on issues, bring in knowledge to discussions, motions, acti</w:t>
            </w:r>
            <w:r>
              <w:rPr>
                <w:sz w:val="20"/>
                <w:szCs w:val="20"/>
              </w:rPr>
              <w:t>ons, rationales</w:t>
            </w:r>
          </w:p>
          <w:p w14:paraId="1030F55F" w14:textId="77777777" w:rsidR="005A724B" w:rsidRDefault="005D2FFE">
            <w:pPr>
              <w:widowControl w:val="0"/>
              <w:numPr>
                <w:ilvl w:val="0"/>
                <w:numId w:val="26"/>
              </w:numPr>
              <w:spacing w:before="0" w:line="240" w:lineRule="auto"/>
              <w:jc w:val="left"/>
              <w:rPr>
                <w:sz w:val="20"/>
                <w:szCs w:val="20"/>
              </w:rPr>
            </w:pPr>
            <w:r>
              <w:rPr>
                <w:sz w:val="20"/>
                <w:szCs w:val="20"/>
              </w:rPr>
              <w:t>Discuss public testimony that includes a variety of knowledges</w:t>
            </w:r>
          </w:p>
        </w:tc>
      </w:tr>
      <w:tr w:rsidR="005A724B" w14:paraId="3E522A7F" w14:textId="77777777">
        <w:tc>
          <w:tcPr>
            <w:tcW w:w="3900" w:type="dxa"/>
            <w:shd w:val="clear" w:color="auto" w:fill="auto"/>
            <w:tcMar>
              <w:top w:w="100" w:type="dxa"/>
              <w:left w:w="100" w:type="dxa"/>
              <w:bottom w:w="100" w:type="dxa"/>
              <w:right w:w="100" w:type="dxa"/>
            </w:tcMar>
          </w:tcPr>
          <w:p w14:paraId="1C958B41" w14:textId="77777777" w:rsidR="005A724B" w:rsidRDefault="005D2FFE">
            <w:pPr>
              <w:widowControl w:val="0"/>
              <w:spacing w:before="0" w:line="240" w:lineRule="auto"/>
              <w:jc w:val="left"/>
              <w:rPr>
                <w:sz w:val="20"/>
                <w:szCs w:val="20"/>
              </w:rPr>
            </w:pPr>
            <w:r>
              <w:rPr>
                <w:sz w:val="20"/>
                <w:szCs w:val="20"/>
              </w:rPr>
              <w:t>Ecosystem Committee</w:t>
            </w:r>
          </w:p>
        </w:tc>
        <w:tc>
          <w:tcPr>
            <w:tcW w:w="5460" w:type="dxa"/>
            <w:shd w:val="clear" w:color="auto" w:fill="auto"/>
            <w:tcMar>
              <w:top w:w="100" w:type="dxa"/>
              <w:left w:w="100" w:type="dxa"/>
              <w:bottom w:w="100" w:type="dxa"/>
              <w:right w:w="100" w:type="dxa"/>
            </w:tcMar>
          </w:tcPr>
          <w:p w14:paraId="300BF52F" w14:textId="77777777" w:rsidR="005A724B" w:rsidRDefault="005D2FFE">
            <w:pPr>
              <w:widowControl w:val="0"/>
              <w:numPr>
                <w:ilvl w:val="0"/>
                <w:numId w:val="12"/>
              </w:numPr>
              <w:spacing w:before="0" w:line="240" w:lineRule="auto"/>
              <w:jc w:val="left"/>
              <w:rPr>
                <w:sz w:val="20"/>
                <w:szCs w:val="20"/>
              </w:rPr>
            </w:pPr>
            <w:r>
              <w:rPr>
                <w:sz w:val="20"/>
                <w:szCs w:val="20"/>
              </w:rPr>
              <w:t>Discuss ecosystem-based knowledge and analyses and their relevance to the Council process, including providing a fora for diverse sources of knowledge</w:t>
            </w:r>
          </w:p>
          <w:p w14:paraId="55C9EB3B" w14:textId="77777777" w:rsidR="005A724B" w:rsidRDefault="005D2FFE">
            <w:pPr>
              <w:widowControl w:val="0"/>
              <w:numPr>
                <w:ilvl w:val="0"/>
                <w:numId w:val="12"/>
              </w:numPr>
              <w:spacing w:before="0" w:line="240" w:lineRule="auto"/>
              <w:jc w:val="left"/>
              <w:rPr>
                <w:sz w:val="20"/>
                <w:szCs w:val="20"/>
              </w:rPr>
            </w:pPr>
            <w:r>
              <w:rPr>
                <w:sz w:val="20"/>
                <w:szCs w:val="20"/>
              </w:rPr>
              <w:t>Led 2018 Ecosystem Workshop (Seattle), which had a key focus of providing a forum for discussion on clima</w:t>
            </w:r>
            <w:r>
              <w:rPr>
                <w:sz w:val="20"/>
                <w:szCs w:val="20"/>
              </w:rPr>
              <w:t xml:space="preserve">te change as it relates to the North Pacific.  This included discussion of the impacts of climate change, management challenges associated with resource changes, key scientific efforts providing tools for dealing with challenges presented by environmental </w:t>
            </w:r>
            <w:r>
              <w:rPr>
                <w:sz w:val="20"/>
                <w:szCs w:val="20"/>
              </w:rPr>
              <w:t>change, and consideration of next steps.</w:t>
            </w:r>
          </w:p>
        </w:tc>
      </w:tr>
      <w:tr w:rsidR="005A724B" w14:paraId="5E85E402" w14:textId="77777777">
        <w:tc>
          <w:tcPr>
            <w:tcW w:w="3900" w:type="dxa"/>
            <w:shd w:val="clear" w:color="auto" w:fill="auto"/>
            <w:tcMar>
              <w:top w:w="100" w:type="dxa"/>
              <w:left w:w="100" w:type="dxa"/>
              <w:bottom w:w="100" w:type="dxa"/>
              <w:right w:w="100" w:type="dxa"/>
            </w:tcMar>
          </w:tcPr>
          <w:p w14:paraId="713531D6" w14:textId="77777777" w:rsidR="005A724B" w:rsidRDefault="005D2FFE">
            <w:pPr>
              <w:widowControl w:val="0"/>
              <w:pBdr>
                <w:top w:val="nil"/>
                <w:left w:val="nil"/>
                <w:bottom w:val="nil"/>
                <w:right w:val="nil"/>
                <w:between w:val="nil"/>
              </w:pBdr>
              <w:spacing w:before="0" w:line="240" w:lineRule="auto"/>
              <w:jc w:val="left"/>
              <w:rPr>
                <w:sz w:val="20"/>
                <w:szCs w:val="20"/>
              </w:rPr>
            </w:pPr>
            <w:r>
              <w:rPr>
                <w:sz w:val="20"/>
                <w:szCs w:val="20"/>
              </w:rPr>
              <w:t>Community Engagement Committee</w:t>
            </w:r>
          </w:p>
        </w:tc>
        <w:tc>
          <w:tcPr>
            <w:tcW w:w="5460" w:type="dxa"/>
            <w:shd w:val="clear" w:color="auto" w:fill="auto"/>
            <w:tcMar>
              <w:top w:w="100" w:type="dxa"/>
              <w:left w:w="100" w:type="dxa"/>
              <w:bottom w:w="100" w:type="dxa"/>
              <w:right w:w="100" w:type="dxa"/>
            </w:tcMar>
          </w:tcPr>
          <w:p w14:paraId="20C5C792" w14:textId="77777777" w:rsidR="005A724B" w:rsidRDefault="005D2FFE">
            <w:pPr>
              <w:widowControl w:val="0"/>
              <w:numPr>
                <w:ilvl w:val="0"/>
                <w:numId w:val="11"/>
              </w:numPr>
              <w:pBdr>
                <w:top w:val="nil"/>
                <w:left w:val="nil"/>
                <w:bottom w:val="nil"/>
                <w:right w:val="nil"/>
                <w:between w:val="nil"/>
              </w:pBdr>
              <w:spacing w:before="0" w:line="240" w:lineRule="auto"/>
              <w:jc w:val="left"/>
              <w:rPr>
                <w:sz w:val="20"/>
                <w:szCs w:val="20"/>
              </w:rPr>
            </w:pPr>
            <w:r>
              <w:rPr>
                <w:sz w:val="20"/>
                <w:szCs w:val="20"/>
              </w:rPr>
              <w:t>CEC Final Report contains a number of recommendations which implemented can increase the flow of diverse sources of climate change information and resilience tools into the Council process</w:t>
            </w:r>
          </w:p>
        </w:tc>
      </w:tr>
      <w:tr w:rsidR="005A724B" w14:paraId="172080AC" w14:textId="77777777">
        <w:tc>
          <w:tcPr>
            <w:tcW w:w="3900" w:type="dxa"/>
            <w:shd w:val="clear" w:color="auto" w:fill="auto"/>
            <w:tcMar>
              <w:top w:w="100" w:type="dxa"/>
              <w:left w:w="100" w:type="dxa"/>
              <w:bottom w:w="100" w:type="dxa"/>
              <w:right w:w="100" w:type="dxa"/>
            </w:tcMar>
          </w:tcPr>
          <w:p w14:paraId="518914DD" w14:textId="77777777" w:rsidR="005A724B" w:rsidRDefault="005D2FFE">
            <w:pPr>
              <w:widowControl w:val="0"/>
              <w:pBdr>
                <w:top w:val="nil"/>
                <w:left w:val="nil"/>
                <w:bottom w:val="nil"/>
                <w:right w:val="nil"/>
                <w:between w:val="nil"/>
              </w:pBdr>
              <w:spacing w:before="0" w:line="240" w:lineRule="auto"/>
              <w:jc w:val="left"/>
              <w:rPr>
                <w:sz w:val="20"/>
                <w:szCs w:val="20"/>
              </w:rPr>
            </w:pPr>
            <w:r>
              <w:rPr>
                <w:sz w:val="20"/>
                <w:szCs w:val="20"/>
              </w:rPr>
              <w:t>Bering Sea Fishery Ecosystem Plan Team</w:t>
            </w:r>
          </w:p>
        </w:tc>
        <w:tc>
          <w:tcPr>
            <w:tcW w:w="5460" w:type="dxa"/>
            <w:shd w:val="clear" w:color="auto" w:fill="auto"/>
            <w:tcMar>
              <w:top w:w="100" w:type="dxa"/>
              <w:left w:w="100" w:type="dxa"/>
              <w:bottom w:w="100" w:type="dxa"/>
              <w:right w:w="100" w:type="dxa"/>
            </w:tcMar>
          </w:tcPr>
          <w:p w14:paraId="12F250F5" w14:textId="77777777" w:rsidR="005A724B" w:rsidRDefault="005D2FFE">
            <w:pPr>
              <w:widowControl w:val="0"/>
              <w:numPr>
                <w:ilvl w:val="0"/>
                <w:numId w:val="27"/>
              </w:numPr>
              <w:spacing w:before="0" w:line="240" w:lineRule="auto"/>
              <w:jc w:val="left"/>
              <w:rPr>
                <w:sz w:val="20"/>
                <w:szCs w:val="20"/>
              </w:rPr>
            </w:pPr>
            <w:r>
              <w:rPr>
                <w:sz w:val="20"/>
                <w:szCs w:val="20"/>
              </w:rPr>
              <w:t>Plan Team and Taskforces (see below) potentially increase pathways for climate-ready knowledge and strategies into the management process.</w:t>
            </w:r>
          </w:p>
          <w:p w14:paraId="75188557" w14:textId="77777777" w:rsidR="005A724B" w:rsidRDefault="005D2FFE">
            <w:pPr>
              <w:widowControl w:val="0"/>
              <w:numPr>
                <w:ilvl w:val="0"/>
                <w:numId w:val="27"/>
              </w:numPr>
              <w:spacing w:before="0" w:line="240" w:lineRule="auto"/>
              <w:jc w:val="left"/>
              <w:rPr>
                <w:sz w:val="20"/>
                <w:szCs w:val="20"/>
              </w:rPr>
            </w:pPr>
            <w:r>
              <w:rPr>
                <w:sz w:val="20"/>
                <w:szCs w:val="20"/>
              </w:rPr>
              <w:t>Local Knowledge Traditional Knowledge and Subsistence Taskforce created, which is developing protocols which will, am</w:t>
            </w:r>
            <w:r>
              <w:rPr>
                <w:sz w:val="20"/>
                <w:szCs w:val="20"/>
              </w:rPr>
              <w:t>ong other things, increase pathways for climate-ready knowledge to feed more directly into the NPFMC process.</w:t>
            </w:r>
          </w:p>
          <w:p w14:paraId="48C05F9A" w14:textId="77777777" w:rsidR="005A724B" w:rsidRDefault="005D2FFE">
            <w:pPr>
              <w:widowControl w:val="0"/>
              <w:numPr>
                <w:ilvl w:val="0"/>
                <w:numId w:val="27"/>
              </w:numPr>
              <w:pBdr>
                <w:top w:val="nil"/>
                <w:left w:val="nil"/>
                <w:bottom w:val="nil"/>
                <w:right w:val="nil"/>
                <w:between w:val="nil"/>
              </w:pBdr>
              <w:spacing w:before="0" w:line="240" w:lineRule="auto"/>
              <w:jc w:val="left"/>
              <w:rPr>
                <w:sz w:val="20"/>
                <w:szCs w:val="20"/>
              </w:rPr>
            </w:pPr>
            <w:r>
              <w:rPr>
                <w:sz w:val="20"/>
                <w:szCs w:val="20"/>
              </w:rPr>
              <w:t>Climate Change Taskforce created which evaluates the vulnerability of key species and fisheries to climate change, and strengthens resilience in f</w:t>
            </w:r>
            <w:r>
              <w:rPr>
                <w:sz w:val="20"/>
                <w:szCs w:val="20"/>
              </w:rPr>
              <w:t xml:space="preserve">ederal fisheries management. </w:t>
            </w:r>
          </w:p>
        </w:tc>
      </w:tr>
      <w:tr w:rsidR="005A724B" w14:paraId="3EC9E283" w14:textId="77777777">
        <w:tc>
          <w:tcPr>
            <w:tcW w:w="3900" w:type="dxa"/>
            <w:shd w:val="clear" w:color="auto" w:fill="auto"/>
            <w:tcMar>
              <w:top w:w="100" w:type="dxa"/>
              <w:left w:w="100" w:type="dxa"/>
              <w:bottom w:w="100" w:type="dxa"/>
              <w:right w:w="100" w:type="dxa"/>
            </w:tcMar>
          </w:tcPr>
          <w:p w14:paraId="54F50546" w14:textId="77777777" w:rsidR="005A724B" w:rsidRDefault="005D2FFE">
            <w:pPr>
              <w:widowControl w:val="0"/>
              <w:spacing w:before="0" w:line="240" w:lineRule="auto"/>
              <w:jc w:val="left"/>
              <w:rPr>
                <w:sz w:val="20"/>
                <w:szCs w:val="20"/>
              </w:rPr>
            </w:pPr>
            <w:r>
              <w:rPr>
                <w:sz w:val="20"/>
                <w:szCs w:val="20"/>
              </w:rPr>
              <w:t>Social Science Plan Team</w:t>
            </w:r>
          </w:p>
        </w:tc>
        <w:tc>
          <w:tcPr>
            <w:tcW w:w="5460" w:type="dxa"/>
            <w:shd w:val="clear" w:color="auto" w:fill="auto"/>
            <w:tcMar>
              <w:top w:w="100" w:type="dxa"/>
              <w:left w:w="100" w:type="dxa"/>
              <w:bottom w:w="100" w:type="dxa"/>
              <w:right w:w="100" w:type="dxa"/>
            </w:tcMar>
          </w:tcPr>
          <w:p w14:paraId="56D83082" w14:textId="77777777" w:rsidR="005A724B" w:rsidRDefault="005A724B">
            <w:pPr>
              <w:widowControl w:val="0"/>
              <w:spacing w:before="0" w:line="240" w:lineRule="auto"/>
              <w:ind w:left="720" w:hanging="360"/>
              <w:jc w:val="left"/>
              <w:rPr>
                <w:sz w:val="20"/>
                <w:szCs w:val="20"/>
                <w:highlight w:val="red"/>
              </w:rPr>
            </w:pPr>
          </w:p>
        </w:tc>
      </w:tr>
      <w:tr w:rsidR="005A724B" w14:paraId="7B3D7C9E" w14:textId="77777777">
        <w:tc>
          <w:tcPr>
            <w:tcW w:w="3900" w:type="dxa"/>
            <w:shd w:val="clear" w:color="auto" w:fill="auto"/>
            <w:tcMar>
              <w:top w:w="100" w:type="dxa"/>
              <w:left w:w="100" w:type="dxa"/>
              <w:bottom w:w="100" w:type="dxa"/>
              <w:right w:w="100" w:type="dxa"/>
            </w:tcMar>
          </w:tcPr>
          <w:p w14:paraId="62039C05" w14:textId="77777777" w:rsidR="005A724B" w:rsidRDefault="005D2FFE">
            <w:pPr>
              <w:widowControl w:val="0"/>
              <w:spacing w:before="0" w:line="240" w:lineRule="auto"/>
              <w:jc w:val="left"/>
              <w:rPr>
                <w:sz w:val="20"/>
                <w:szCs w:val="20"/>
              </w:rPr>
            </w:pPr>
            <w:r>
              <w:rPr>
                <w:sz w:val="20"/>
                <w:szCs w:val="20"/>
              </w:rPr>
              <w:t>Cab Plan Team</w:t>
            </w:r>
          </w:p>
        </w:tc>
        <w:tc>
          <w:tcPr>
            <w:tcW w:w="5460" w:type="dxa"/>
            <w:shd w:val="clear" w:color="auto" w:fill="auto"/>
            <w:tcMar>
              <w:top w:w="100" w:type="dxa"/>
              <w:left w:w="100" w:type="dxa"/>
              <w:bottom w:w="100" w:type="dxa"/>
              <w:right w:w="100" w:type="dxa"/>
            </w:tcMar>
          </w:tcPr>
          <w:p w14:paraId="3F856341" w14:textId="77777777" w:rsidR="005A724B" w:rsidRDefault="005A724B">
            <w:pPr>
              <w:widowControl w:val="0"/>
              <w:spacing w:before="0" w:line="240" w:lineRule="auto"/>
              <w:jc w:val="left"/>
              <w:rPr>
                <w:sz w:val="20"/>
                <w:szCs w:val="20"/>
              </w:rPr>
            </w:pPr>
          </w:p>
        </w:tc>
      </w:tr>
    </w:tbl>
    <w:p w14:paraId="00E2A899" w14:textId="77777777" w:rsidR="005A724B" w:rsidRDefault="005A724B">
      <w:pPr>
        <w:rPr>
          <w:i/>
          <w:color w:val="0B5394"/>
          <w:sz w:val="24"/>
          <w:szCs w:val="24"/>
        </w:rPr>
      </w:pPr>
    </w:p>
    <w:p w14:paraId="126A97FA" w14:textId="77777777" w:rsidR="005A724B" w:rsidRDefault="005D2FFE">
      <w:pPr>
        <w:rPr>
          <w:i/>
          <w:color w:val="666666"/>
          <w:sz w:val="24"/>
          <w:szCs w:val="24"/>
        </w:rPr>
      </w:pPr>
      <w:r>
        <w:rPr>
          <w:i/>
          <w:color w:val="666666"/>
          <w:sz w:val="24"/>
          <w:szCs w:val="24"/>
        </w:rPr>
        <w:lastRenderedPageBreak/>
        <w:t>NMFS: Introduction</w:t>
      </w:r>
    </w:p>
    <w:p w14:paraId="1E55139C" w14:textId="77777777" w:rsidR="005A724B" w:rsidRDefault="005D2FFE">
      <w:r>
        <w:t>[Section still in development]</w:t>
      </w:r>
    </w:p>
    <w:p w14:paraId="40DE1915" w14:textId="77777777" w:rsidR="005A724B" w:rsidRDefault="005D2FFE">
      <w:pPr>
        <w:rPr>
          <w:rFonts w:ascii="Times New Roman" w:eastAsia="Times New Roman" w:hAnsi="Times New Roman" w:cs="Times New Roman"/>
        </w:rPr>
      </w:pPr>
      <w:r>
        <w:t>K</w:t>
      </w:r>
      <w:r>
        <w:t>nowledge which pertains to climate resilience and adaptation is summarized at the agency level in three categories: work at the Alaska Fisheries Science Center (AFSC), knowledge from co-management activities, and other work in the NMFS.</w:t>
      </w:r>
    </w:p>
    <w:p w14:paraId="23750ED0" w14:textId="77777777" w:rsidR="005A724B" w:rsidRDefault="005D2FFE">
      <w:pPr>
        <w:pStyle w:val="Heading6"/>
        <w:spacing w:after="240"/>
        <w:rPr>
          <w:sz w:val="24"/>
          <w:szCs w:val="24"/>
        </w:rPr>
      </w:pPr>
      <w:bookmarkStart w:id="79" w:name="_s9z492x60x4w" w:colFirst="0" w:colLast="0"/>
      <w:bookmarkEnd w:id="79"/>
      <w:r>
        <w:rPr>
          <w:sz w:val="24"/>
          <w:szCs w:val="24"/>
        </w:rPr>
        <w:t>NMFS: AFSC</w:t>
      </w:r>
    </w:p>
    <w:p w14:paraId="5CC60AFE" w14:textId="77777777" w:rsidR="005A724B" w:rsidRDefault="005D2FFE">
      <w:pPr>
        <w:numPr>
          <w:ilvl w:val="0"/>
          <w:numId w:val="18"/>
        </w:numPr>
        <w:spacing w:after="240"/>
        <w:rPr>
          <w:rFonts w:ascii="Times New Roman" w:eastAsia="Times New Roman" w:hAnsi="Times New Roman" w:cs="Times New Roman"/>
        </w:rPr>
      </w:pPr>
      <w:r>
        <w:rPr>
          <w:rFonts w:ascii="Times New Roman" w:eastAsia="Times New Roman" w:hAnsi="Times New Roman" w:cs="Times New Roman"/>
        </w:rPr>
        <w:t xml:space="preserve">Climate </w:t>
      </w:r>
      <w:r>
        <w:rPr>
          <w:rFonts w:ascii="Times New Roman" w:eastAsia="Times New Roman" w:hAnsi="Times New Roman" w:cs="Times New Roman"/>
        </w:rPr>
        <w:t>Fisheries Initiative</w:t>
      </w:r>
    </w:p>
    <w:p w14:paraId="34A08C6A" w14:textId="77777777" w:rsidR="005A724B" w:rsidRDefault="005D2FFE">
      <w:pPr>
        <w:numPr>
          <w:ilvl w:val="0"/>
          <w:numId w:val="18"/>
        </w:numPr>
        <w:spacing w:after="240"/>
        <w:rPr>
          <w:rFonts w:ascii="Times New Roman" w:eastAsia="Times New Roman" w:hAnsi="Times New Roman" w:cs="Times New Roman"/>
        </w:rPr>
      </w:pPr>
      <w:r>
        <w:rPr>
          <w:rFonts w:ascii="Times New Roman" w:eastAsia="Times New Roman" w:hAnsi="Times New Roman" w:cs="Times New Roman"/>
        </w:rPr>
        <w:t>Climate Science RAPs</w:t>
      </w:r>
    </w:p>
    <w:p w14:paraId="0E3785B1" w14:textId="77777777" w:rsidR="005A724B" w:rsidRDefault="005D2FFE">
      <w:pPr>
        <w:numPr>
          <w:ilvl w:val="0"/>
          <w:numId w:val="18"/>
        </w:numPr>
        <w:spacing w:after="240"/>
        <w:rPr>
          <w:rFonts w:ascii="Times New Roman" w:eastAsia="Times New Roman" w:hAnsi="Times New Roman" w:cs="Times New Roman"/>
        </w:rPr>
      </w:pPr>
      <w:r>
        <w:rPr>
          <w:rFonts w:ascii="Times New Roman" w:eastAsia="Times New Roman" w:hAnsi="Times New Roman" w:cs="Times New Roman"/>
        </w:rPr>
        <w:t>ACLIM, GOA-CLIM</w:t>
      </w:r>
    </w:p>
    <w:p w14:paraId="0310A036" w14:textId="77777777" w:rsidR="005A724B" w:rsidRDefault="005D2FFE">
      <w:pPr>
        <w:numPr>
          <w:ilvl w:val="0"/>
          <w:numId w:val="18"/>
        </w:numPr>
        <w:spacing w:after="240"/>
        <w:rPr>
          <w:rFonts w:ascii="Times New Roman" w:eastAsia="Times New Roman" w:hAnsi="Times New Roman" w:cs="Times New Roman"/>
        </w:rPr>
      </w:pPr>
      <w:r>
        <w:rPr>
          <w:rFonts w:ascii="Times New Roman" w:eastAsia="Times New Roman" w:hAnsi="Times New Roman" w:cs="Times New Roman"/>
        </w:rPr>
        <w:t>AFSC Social Science work pertinent to climate</w:t>
      </w:r>
    </w:p>
    <w:p w14:paraId="2FDEE0FB" w14:textId="77777777" w:rsidR="005A724B" w:rsidRDefault="005D2FFE">
      <w:pPr>
        <w:numPr>
          <w:ilvl w:val="0"/>
          <w:numId w:val="18"/>
        </w:numPr>
        <w:spacing w:after="240"/>
        <w:rPr>
          <w:rFonts w:ascii="Times New Roman" w:eastAsia="Times New Roman" w:hAnsi="Times New Roman" w:cs="Times New Roman"/>
        </w:rPr>
      </w:pPr>
      <w:r>
        <w:rPr>
          <w:rFonts w:ascii="Times New Roman" w:eastAsia="Times New Roman" w:hAnsi="Times New Roman" w:cs="Times New Roman"/>
        </w:rPr>
        <w:t>ESRs</w:t>
      </w:r>
    </w:p>
    <w:p w14:paraId="1469BADB" w14:textId="77777777" w:rsidR="005A724B" w:rsidRDefault="005A724B">
      <w:pPr>
        <w:pStyle w:val="Heading6"/>
        <w:spacing w:after="240"/>
        <w:rPr>
          <w:sz w:val="24"/>
          <w:szCs w:val="24"/>
        </w:rPr>
      </w:pPr>
      <w:bookmarkStart w:id="80" w:name="_8efge1hf2tl9" w:colFirst="0" w:colLast="0"/>
      <w:bookmarkEnd w:id="80"/>
    </w:p>
    <w:p w14:paraId="37321A7B" w14:textId="77777777" w:rsidR="005A724B" w:rsidRDefault="005D2FFE">
      <w:pPr>
        <w:pStyle w:val="Heading6"/>
        <w:spacing w:after="240"/>
        <w:rPr>
          <w:sz w:val="24"/>
          <w:szCs w:val="24"/>
        </w:rPr>
      </w:pPr>
      <w:bookmarkStart w:id="81" w:name="_imd3y2b706g4" w:colFirst="0" w:colLast="0"/>
      <w:bookmarkEnd w:id="81"/>
      <w:r>
        <w:rPr>
          <w:sz w:val="24"/>
          <w:szCs w:val="24"/>
        </w:rPr>
        <w:t xml:space="preserve">(NMFS: </w:t>
      </w:r>
      <w:r>
        <w:rPr>
          <w:sz w:val="24"/>
          <w:szCs w:val="24"/>
        </w:rPr>
        <w:t>Knowledge from co-management activities are discussed above in 3.1.1)</w:t>
      </w:r>
    </w:p>
    <w:p w14:paraId="182EBFFF" w14:textId="77777777" w:rsidR="005A724B" w:rsidRDefault="005A724B">
      <w:pPr>
        <w:pStyle w:val="Heading6"/>
        <w:spacing w:after="240"/>
        <w:rPr>
          <w:sz w:val="24"/>
          <w:szCs w:val="24"/>
        </w:rPr>
      </w:pPr>
      <w:bookmarkStart w:id="82" w:name="_aviyc7cit5fl" w:colFirst="0" w:colLast="0"/>
      <w:bookmarkEnd w:id="82"/>
    </w:p>
    <w:p w14:paraId="54884EE9" w14:textId="77777777" w:rsidR="005A724B" w:rsidRDefault="005D2FFE">
      <w:pPr>
        <w:pStyle w:val="Heading6"/>
        <w:spacing w:after="240"/>
      </w:pPr>
      <w:bookmarkStart w:id="83" w:name="_9v81s24i9dv5" w:colFirst="0" w:colLast="0"/>
      <w:bookmarkEnd w:id="83"/>
      <w:r>
        <w:rPr>
          <w:sz w:val="24"/>
          <w:szCs w:val="24"/>
        </w:rPr>
        <w:t>NMFS: Other (surveys, monitoring, etc.)</w:t>
      </w:r>
    </w:p>
    <w:p w14:paraId="0C48201B" w14:textId="77777777" w:rsidR="005A724B" w:rsidRDefault="005A724B">
      <w:pPr>
        <w:pStyle w:val="Heading3"/>
        <w:jc w:val="left"/>
      </w:pPr>
      <w:bookmarkStart w:id="84" w:name="_6qypmseduhf" w:colFirst="0" w:colLast="0"/>
      <w:bookmarkEnd w:id="84"/>
    </w:p>
    <w:p w14:paraId="46046F05" w14:textId="77777777" w:rsidR="005A724B" w:rsidRDefault="005D2FFE">
      <w:pPr>
        <w:pStyle w:val="Heading3"/>
        <w:jc w:val="left"/>
      </w:pPr>
      <w:bookmarkStart w:id="85" w:name="_h3gwv2y7s0ms" w:colFirst="0" w:colLast="0"/>
      <w:bookmarkEnd w:id="85"/>
      <w:r>
        <w:t>3.2: Gaps and next steps: knowledge base elements and activities which can potentially be brought into the existing management system in the nea</w:t>
      </w:r>
      <w:r>
        <w:t>r-term</w:t>
      </w:r>
    </w:p>
    <w:p w14:paraId="3323EA09" w14:textId="77777777" w:rsidR="005A724B" w:rsidRDefault="005D2FFE">
      <w:pPr>
        <w:spacing w:after="240"/>
        <w:rPr>
          <w:rFonts w:ascii="Times New Roman" w:eastAsia="Times New Roman" w:hAnsi="Times New Roman" w:cs="Times New Roman"/>
        </w:rPr>
      </w:pPr>
      <w:r>
        <w:rPr>
          <w:rFonts w:ascii="Times New Roman" w:eastAsia="Times New Roman" w:hAnsi="Times New Roman" w:cs="Times New Roman"/>
        </w:rPr>
        <w:t xml:space="preserve">The discussion above implicitly identifies areas of several large knowledge bases in the wider Bering Sea management system (conceived in a broad sense, beyond just the NPFMC/NMFS management system) which are not taken up into the NPFMC/NMFS system </w:t>
      </w:r>
      <w:r>
        <w:rPr>
          <w:rFonts w:ascii="Times New Roman" w:eastAsia="Times New Roman" w:hAnsi="Times New Roman" w:cs="Times New Roman"/>
        </w:rPr>
        <w:t>but could be.  These include elements largely or entirely outside the current federal fishery management system (e.g. the knowledge base underlying Indigenous marine stewardship practices) or elements within the current system which are not yet fully imple</w:t>
      </w:r>
      <w:r>
        <w:rPr>
          <w:rFonts w:ascii="Times New Roman" w:eastAsia="Times New Roman" w:hAnsi="Times New Roman" w:cs="Times New Roman"/>
        </w:rPr>
        <w:t>mented (e.g. full implementation of climate change-relevant Community Engagement Committee recommendations). More specifically, this subsection focuses on some potential elements and activities which could be brought into the existing NMFS/NPFMC management</w:t>
      </w:r>
      <w:r>
        <w:rPr>
          <w:rFonts w:ascii="Times New Roman" w:eastAsia="Times New Roman" w:hAnsi="Times New Roman" w:cs="Times New Roman"/>
        </w:rPr>
        <w:t xml:space="preserve"> system in the near-term to help support climate readiness.</w:t>
      </w:r>
    </w:p>
    <w:p w14:paraId="03D61F3C" w14:textId="77777777" w:rsidR="005A724B" w:rsidRDefault="005D2FFE">
      <w:pPr>
        <w:spacing w:after="240"/>
        <w:rPr>
          <w:rFonts w:ascii="Times New Roman" w:eastAsia="Times New Roman" w:hAnsi="Times New Roman" w:cs="Times New Roman"/>
        </w:rPr>
      </w:pPr>
      <w:r>
        <w:rPr>
          <w:rFonts w:ascii="Times New Roman" w:eastAsia="Times New Roman" w:hAnsi="Times New Roman" w:cs="Times New Roman"/>
        </w:rPr>
        <w:t>Potential near-term next steps in this regard as indicated by the discussion above include the following:</w:t>
      </w:r>
    </w:p>
    <w:p w14:paraId="4878EA9B" w14:textId="77777777" w:rsidR="005A724B" w:rsidRDefault="005D2FFE">
      <w:pPr>
        <w:numPr>
          <w:ilvl w:val="0"/>
          <w:numId w:val="4"/>
        </w:numPr>
        <w:rPr>
          <w:rFonts w:ascii="Times New Roman" w:eastAsia="Times New Roman" w:hAnsi="Times New Roman" w:cs="Times New Roman"/>
        </w:rPr>
      </w:pPr>
      <w:r>
        <w:rPr>
          <w:rFonts w:ascii="Times New Roman" w:eastAsia="Times New Roman" w:hAnsi="Times New Roman" w:cs="Times New Roman"/>
        </w:rPr>
        <w:lastRenderedPageBreak/>
        <w:t>Test mechanisms within the CCTF, e.g. Climate Briefings or Ecosystem Matrix tool, for brin</w:t>
      </w:r>
      <w:r>
        <w:rPr>
          <w:rFonts w:ascii="Times New Roman" w:eastAsia="Times New Roman" w:hAnsi="Times New Roman" w:cs="Times New Roman"/>
        </w:rPr>
        <w:t>ging diverse knowledge sources related to climate change into the Council process</w:t>
      </w:r>
    </w:p>
    <w:p w14:paraId="61CD23C8"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Finalize and implement LKTKS Taskforce protocol regarding incorporation of LK, TK, and subsistence information into the Council process</w:t>
      </w:r>
    </w:p>
    <w:p w14:paraId="15E2A9F1"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Begin evaluation of whether Programmat</w:t>
      </w:r>
      <w:r>
        <w:rPr>
          <w:rFonts w:ascii="Times New Roman" w:eastAsia="Times New Roman" w:hAnsi="Times New Roman" w:cs="Times New Roman"/>
        </w:rPr>
        <w:t>ic EIS and information underlying it is sufficient and up-to-date in light of climate change, as discussed at the March 2022 meeting of the Ecosystem Committee</w:t>
      </w:r>
    </w:p>
    <w:p w14:paraId="339E46D0"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Begin scoping for a Gulf of Alaska Fishery Ecosystem Plan, as discussed at the March 2022 meetin</w:t>
      </w:r>
      <w:r>
        <w:rPr>
          <w:rFonts w:ascii="Times New Roman" w:eastAsia="Times New Roman" w:hAnsi="Times New Roman" w:cs="Times New Roman"/>
        </w:rPr>
        <w:t>g of the Ecosystem Committee</w:t>
      </w:r>
    </w:p>
    <w:p w14:paraId="5A0F5F3F"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Increased development and implementation of EBFM tools across Council processes</w:t>
      </w:r>
    </w:p>
    <w:p w14:paraId="1AC5CAE2"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Work on marine planning and protections that are equitable and inclusive of a diverse set of communities, people, knowledges, methodologies, and va</w:t>
      </w:r>
      <w:r>
        <w:rPr>
          <w:rFonts w:ascii="Times New Roman" w:eastAsia="Times New Roman" w:hAnsi="Times New Roman" w:cs="Times New Roman"/>
        </w:rPr>
        <w:t>lues</w:t>
      </w:r>
    </w:p>
    <w:p w14:paraId="3104EF28" w14:textId="77777777" w:rsidR="005A724B" w:rsidRDefault="005D2FFE">
      <w:pPr>
        <w:numPr>
          <w:ilvl w:val="0"/>
          <w:numId w:val="4"/>
        </w:numPr>
        <w:spacing w:before="0"/>
        <w:rPr>
          <w:rFonts w:ascii="Times New Roman" w:eastAsia="Times New Roman" w:hAnsi="Times New Roman" w:cs="Times New Roman"/>
        </w:rPr>
      </w:pPr>
      <w:r>
        <w:rPr>
          <w:rFonts w:ascii="Times New Roman" w:eastAsia="Times New Roman" w:hAnsi="Times New Roman" w:cs="Times New Roman"/>
        </w:rPr>
        <w:t>Implement a number of the CEC Final Report recommendations which could increase the flow of diverse sources of climate change information (including resilience tools) into the Council process.  This includes:</w:t>
      </w:r>
    </w:p>
    <w:p w14:paraId="2557AE12"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Co-presentation from Tribal representative</w:t>
      </w:r>
      <w:r>
        <w:rPr>
          <w:rFonts w:ascii="Times New Roman" w:eastAsia="Times New Roman" w:hAnsi="Times New Roman" w:cs="Times New Roman"/>
        </w:rPr>
        <w:t>s on all agenda items</w:t>
      </w:r>
    </w:p>
    <w:p w14:paraId="2FBDA887"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 xml:space="preserve">Standing Community Engagement or Tribal Advisory Committee </w:t>
      </w:r>
    </w:p>
    <w:p w14:paraId="19F72188"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Increase the input of Tribal Consultation activities into the Council process</w:t>
      </w:r>
    </w:p>
    <w:p w14:paraId="38CE13C2"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Council travel to rural communities for Council meetings and visits</w:t>
      </w:r>
    </w:p>
    <w:p w14:paraId="54D8B98A"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Continuation and ongoing imp</w:t>
      </w:r>
      <w:r>
        <w:rPr>
          <w:rFonts w:ascii="Times New Roman" w:eastAsia="Times New Roman" w:hAnsi="Times New Roman" w:cs="Times New Roman"/>
        </w:rPr>
        <w:t>rovement of current outreach practices to foster two-way engagement</w:t>
      </w:r>
    </w:p>
    <w:p w14:paraId="1952C897"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Taking steps towards Co-Production of Knowledge</w:t>
      </w:r>
    </w:p>
    <w:p w14:paraId="17E5FA16"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Increased capacity at AFSC in the non-economic social sciences, particularly as regards expertise working with Alaska Native communities and their knowledge</w:t>
      </w:r>
    </w:p>
    <w:p w14:paraId="6CB7DE6E" w14:textId="77777777" w:rsidR="005A724B" w:rsidRDefault="005D2FFE">
      <w:pPr>
        <w:numPr>
          <w:ilvl w:val="1"/>
          <w:numId w:val="4"/>
        </w:numPr>
        <w:spacing w:before="0"/>
        <w:rPr>
          <w:rFonts w:ascii="Times New Roman" w:eastAsia="Times New Roman" w:hAnsi="Times New Roman" w:cs="Times New Roman"/>
        </w:rPr>
      </w:pPr>
      <w:r>
        <w:rPr>
          <w:rFonts w:ascii="Times New Roman" w:eastAsia="Times New Roman" w:hAnsi="Times New Roman" w:cs="Times New Roman"/>
        </w:rPr>
        <w:t>Increased Indigenous inclusion on Council advisory and working bodies</w:t>
      </w:r>
    </w:p>
    <w:p w14:paraId="64DD03E4" w14:textId="77777777" w:rsidR="005A724B" w:rsidRDefault="005D2FFE">
      <w:pPr>
        <w:numPr>
          <w:ilvl w:val="0"/>
          <w:numId w:val="4"/>
        </w:numPr>
        <w:spacing w:before="0" w:after="240"/>
        <w:rPr>
          <w:rFonts w:ascii="Times New Roman" w:eastAsia="Times New Roman" w:hAnsi="Times New Roman" w:cs="Times New Roman"/>
        </w:rPr>
      </w:pPr>
      <w:r>
        <w:rPr>
          <w:rFonts w:ascii="Times New Roman" w:eastAsia="Times New Roman" w:hAnsi="Times New Roman" w:cs="Times New Roman"/>
        </w:rPr>
        <w:t>Increased uptake of broader c</w:t>
      </w:r>
      <w:r>
        <w:rPr>
          <w:rFonts w:ascii="Times New Roman" w:eastAsia="Times New Roman" w:hAnsi="Times New Roman" w:cs="Times New Roman"/>
        </w:rPr>
        <w:t>limate change knowledge base not, or not fully, integrated into the Council process through additional steps not indicated above in other bullets, e.g. through exploring collaborations, partnerships and co-production.</w:t>
      </w:r>
    </w:p>
    <w:p w14:paraId="0DEB2B41" w14:textId="77777777" w:rsidR="005A724B" w:rsidRDefault="005A724B">
      <w:pPr>
        <w:pStyle w:val="Heading2"/>
      </w:pPr>
      <w:bookmarkStart w:id="86" w:name="_10nkw1hgw0oz" w:colFirst="0" w:colLast="0"/>
      <w:bookmarkEnd w:id="86"/>
    </w:p>
    <w:p w14:paraId="11E725E5" w14:textId="77777777" w:rsidR="005A724B" w:rsidRDefault="005D2FFE">
      <w:pPr>
        <w:pStyle w:val="Heading2"/>
      </w:pPr>
      <w:bookmarkStart w:id="87" w:name="_v3lzp2ytkwtp" w:colFirst="0" w:colLast="0"/>
      <w:bookmarkEnd w:id="87"/>
      <w:r>
        <w:t>References</w:t>
      </w:r>
    </w:p>
    <w:p w14:paraId="6BA58E64" w14:textId="77777777" w:rsidR="005A724B" w:rsidRDefault="005D2FFE">
      <w:r>
        <w:t>Aronson, R. (2013) Adaptin</w:t>
      </w:r>
      <w:r>
        <w:t>g to Climate Change in Unalakleet, Alaska. MA Thesis.  University of Washington, School of Marine and Environmental Affairs.</w:t>
      </w:r>
    </w:p>
    <w:p w14:paraId="4954881D" w14:textId="77777777" w:rsidR="005A724B" w:rsidRDefault="005D2FFE">
      <w:proofErr w:type="spellStart"/>
      <w:r>
        <w:t>Berkes</w:t>
      </w:r>
      <w:proofErr w:type="spellEnd"/>
      <w:r>
        <w:t xml:space="preserve">, F. (2002) “Epilogue: Making Sense of Arctic Environmental Change” in </w:t>
      </w:r>
      <w:proofErr w:type="spellStart"/>
      <w:r>
        <w:t>Krupnik</w:t>
      </w:r>
      <w:proofErr w:type="spellEnd"/>
      <w:r>
        <w:t>, I. and D. Jolly (eds.) (2002) The Earth is Faster Now: Indigenous Observations of Arctic Environmental Change. Arctic Research Consortium of the United States.  Pp. 335-3</w:t>
      </w:r>
      <w:r>
        <w:t>49.</w:t>
      </w:r>
    </w:p>
    <w:p w14:paraId="4AF6AF0E" w14:textId="77777777" w:rsidR="005A724B" w:rsidRDefault="005D2FFE">
      <w:r>
        <w:t xml:space="preserve">Brinkman, T.J., W.D. Hansen, F. Stuart Chapin III, G. </w:t>
      </w:r>
      <w:proofErr w:type="spellStart"/>
      <w:r>
        <w:t>Kofinas</w:t>
      </w:r>
      <w:proofErr w:type="spellEnd"/>
      <w:r>
        <w:t xml:space="preserve">, S. </w:t>
      </w:r>
      <w:proofErr w:type="spellStart"/>
      <w:r>
        <w:t>BurnSilver</w:t>
      </w:r>
      <w:proofErr w:type="spellEnd"/>
      <w:r>
        <w:t>, T. Scott Rupp (2016) “Arctic communities perceive climate impacts on access as a critical challenge to availability of subsistence resources” in Climatic Change 139:413-427.</w:t>
      </w:r>
    </w:p>
    <w:p w14:paraId="74A682DA" w14:textId="77777777" w:rsidR="005A724B" w:rsidRDefault="005D2FFE">
      <w:r>
        <w:lastRenderedPageBreak/>
        <w:t xml:space="preserve">Carothers, C., J. Black, S. J. Langdon, R. </w:t>
      </w:r>
      <w:proofErr w:type="spellStart"/>
      <w:r>
        <w:t>Donkersloot</w:t>
      </w:r>
      <w:proofErr w:type="spellEnd"/>
      <w:r>
        <w:t xml:space="preserve">, D. Ringer, J. Coleman, E. R. </w:t>
      </w:r>
      <w:proofErr w:type="spellStart"/>
      <w:r>
        <w:t>Gavenus</w:t>
      </w:r>
      <w:proofErr w:type="spellEnd"/>
      <w:r>
        <w:t>, W. Justin, M. Williams, F. Christiansen, C. Stevens, B. Woods, S. Clark, P. M. Clay, L. Mack, J. Raymond-</w:t>
      </w:r>
      <w:proofErr w:type="spellStart"/>
      <w:r>
        <w:t>Yakoubian</w:t>
      </w:r>
      <w:proofErr w:type="spellEnd"/>
      <w:r>
        <w:t xml:space="preserve">, A. </w:t>
      </w:r>
      <w:proofErr w:type="spellStart"/>
      <w:r>
        <w:t>Akall'eq</w:t>
      </w:r>
      <w:proofErr w:type="spellEnd"/>
      <w:r>
        <w:t xml:space="preserve"> Sanders, B. L. Stevens, and A. Whi</w:t>
      </w:r>
      <w:r>
        <w:t>ting (2021) “Indigenous peoples and salmon stewardship: a critical relationship” in Ecology and Society 26(1):16.</w:t>
      </w:r>
    </w:p>
    <w:p w14:paraId="32F6CC13" w14:textId="77777777" w:rsidR="005A724B" w:rsidRDefault="005D2FFE">
      <w:proofErr w:type="spellStart"/>
      <w:r>
        <w:t>Ellam</w:t>
      </w:r>
      <w:proofErr w:type="spellEnd"/>
      <w:r>
        <w:t xml:space="preserve"> </w:t>
      </w:r>
      <w:proofErr w:type="spellStart"/>
      <w:r>
        <w:t>yua</w:t>
      </w:r>
      <w:proofErr w:type="spellEnd"/>
      <w:r>
        <w:t>, J. Raymond-</w:t>
      </w:r>
      <w:proofErr w:type="spellStart"/>
      <w:r>
        <w:t>Yakoubian</w:t>
      </w:r>
      <w:proofErr w:type="spellEnd"/>
      <w:r>
        <w:t xml:space="preserve">, R.A. Daniel, and C. </w:t>
      </w:r>
      <w:proofErr w:type="spellStart"/>
      <w:r>
        <w:t>Behe</w:t>
      </w:r>
      <w:proofErr w:type="spellEnd"/>
      <w:r>
        <w:t xml:space="preserve"> (2022) “</w:t>
      </w:r>
      <w:proofErr w:type="spellStart"/>
      <w:r>
        <w:t>Negeqlikacaarni</w:t>
      </w:r>
      <w:proofErr w:type="spellEnd"/>
      <w:r>
        <w:t xml:space="preserve"> </w:t>
      </w:r>
      <w:proofErr w:type="spellStart"/>
      <w:r>
        <w:t>kangingnaulriani</w:t>
      </w:r>
      <w:proofErr w:type="spellEnd"/>
      <w:r>
        <w:t xml:space="preserve"> </w:t>
      </w:r>
      <w:proofErr w:type="spellStart"/>
      <w:r>
        <w:t>ayuqenrilnguut</w:t>
      </w:r>
      <w:proofErr w:type="spellEnd"/>
      <w:r>
        <w:t xml:space="preserve"> </w:t>
      </w:r>
      <w:proofErr w:type="spellStart"/>
      <w:r>
        <w:t>piyaraitgun</w:t>
      </w:r>
      <w:proofErr w:type="spellEnd"/>
      <w:r>
        <w:t xml:space="preserve"> </w:t>
      </w:r>
      <w:proofErr w:type="spellStart"/>
      <w:r>
        <w:t>kangingnauryarar</w:t>
      </w:r>
      <w:r>
        <w:t>kat</w:t>
      </w:r>
      <w:proofErr w:type="spellEnd"/>
      <w:r>
        <w:t xml:space="preserve">: a framework for co-production of knowledge in the context of Arctic research” in Ecology and Society 27(1): 34. </w:t>
      </w:r>
    </w:p>
    <w:p w14:paraId="40FFB784" w14:textId="77777777" w:rsidR="005A724B" w:rsidRDefault="005D2FFE">
      <w:r>
        <w:t xml:space="preserve">Fall, J.A., N.S. </w:t>
      </w:r>
      <w:proofErr w:type="spellStart"/>
      <w:r>
        <w:t>Braem</w:t>
      </w:r>
      <w:proofErr w:type="spellEnd"/>
      <w:r>
        <w:t>, C.L. Brown, L.B. Hutchinson-</w:t>
      </w:r>
      <w:proofErr w:type="spellStart"/>
      <w:r>
        <w:t>Scarbrough</w:t>
      </w:r>
      <w:proofErr w:type="spellEnd"/>
      <w:r>
        <w:t xml:space="preserve">, D.S. </w:t>
      </w:r>
      <w:proofErr w:type="spellStart"/>
      <w:r>
        <w:t>Koster</w:t>
      </w:r>
      <w:proofErr w:type="spellEnd"/>
      <w:r>
        <w:t>, T.M. Krieg (2013) “Continuity and change in subsistence harve</w:t>
      </w:r>
      <w:r>
        <w:t xml:space="preserve">sts in five Bering Sea communities: </w:t>
      </w:r>
      <w:proofErr w:type="spellStart"/>
      <w:r>
        <w:t>Akutan</w:t>
      </w:r>
      <w:proofErr w:type="spellEnd"/>
      <w:r>
        <w:t xml:space="preserve">, Emmonak, </w:t>
      </w:r>
      <w:proofErr w:type="spellStart"/>
      <w:r>
        <w:t>Savoonga</w:t>
      </w:r>
      <w:proofErr w:type="spellEnd"/>
      <w:r>
        <w:t xml:space="preserve">, St. Paul, and </w:t>
      </w:r>
      <w:proofErr w:type="spellStart"/>
      <w:r>
        <w:t>Togiak</w:t>
      </w:r>
      <w:proofErr w:type="spellEnd"/>
      <w:r>
        <w:t>” in Deep-Sea Research II 94 (2013): 274-291.</w:t>
      </w:r>
    </w:p>
    <w:p w14:paraId="2D3008CA" w14:textId="77777777" w:rsidR="005A724B" w:rsidRDefault="005D2FFE">
      <w:proofErr w:type="spellStart"/>
      <w:r>
        <w:t>Gadamus</w:t>
      </w:r>
      <w:proofErr w:type="spellEnd"/>
      <w:r>
        <w:t>, L. and J. Raymond-</w:t>
      </w:r>
      <w:proofErr w:type="spellStart"/>
      <w:r>
        <w:t>Yakoubian</w:t>
      </w:r>
      <w:proofErr w:type="spellEnd"/>
      <w:r>
        <w:t xml:space="preserve"> (2015) “A Bering Strait Indigenous Framework for Resource Management: Respectful Seal and </w:t>
      </w:r>
      <w:r>
        <w:t>Walrus Hunting” in Arctic Anthropology 52(2): 87-101.</w:t>
      </w:r>
    </w:p>
    <w:p w14:paraId="26CDEBF3" w14:textId="77777777" w:rsidR="005A724B" w:rsidRDefault="005D2FFE">
      <w:proofErr w:type="spellStart"/>
      <w:r>
        <w:t>Gadamus</w:t>
      </w:r>
      <w:proofErr w:type="spellEnd"/>
      <w:r>
        <w:t>, L., J. Raymond-</w:t>
      </w:r>
      <w:proofErr w:type="spellStart"/>
      <w:r>
        <w:t>Yakoubian</w:t>
      </w:r>
      <w:proofErr w:type="spellEnd"/>
      <w:r>
        <w:t xml:space="preserve">, R. </w:t>
      </w:r>
      <w:proofErr w:type="spellStart"/>
      <w:r>
        <w:t>Ashenfelter</w:t>
      </w:r>
      <w:proofErr w:type="spellEnd"/>
      <w:r>
        <w:t xml:space="preserve">, A. </w:t>
      </w:r>
      <w:proofErr w:type="spellStart"/>
      <w:r>
        <w:t>Ahmasuk</w:t>
      </w:r>
      <w:proofErr w:type="spellEnd"/>
      <w:r>
        <w:t xml:space="preserve">, V. Metcalf, G. </w:t>
      </w:r>
      <w:proofErr w:type="spellStart"/>
      <w:r>
        <w:t>Noongwook</w:t>
      </w:r>
      <w:proofErr w:type="spellEnd"/>
      <w:r>
        <w:t xml:space="preserve"> (2015) “Building an indigenous evidence-base for tribally-led habitat conservation policies” in Marine Policy 62 (</w:t>
      </w:r>
      <w:r>
        <w:t>2015): 116-124.</w:t>
      </w:r>
    </w:p>
    <w:p w14:paraId="44E19674" w14:textId="77777777" w:rsidR="005A724B" w:rsidRDefault="005D2FFE">
      <w:r>
        <w:t xml:space="preserve">Goodman, E. (2000) “Protecting Habitat for Off-Reservation Tribal Hunting and Fishing Rights: Tribal </w:t>
      </w:r>
      <w:proofErr w:type="spellStart"/>
      <w:r>
        <w:t>Comanagement</w:t>
      </w:r>
      <w:proofErr w:type="spellEnd"/>
      <w:r>
        <w:t xml:space="preserve"> as a Reserved Right” 30 Environmental Law 279: 284–85.</w:t>
      </w:r>
    </w:p>
    <w:p w14:paraId="1D55BD6E" w14:textId="77777777" w:rsidR="005A724B" w:rsidRDefault="005D2FFE">
      <w:r>
        <w:t xml:space="preserve">Herman-Mercer, N.M., E. </w:t>
      </w:r>
      <w:proofErr w:type="spellStart"/>
      <w:r>
        <w:t>Matkin</w:t>
      </w:r>
      <w:proofErr w:type="spellEnd"/>
      <w:r>
        <w:t xml:space="preserve">, M.J. </w:t>
      </w:r>
      <w:proofErr w:type="spellStart"/>
      <w:r>
        <w:t>Laituri</w:t>
      </w:r>
      <w:proofErr w:type="spellEnd"/>
      <w:r>
        <w:t>, R.C. Toohey, M. Massey, K</w:t>
      </w:r>
      <w:r>
        <w:t>. Elder, P.F. Schuster, and E.A. Mutter (2016) “Changing times, changing stories: generational differences in climate change perspectives from four remote indigenous communities in Subarctic Alaska” in Ecology and Society 21(3):28.</w:t>
      </w:r>
    </w:p>
    <w:p w14:paraId="7D50DDE7" w14:textId="77777777" w:rsidR="005A724B" w:rsidRDefault="005D2FFE">
      <w:r>
        <w:t xml:space="preserve">Huntington, H.P. and G. </w:t>
      </w:r>
      <w:proofErr w:type="spellStart"/>
      <w:r>
        <w:t>Noongwook</w:t>
      </w:r>
      <w:proofErr w:type="spellEnd"/>
      <w:r>
        <w:t xml:space="preserve"> (2013) Traditional Knowledge and the Arctic Environment: How the experience of indigenous cultures can complement scientific research.  The Pew Charitable Trusts.</w:t>
      </w:r>
    </w:p>
    <w:p w14:paraId="225DE8EC" w14:textId="77777777" w:rsidR="005A724B" w:rsidRDefault="005D2FFE">
      <w:r>
        <w:t xml:space="preserve">Huntington, H.P., L.T. </w:t>
      </w:r>
      <w:proofErr w:type="spellStart"/>
      <w:r>
        <w:t>Quakenbush</w:t>
      </w:r>
      <w:proofErr w:type="spellEnd"/>
      <w:r>
        <w:t xml:space="preserve">, and M. Nelson (2017) “Evaluating the Effects of </w:t>
      </w:r>
      <w:r>
        <w:t>Climate Change on Indigenous Marine Mammal Hunting in Northern and Western Alaska Using Traditional Knowledge” in Frontiers in Marine Science 4:319.</w:t>
      </w:r>
    </w:p>
    <w:p w14:paraId="07BD5EE9" w14:textId="77777777" w:rsidR="005A724B" w:rsidRDefault="005D2FFE">
      <w:r>
        <w:t xml:space="preserve">Huntington, H.P., M. Carey, C. </w:t>
      </w:r>
      <w:proofErr w:type="spellStart"/>
      <w:r>
        <w:t>Apok</w:t>
      </w:r>
      <w:proofErr w:type="spellEnd"/>
      <w:r>
        <w:t xml:space="preserve">, B.C. Forbes, S. Fox, L.K. Holm, A. Ivanova, J. </w:t>
      </w:r>
      <w:proofErr w:type="spellStart"/>
      <w:r>
        <w:t>Jaypoody</w:t>
      </w:r>
      <w:proofErr w:type="spellEnd"/>
      <w:r>
        <w:t xml:space="preserve">, G. </w:t>
      </w:r>
      <w:proofErr w:type="spellStart"/>
      <w:r>
        <w:t>Noongwook</w:t>
      </w:r>
      <w:proofErr w:type="spellEnd"/>
      <w:r>
        <w:t>,</w:t>
      </w:r>
      <w:r>
        <w:t xml:space="preserve"> and F. </w:t>
      </w:r>
      <w:proofErr w:type="spellStart"/>
      <w:r>
        <w:t>Stammler</w:t>
      </w:r>
      <w:proofErr w:type="spellEnd"/>
      <w:r>
        <w:t xml:space="preserve"> (2019) “Climate change in context: putting people first in the Arctic” in Regional Environmental Change.</w:t>
      </w:r>
    </w:p>
    <w:p w14:paraId="06EEB477" w14:textId="77777777" w:rsidR="005A724B" w:rsidRDefault="005D2FFE">
      <w:r>
        <w:t>Huntington, H.P., J. Raymond-</w:t>
      </w:r>
      <w:proofErr w:type="spellStart"/>
      <w:r>
        <w:t>Yakoubian</w:t>
      </w:r>
      <w:proofErr w:type="spellEnd"/>
      <w:r>
        <w:t xml:space="preserve">, G. </w:t>
      </w:r>
      <w:proofErr w:type="spellStart"/>
      <w:r>
        <w:t>Noongwook</w:t>
      </w:r>
      <w:proofErr w:type="spellEnd"/>
      <w:r>
        <w:t xml:space="preserve">, N. Naylor, C. Harris, Q. </w:t>
      </w:r>
      <w:proofErr w:type="spellStart"/>
      <w:r>
        <w:t>Harcharek</w:t>
      </w:r>
      <w:proofErr w:type="spellEnd"/>
      <w:r>
        <w:t>, and B. Adams (2021) ““We Never Get Stuck:” A</w:t>
      </w:r>
      <w:r>
        <w:t xml:space="preserve"> Collaborative Analysis of Change and Coastal Community Subsistence Practices in the Northern Bering and Chukchi Seas, Alaska” in Arctic 74(2): 113-126.</w:t>
      </w:r>
    </w:p>
    <w:p w14:paraId="0E8DE5F7" w14:textId="77777777" w:rsidR="005A724B" w:rsidRDefault="005D2FFE">
      <w:r>
        <w:lastRenderedPageBreak/>
        <w:t>Igiugig Village Council (2020) Igiugig Village Climate Change Adaptation Assessment.  Igiugig, Alaska.</w:t>
      </w:r>
    </w:p>
    <w:p w14:paraId="74BBF910" w14:textId="77777777" w:rsidR="005A724B" w:rsidRDefault="005D2FFE">
      <w:proofErr w:type="spellStart"/>
      <w:r>
        <w:t>Jantarasami</w:t>
      </w:r>
      <w:proofErr w:type="spellEnd"/>
      <w:r>
        <w:t xml:space="preserve">, L.C., R. Novak, R. Delgado, E. Marino, S. </w:t>
      </w:r>
      <w:proofErr w:type="spellStart"/>
      <w:r>
        <w:t>McNeeley</w:t>
      </w:r>
      <w:proofErr w:type="spellEnd"/>
      <w:r>
        <w:t xml:space="preserve">, C. </w:t>
      </w:r>
      <w:proofErr w:type="spellStart"/>
      <w:r>
        <w:t>Narducci</w:t>
      </w:r>
      <w:proofErr w:type="spellEnd"/>
      <w:r>
        <w:t>, J. Raymond-</w:t>
      </w:r>
      <w:proofErr w:type="spellStart"/>
      <w:r>
        <w:t>Yakoubian</w:t>
      </w:r>
      <w:proofErr w:type="spellEnd"/>
      <w:r>
        <w:t xml:space="preserve">, L. Singletary, and K. </w:t>
      </w:r>
      <w:proofErr w:type="spellStart"/>
      <w:r>
        <w:t>Powys</w:t>
      </w:r>
      <w:proofErr w:type="spellEnd"/>
      <w:r>
        <w:t xml:space="preserve"> Whyte (2018) “Tribes and Indigenous Peoples. In Impacts, Risks, and Adaptation in the United States” in </w:t>
      </w:r>
      <w:proofErr w:type="spellStart"/>
      <w:r>
        <w:t>Reidmiller</w:t>
      </w:r>
      <w:proofErr w:type="spellEnd"/>
      <w:r>
        <w:t>, D.R., C.W. A</w:t>
      </w:r>
      <w:r>
        <w:t xml:space="preserve">very, D.R. Easterling, K.E. Kunkel, K.L.M. Lewis, T.K. </w:t>
      </w:r>
      <w:proofErr w:type="spellStart"/>
      <w:r>
        <w:t>Maycock</w:t>
      </w:r>
      <w:proofErr w:type="spellEnd"/>
      <w:r>
        <w:t>, and B.C. Stewart (eds.) Fourth National Climate Assessment, Volume II.  U.S. Global Change Research Program, Washington, DC. Pp. 572–603.</w:t>
      </w:r>
    </w:p>
    <w:p w14:paraId="6A4ECDD3" w14:textId="77777777" w:rsidR="005A724B" w:rsidRDefault="005D2FFE">
      <w:r>
        <w:t xml:space="preserve">Johnson, T. and G. Gray (2014) </w:t>
      </w:r>
      <w:proofErr w:type="spellStart"/>
      <w:r>
        <w:t>Shaktoolik</w:t>
      </w:r>
      <w:proofErr w:type="spellEnd"/>
      <w:r>
        <w:t>, Alaska: Cli</w:t>
      </w:r>
      <w:r>
        <w:t>mate Change Adaptation for an At-Risk Community.  University of Alaska-Fairbanks Alaska Sea Grant Program. Fairbanks, Alaska.</w:t>
      </w:r>
    </w:p>
    <w:p w14:paraId="6C3B10F5" w14:textId="77777777" w:rsidR="005A724B" w:rsidRDefault="005D2FFE">
      <w:proofErr w:type="spellStart"/>
      <w:r>
        <w:t>Krupnik</w:t>
      </w:r>
      <w:proofErr w:type="spellEnd"/>
      <w:r>
        <w:t>, I. and D. Jolly (eds.) (2002) The Earth is Faster Now: Indigenous Observations of Arctic Environmental Change. Arctic Res</w:t>
      </w:r>
      <w:r>
        <w:t>earch Consortium of the United States.  Fairbanks, Alaska.</w:t>
      </w:r>
    </w:p>
    <w:p w14:paraId="31068A21" w14:textId="77777777" w:rsidR="005A724B" w:rsidRDefault="005D2FFE">
      <w:proofErr w:type="spellStart"/>
      <w:r>
        <w:t>Kawerak</w:t>
      </w:r>
      <w:proofErr w:type="spellEnd"/>
      <w:r>
        <w:t xml:space="preserve">, Inc. (2013a) Traditions of Respect: Traditional Knowledge from </w:t>
      </w:r>
      <w:proofErr w:type="spellStart"/>
      <w:r>
        <w:t>Kawerak’s</w:t>
      </w:r>
      <w:proofErr w:type="spellEnd"/>
      <w:r>
        <w:t xml:space="preserve"> Ice Seal and Walrus Project. Nome, Alaska.</w:t>
      </w:r>
    </w:p>
    <w:p w14:paraId="62EDE908" w14:textId="77777777" w:rsidR="005A724B" w:rsidRDefault="005D2FFE">
      <w:proofErr w:type="spellStart"/>
      <w:r>
        <w:t>Kawerak</w:t>
      </w:r>
      <w:proofErr w:type="spellEnd"/>
      <w:r>
        <w:t>, Inc. (2013b) Seal and Walrus Hunting Safety: Traditional Knowle</w:t>
      </w:r>
      <w:r>
        <w:t xml:space="preserve">dge from </w:t>
      </w:r>
      <w:proofErr w:type="spellStart"/>
      <w:r>
        <w:t>Kawerak’s</w:t>
      </w:r>
      <w:proofErr w:type="spellEnd"/>
      <w:r>
        <w:t xml:space="preserve"> Ice Seal and Walrus Project. Nome, Alaska.</w:t>
      </w:r>
    </w:p>
    <w:p w14:paraId="5C11B7F7" w14:textId="77777777" w:rsidR="005A724B" w:rsidRDefault="005D2FFE">
      <w:proofErr w:type="spellStart"/>
      <w:r>
        <w:t>Kawerak</w:t>
      </w:r>
      <w:proofErr w:type="spellEnd"/>
      <w:r>
        <w:t xml:space="preserve">, Inc. (2014) Bering Strait Voices on Arctic Shipping: Workshop Report. </w:t>
      </w:r>
      <w:proofErr w:type="spellStart"/>
      <w:r>
        <w:t>Kawerak</w:t>
      </w:r>
      <w:proofErr w:type="spellEnd"/>
      <w:r>
        <w:t xml:space="preserve"> Marine Program. Nome, Alaska.</w:t>
      </w:r>
    </w:p>
    <w:p w14:paraId="2ECB5353" w14:textId="77777777" w:rsidR="005A724B" w:rsidRDefault="005D2FFE">
      <w:proofErr w:type="spellStart"/>
      <w:r>
        <w:t>Kawerak</w:t>
      </w:r>
      <w:proofErr w:type="spellEnd"/>
      <w:r>
        <w:t>, Inc. (2015) “Always taught not to waste”: Traditional Knowledge and Norton Sound/Bering Strait Salmon Populations. 2015 Arctic-Yukon-Kuskokwim Sustainable Salmon Initiative Project 1333 Final Product.  Nome, Alaska.</w:t>
      </w:r>
    </w:p>
    <w:p w14:paraId="494873C3" w14:textId="77777777" w:rsidR="005A724B" w:rsidRDefault="005D2FFE">
      <w:proofErr w:type="spellStart"/>
      <w:r>
        <w:t>Kawerak</w:t>
      </w:r>
      <w:proofErr w:type="spellEnd"/>
      <w:r>
        <w:t>, Inc. (2021a) Four-Lang</w:t>
      </w:r>
      <w:r>
        <w:t xml:space="preserve">uage Glossary: Inupiaq, St. Lawrence Island Yupik, </w:t>
      </w:r>
      <w:proofErr w:type="spellStart"/>
      <w:r>
        <w:t>Yup’ik</w:t>
      </w:r>
      <w:proofErr w:type="spellEnd"/>
      <w:r>
        <w:t>, and English Terms for Research, Science, and Policy.  Nome, Alaska.</w:t>
      </w:r>
    </w:p>
    <w:p w14:paraId="7B8DED28" w14:textId="77777777" w:rsidR="005A724B" w:rsidRDefault="005D2FFE">
      <w:proofErr w:type="spellStart"/>
      <w:r>
        <w:t>Kawerak</w:t>
      </w:r>
      <w:proofErr w:type="spellEnd"/>
      <w:r>
        <w:t xml:space="preserve">, Inc. (2021b) Knowledge &amp; Research Sovereignty Workshop May 18-21, 2021 Workshop Report. Prepared by </w:t>
      </w:r>
      <w:proofErr w:type="spellStart"/>
      <w:r>
        <w:t>Sandhill.Culture</w:t>
      </w:r>
      <w:proofErr w:type="spellEnd"/>
      <w:r>
        <w:t>. Cr</w:t>
      </w:r>
      <w:r>
        <w:t xml:space="preserve">aft and </w:t>
      </w:r>
      <w:proofErr w:type="spellStart"/>
      <w:r>
        <w:t>Kawerak</w:t>
      </w:r>
      <w:proofErr w:type="spellEnd"/>
      <w:r>
        <w:t xml:space="preserve"> Inc. Social Science Program. Nome, Alaska.</w:t>
      </w:r>
    </w:p>
    <w:p w14:paraId="0ED01843" w14:textId="77777777" w:rsidR="005A724B" w:rsidRDefault="005D2FFE">
      <w:r>
        <w:t>Kettle, N., J. Martin, and M. Sloan (2017) Nome Tribal Climate Adaptation Plan. Nome Eskimo Community and the Alaska Center for Climate Adaptation and Policy.  Fairbanks, Alaska.</w:t>
      </w:r>
    </w:p>
    <w:p w14:paraId="603F7836" w14:textId="77777777" w:rsidR="005A724B" w:rsidRDefault="005A724B">
      <w:pPr>
        <w:spacing w:before="0"/>
        <w:jc w:val="left"/>
      </w:pPr>
    </w:p>
    <w:p w14:paraId="7DF3A075" w14:textId="77777777" w:rsidR="005A724B" w:rsidRDefault="005D2FFE">
      <w:pPr>
        <w:spacing w:before="0"/>
        <w:jc w:val="left"/>
      </w:pPr>
      <w:proofErr w:type="spellStart"/>
      <w:r>
        <w:t>Laufkötter</w:t>
      </w:r>
      <w:proofErr w:type="spellEnd"/>
      <w:r>
        <w:t xml:space="preserve">, C., </w:t>
      </w:r>
      <w:proofErr w:type="spellStart"/>
      <w:r>
        <w:t>Z</w:t>
      </w:r>
      <w:r>
        <w:t>scheischler</w:t>
      </w:r>
      <w:proofErr w:type="spellEnd"/>
      <w:r>
        <w:t xml:space="preserve">, J. and </w:t>
      </w:r>
      <w:proofErr w:type="spellStart"/>
      <w:r>
        <w:t>Frölicher</w:t>
      </w:r>
      <w:proofErr w:type="spellEnd"/>
      <w:r>
        <w:t xml:space="preserve">, T. L. 2020. High-impact marine heatwaves attributable to human-induced global warming SCIENCE 369(6511) 1621:1625. </w:t>
      </w:r>
      <w:hyperlink r:id="rId21">
        <w:r>
          <w:rPr>
            <w:color w:val="1155CC"/>
            <w:u w:val="single"/>
          </w:rPr>
          <w:t>DOI:10.1126/science.aba0690</w:t>
        </w:r>
      </w:hyperlink>
    </w:p>
    <w:p w14:paraId="065F977A" w14:textId="77777777" w:rsidR="005A724B" w:rsidRDefault="005D2FFE">
      <w:r>
        <w:t>Malek, J.C.</w:t>
      </w:r>
      <w:r>
        <w:t xml:space="preserve"> and V.R. Cornish (2019) Co-management of marine mammals in Alaska: A case study-based review. Final report, Marine Mammal Commission. Bethesda, MD.</w:t>
      </w:r>
    </w:p>
    <w:p w14:paraId="1C42D740" w14:textId="77777777" w:rsidR="005A724B" w:rsidRDefault="005D2FFE">
      <w:r>
        <w:lastRenderedPageBreak/>
        <w:t>Marchand, C. et al. (2017) Native Nations Climate Adaptation Program Southwest Tribal Climate Change Assess</w:t>
      </w:r>
      <w:r>
        <w:t>ment Final Report. University of Arizona. Tucson.</w:t>
      </w:r>
    </w:p>
    <w:p w14:paraId="4B486101" w14:textId="77777777" w:rsidR="005A724B" w:rsidRDefault="005D2FFE">
      <w:r>
        <w:t xml:space="preserve">Murray, E., J. Ryan, H. Shepherd, T. Thaler, G. Griffith, T. Crossett, and R. </w:t>
      </w:r>
      <w:proofErr w:type="spellStart"/>
      <w:r>
        <w:t>Rasker</w:t>
      </w:r>
      <w:proofErr w:type="spellEnd"/>
      <w:r>
        <w:t xml:space="preserve"> (eds.) (2013) Climate Adaptation and Action Plan for the Norton Bay Watershed, Alaska. Model Forest Policy Program in ass</w:t>
      </w:r>
      <w:r>
        <w:t>ociation with Norton Bay Inter-Tribal Watershed Council, the Cumberland River Compact and Headwaters Economics; Sagle, Idaho.</w:t>
      </w:r>
    </w:p>
    <w:p w14:paraId="32BE4A64" w14:textId="77777777" w:rsidR="005A724B" w:rsidRDefault="005D2FFE">
      <w:proofErr w:type="spellStart"/>
      <w:r>
        <w:t>Mustonen</w:t>
      </w:r>
      <w:proofErr w:type="spellEnd"/>
      <w:r>
        <w:t>, T. and B. Van Dam (2021) “Climate Change and Unalakleet: A Deep Analysis” in Sustainability 13(17): 9971.</w:t>
      </w:r>
    </w:p>
    <w:p w14:paraId="4938AECD" w14:textId="77777777" w:rsidR="005A724B" w:rsidRDefault="005D2FFE">
      <w:r>
        <w:t>Muto, M.M., V.</w:t>
      </w:r>
      <w:r>
        <w:t xml:space="preserve">T. </w:t>
      </w:r>
      <w:proofErr w:type="spellStart"/>
      <w:r>
        <w:t>Helker</w:t>
      </w:r>
      <w:proofErr w:type="spellEnd"/>
      <w:r>
        <w:t xml:space="preserve">, B.J. </w:t>
      </w:r>
      <w:proofErr w:type="spellStart"/>
      <w:r>
        <w:t>Delean</w:t>
      </w:r>
      <w:proofErr w:type="spellEnd"/>
      <w:r>
        <w:t xml:space="preserve">, N.C. Young, J.C. Freed, R.P. Angliss, N.A. Friday, et al. (2021)  “Alaska marine mammal stock assessments, 2020” Alaska Fisheries Science Center (U.S.) NOAA technical memorandum NMFS AFSC 421; DOI: </w:t>
      </w:r>
      <w:hyperlink r:id="rId22">
        <w:r>
          <w:rPr>
            <w:color w:val="1155CC"/>
            <w:u w:val="single"/>
          </w:rPr>
          <w:t>https://doi.org/10.25923/yn3s-n786</w:t>
        </w:r>
      </w:hyperlink>
      <w:r>
        <w:t xml:space="preserve"> </w:t>
      </w:r>
    </w:p>
    <w:p w14:paraId="1E96CB76" w14:textId="77777777" w:rsidR="005A724B" w:rsidRDefault="005D2FFE">
      <w:r>
        <w:t xml:space="preserve">North Pacific Fishery Management Council (NPFMC) (2018) North Pacific Fishery Management Council Ecosystem Research Workshop. Workshop Summary. Working Draft, June 2018. Available at: </w:t>
      </w:r>
      <w:hyperlink r:id="rId23">
        <w:r>
          <w:rPr>
            <w:color w:val="1155CC"/>
            <w:u w:val="single"/>
          </w:rPr>
          <w:t>https://meetings.npfmc.org/CommentReview/DownloadFile?p=b54c5d0f-ee83-4c48-88d5-74201b77b9de.pdf&amp;f</w:t>
        </w:r>
        <w:r>
          <w:rPr>
            <w:color w:val="1155CC"/>
            <w:u w:val="single"/>
          </w:rPr>
          <w:t>ileName=B1%20Ecosystem%20Workshop%20Summary%20Report.pdf</w:t>
        </w:r>
      </w:hyperlink>
    </w:p>
    <w:p w14:paraId="1A08314E" w14:textId="77777777" w:rsidR="005A724B" w:rsidRDefault="005D2FFE">
      <w:r>
        <w:t xml:space="preserve">North Pacific Fishery Management Council (NFPMC) (2019) Bering Sea Fishery Ecosystem Plan.  January 2019.  Available at: </w:t>
      </w:r>
      <w:hyperlink r:id="rId24">
        <w:r>
          <w:rPr>
            <w:color w:val="1155CC"/>
            <w:u w:val="single"/>
          </w:rPr>
          <w:t>https://meetings.npfmc.org/CommentReview/DownloadFile?p=</w:t>
        </w:r>
        <w:r>
          <w:rPr>
            <w:color w:val="1155CC"/>
            <w:u w:val="single"/>
          </w:rPr>
          <w:br/>
          <w:t>c334ad33-4139-4b5a-b205-a8b7c5028562.pdf&amp;fileName=D6%20Final%20BS%20FEP%20Jan%202019.pdf</w:t>
        </w:r>
      </w:hyperlink>
    </w:p>
    <w:p w14:paraId="47584318" w14:textId="77777777" w:rsidR="005A724B" w:rsidRDefault="005D2FFE">
      <w:r>
        <w:t>North Pacific Fishery Ma</w:t>
      </w:r>
      <w:r>
        <w:t xml:space="preserve">nagement Council (NPFMC) (2020) Bering Sea Fishery Ecosystem Plan: Module to Develop Protocols for Local Knowledge, Traditional Knowledge, and Subsistence. Action Module Workplan. December 2020. Available at: </w:t>
      </w:r>
      <w:hyperlink r:id="rId25">
        <w:r>
          <w:rPr>
            <w:color w:val="1155CC"/>
            <w:u w:val="single"/>
          </w:rPr>
          <w:t>https://www.npfmc.org/wp-content/PDFdocuments/</w:t>
        </w:r>
        <w:r>
          <w:rPr>
            <w:color w:val="1155CC"/>
            <w:u w:val="single"/>
          </w:rPr>
          <w:br/>
          <w:t>membership/LKTKS/LKTKSworkplan.pdf</w:t>
        </w:r>
      </w:hyperlink>
    </w:p>
    <w:p w14:paraId="2012CDAE" w14:textId="77777777" w:rsidR="005A724B" w:rsidRDefault="005D2FFE">
      <w:r>
        <w:t xml:space="preserve">North Pacific Fishery Management Council (NFPMC) (2021) Report of the Community Engagement Committee: Recommendations to </w:t>
      </w:r>
      <w:r>
        <w:t xml:space="preserve">improve Council engagement with rural and Alaska Native Communities. February 2021.  Available at: </w:t>
      </w:r>
      <w:hyperlink r:id="rId26">
        <w:r>
          <w:rPr>
            <w:color w:val="1155CC"/>
            <w:u w:val="single"/>
          </w:rPr>
          <w:t>https://meetings.npfmc.org/CommentReview/</w:t>
        </w:r>
        <w:r>
          <w:rPr>
            <w:color w:val="1155CC"/>
            <w:u w:val="single"/>
          </w:rPr>
          <w:br/>
          <w:t>DownloadFile?p=7b10e15f-e306-446b-9f49-21b33e04ff1a.pdf&amp;fileName=D1%20CEC%20Report%20February%202021.pdf</w:t>
        </w:r>
      </w:hyperlink>
    </w:p>
    <w:p w14:paraId="0C695D83" w14:textId="77777777" w:rsidR="005A724B" w:rsidRDefault="005D2FFE">
      <w:r>
        <w:t xml:space="preserve">Pearce, T., J. Ford, A. </w:t>
      </w:r>
      <w:proofErr w:type="spellStart"/>
      <w:r>
        <w:t>Cunsolo</w:t>
      </w:r>
      <w:proofErr w:type="spellEnd"/>
      <w:r>
        <w:t xml:space="preserve"> </w:t>
      </w:r>
      <w:proofErr w:type="spellStart"/>
      <w:r>
        <w:t>Willlox</w:t>
      </w:r>
      <w:proofErr w:type="spellEnd"/>
      <w:r>
        <w:t>, and B. Smit (2014) “Inuit Traditional Ecological Knowledge (TEK), Subsistence Hunting and Adaptation to Climate Change in the Canadian Arctic” in Arctic 68(2): 233-245.</w:t>
      </w:r>
    </w:p>
    <w:p w14:paraId="41352123" w14:textId="77777777" w:rsidR="005A724B" w:rsidRDefault="005D2FFE">
      <w:r>
        <w:t xml:space="preserve">Pomeroy and </w:t>
      </w:r>
      <w:proofErr w:type="spellStart"/>
      <w:r>
        <w:t>Berkes</w:t>
      </w:r>
      <w:proofErr w:type="spellEnd"/>
      <w:r>
        <w:t xml:space="preserve"> 1997</w:t>
      </w:r>
    </w:p>
    <w:p w14:paraId="2E451E8C" w14:textId="77777777" w:rsidR="005A724B" w:rsidRDefault="005D2FFE">
      <w:r>
        <w:lastRenderedPageBreak/>
        <w:t>Raymond-</w:t>
      </w:r>
      <w:proofErr w:type="spellStart"/>
      <w:r>
        <w:t>Yakoubian</w:t>
      </w:r>
      <w:proofErr w:type="spellEnd"/>
      <w:r>
        <w:t xml:space="preserve">, </w:t>
      </w:r>
      <w:r>
        <w:t>B. and J. Raymond-</w:t>
      </w:r>
      <w:proofErr w:type="spellStart"/>
      <w:r>
        <w:t>Yakoubian</w:t>
      </w:r>
      <w:proofErr w:type="spellEnd"/>
      <w:r>
        <w:t xml:space="preserve"> (2015) “At the Intersection of Bering Strait Inuit Subsistence Lifeways, Western Science and Management, and Environmental Change: Scientific and Regulatory Ideology, Human-Environmental Justice, and the Indigenization of Climat</w:t>
      </w:r>
      <w:r>
        <w:t xml:space="preserve">e Change.” Paper presented at the Climate Change in Culture Conference. Charlottetown, Prince Edward Island. May 28- 31, 2015. </w:t>
      </w:r>
    </w:p>
    <w:p w14:paraId="2CB1AABD" w14:textId="77777777" w:rsidR="005A724B" w:rsidRDefault="005D2FFE">
      <w:r>
        <w:t>Raymond-</w:t>
      </w:r>
      <w:proofErr w:type="spellStart"/>
      <w:r>
        <w:t>Yakoubian</w:t>
      </w:r>
      <w:proofErr w:type="spellEnd"/>
      <w:r>
        <w:t>, B., and J. Raymond-</w:t>
      </w:r>
      <w:proofErr w:type="spellStart"/>
      <w:r>
        <w:t>Yakoubian</w:t>
      </w:r>
      <w:proofErr w:type="spellEnd"/>
      <w:r>
        <w:t xml:space="preserve"> (2017) Research Processes and Indigenous Communities in Western Alaska: Workshop</w:t>
      </w:r>
      <w:r>
        <w:t xml:space="preserve"> Report. Prepared by </w:t>
      </w:r>
      <w:proofErr w:type="spellStart"/>
      <w:r>
        <w:t>Sandhill.Culture.Craft</w:t>
      </w:r>
      <w:proofErr w:type="spellEnd"/>
      <w:r>
        <w:t xml:space="preserve"> and </w:t>
      </w:r>
      <w:proofErr w:type="spellStart"/>
      <w:r>
        <w:t>Kawerak</w:t>
      </w:r>
      <w:proofErr w:type="spellEnd"/>
      <w:r>
        <w:t xml:space="preserve"> Social Science Program. </w:t>
      </w:r>
      <w:proofErr w:type="spellStart"/>
      <w:r>
        <w:t>Kawerak</w:t>
      </w:r>
      <w:proofErr w:type="spellEnd"/>
      <w:r>
        <w:t>, Inc.: Nome, AK.</w:t>
      </w:r>
    </w:p>
    <w:p w14:paraId="36EFF23F" w14:textId="77777777" w:rsidR="005A724B" w:rsidRDefault="005D2FFE">
      <w:r>
        <w:t>Raymond-</w:t>
      </w:r>
      <w:proofErr w:type="spellStart"/>
      <w:r>
        <w:t>Yakoubian</w:t>
      </w:r>
      <w:proofErr w:type="spellEnd"/>
      <w:r>
        <w:t>, J. (2013) “When the fish come, we go fishing: Local Ecological Knowledge of Non-Salmon Fish Used for Subsistence in the Bering Strai</w:t>
      </w:r>
      <w:r>
        <w:t xml:space="preserve">t Region.” Final Report for Study 10-151, Submitted to the USFWS OSM FRMP. </w:t>
      </w:r>
      <w:proofErr w:type="spellStart"/>
      <w:r>
        <w:t>Kawerak</w:t>
      </w:r>
      <w:proofErr w:type="spellEnd"/>
      <w:r>
        <w:t xml:space="preserve"> Social Science Program, Nome, Alaska.</w:t>
      </w:r>
    </w:p>
    <w:p w14:paraId="2E2D2FB5" w14:textId="77777777" w:rsidR="005A724B" w:rsidRDefault="005D2FFE">
      <w:r>
        <w:t>Raymond-</w:t>
      </w:r>
      <w:proofErr w:type="spellStart"/>
      <w:r>
        <w:t>Yakoubian</w:t>
      </w:r>
      <w:proofErr w:type="spellEnd"/>
      <w:r>
        <w:t>, J. (2016) “Conceptual and Institutional Frameworks for Protected Areas, and the Status of Indigenous Involvement: Co</w:t>
      </w:r>
      <w:r>
        <w:t>nsiderations for the Bering Strait Region of Alaska” in T.M. Hermann and T. Martin (eds.) Indigenous Peoples’ Governance of Land and Protected Territories in the Arctic.  Springer.  Pp. 83-103.</w:t>
      </w:r>
    </w:p>
    <w:p w14:paraId="168BFDE9" w14:textId="77777777" w:rsidR="005A724B" w:rsidRDefault="005D2FFE">
      <w:r>
        <w:t>Raymond-</w:t>
      </w:r>
      <w:proofErr w:type="spellStart"/>
      <w:r>
        <w:t>Yakoubian</w:t>
      </w:r>
      <w:proofErr w:type="spellEnd"/>
      <w:r>
        <w:t>, J. (2019) “Climate-Ocean Effects on Chinook</w:t>
      </w:r>
      <w:r>
        <w:t xml:space="preserve"> Salmon: Local Traditional Knowledge Component.” 2009 Arctic Yukon Kuskokwim Sustainable Salmon Initiative Project Final Product.  </w:t>
      </w:r>
      <w:proofErr w:type="spellStart"/>
      <w:r>
        <w:t>Kawerak</w:t>
      </w:r>
      <w:proofErr w:type="spellEnd"/>
      <w:r>
        <w:t xml:space="preserve"> Social Science Program, Nome, Alaska.</w:t>
      </w:r>
    </w:p>
    <w:p w14:paraId="13988E3E" w14:textId="77777777" w:rsidR="005A724B" w:rsidRDefault="005D2FFE">
      <w:r>
        <w:t>Raymond-</w:t>
      </w:r>
      <w:proofErr w:type="spellStart"/>
      <w:r>
        <w:t>Yakoubian</w:t>
      </w:r>
      <w:proofErr w:type="spellEnd"/>
      <w:r>
        <w:t>, J. and R. Daniel (2018) “An Indigenous approach to ocean pla</w:t>
      </w:r>
      <w:r>
        <w:t>nning and policy in the Bering Strait region of Alaska” in Marine Policy 97 (2018): 101-108.</w:t>
      </w:r>
    </w:p>
    <w:p w14:paraId="5E9595A5" w14:textId="77777777" w:rsidR="005A724B" w:rsidRDefault="005D2FFE">
      <w:r>
        <w:t>Raymond-</w:t>
      </w:r>
      <w:proofErr w:type="spellStart"/>
      <w:r>
        <w:t>Yakoubian</w:t>
      </w:r>
      <w:proofErr w:type="spellEnd"/>
      <w:r>
        <w:t>, J., B. Raymond-</w:t>
      </w:r>
      <w:proofErr w:type="spellStart"/>
      <w:r>
        <w:t>Yakoubian</w:t>
      </w:r>
      <w:proofErr w:type="spellEnd"/>
      <w:r>
        <w:t>, and C. Moncrieff (2017) “The incorporation of traditional knowledge into Alaska federal fisheries management” in Marin</w:t>
      </w:r>
      <w:r>
        <w:t>e Policy 78 (2017): 132-142.</w:t>
      </w:r>
    </w:p>
    <w:p w14:paraId="2B9AD2D4" w14:textId="77777777" w:rsidR="005A724B" w:rsidRDefault="005D2FFE">
      <w:proofErr w:type="spellStart"/>
      <w:r>
        <w:t>Sahlins</w:t>
      </w:r>
      <w:proofErr w:type="spellEnd"/>
      <w:r>
        <w:t>, M. (1993) “Goodbye to Tristes Tropes: Ethnography in the Context of Modern World History.” The Journal of Modern History. 65(1): 1-25.</w:t>
      </w:r>
    </w:p>
    <w:p w14:paraId="6D96DA77" w14:textId="77777777" w:rsidR="005A724B" w:rsidRDefault="005D2FFE">
      <w:r>
        <w:t>Sen and Nielsen 1996</w:t>
      </w:r>
    </w:p>
    <w:p w14:paraId="4F48040F" w14:textId="77777777" w:rsidR="005A724B" w:rsidRDefault="005D2FFE">
      <w:r>
        <w:t xml:space="preserve">Slats, R., C. Oliver, R. </w:t>
      </w:r>
      <w:proofErr w:type="spellStart"/>
      <w:r>
        <w:t>Bahnke</w:t>
      </w:r>
      <w:proofErr w:type="spellEnd"/>
      <w:r>
        <w:t xml:space="preserve">, H. Bell, A. Miller, D. </w:t>
      </w:r>
      <w:proofErr w:type="spellStart"/>
      <w:r>
        <w:t>Pungowiyi</w:t>
      </w:r>
      <w:proofErr w:type="spellEnd"/>
      <w:r>
        <w:t xml:space="preserve">, J. Merculief, N. </w:t>
      </w:r>
      <w:proofErr w:type="spellStart"/>
      <w:r>
        <w:t>Menadelook</w:t>
      </w:r>
      <w:proofErr w:type="spellEnd"/>
      <w:r>
        <w:t xml:space="preserve"> Sr., J. </w:t>
      </w:r>
      <w:proofErr w:type="spellStart"/>
      <w:r>
        <w:t>Ivanoff</w:t>
      </w:r>
      <w:proofErr w:type="spellEnd"/>
      <w:r>
        <w:t xml:space="preserve">, C. </w:t>
      </w:r>
      <w:proofErr w:type="spellStart"/>
      <w:r>
        <w:t>Oxereok</w:t>
      </w:r>
      <w:proofErr w:type="spellEnd"/>
      <w:r>
        <w:t xml:space="preserve">, M.L. </w:t>
      </w:r>
      <w:proofErr w:type="spellStart"/>
      <w:r>
        <w:t>Druckenmiller</w:t>
      </w:r>
      <w:proofErr w:type="spellEnd"/>
      <w:r>
        <w:t xml:space="preserve"> (ed.), R. Daniel (ed.), and M. Johnson (ed). (2019) “Voices from the Front Lines of a Changing Bering Sea: An Ind</w:t>
      </w:r>
      <w:r>
        <w:t>igenous Perspective for the 2019 Arctic Report Card” in Richter-</w:t>
      </w:r>
      <w:proofErr w:type="spellStart"/>
      <w:r>
        <w:t>Menge</w:t>
      </w:r>
      <w:proofErr w:type="spellEnd"/>
      <w:r>
        <w:t xml:space="preserve">, J., M. L. </w:t>
      </w:r>
      <w:proofErr w:type="spellStart"/>
      <w:r>
        <w:t>Druckenmiller</w:t>
      </w:r>
      <w:proofErr w:type="spellEnd"/>
      <w:r>
        <w:t xml:space="preserve">, and M. Jeffries, (eds)., Arctic Report Card 2019. </w:t>
      </w:r>
      <w:hyperlink r:id="rId27">
        <w:r>
          <w:rPr>
            <w:color w:val="1155CC"/>
            <w:u w:val="single"/>
          </w:rPr>
          <w:t>https://www.arctic.noaa.gov/Report-Card</w:t>
        </w:r>
      </w:hyperlink>
    </w:p>
    <w:p w14:paraId="18D0A4F8" w14:textId="77777777" w:rsidR="005A724B" w:rsidRDefault="005D2FFE">
      <w:r>
        <w:t>Steffen, A.</w:t>
      </w:r>
      <w:r>
        <w:t xml:space="preserve"> S.A. </w:t>
      </w:r>
      <w:proofErr w:type="spellStart"/>
      <w:r>
        <w:t>Greenlaw</w:t>
      </w:r>
      <w:proofErr w:type="spellEnd"/>
      <w:r>
        <w:t>, M. Biermann, and A.L. Lovecraft (2021) Alaska’s Climate Change Policy Development. University of Alaska-Fairbanks Center for Arctic Policy Studies.  Fairbanks, Alaska.</w:t>
      </w:r>
    </w:p>
    <w:p w14:paraId="175578B1" w14:textId="77777777" w:rsidR="005A724B" w:rsidRDefault="005D2FFE">
      <w:r>
        <w:lastRenderedPageBreak/>
        <w:t>Washburn, K. (2022) “The Use of Co-Management and Protected Land-Use Des</w:t>
      </w:r>
      <w:r>
        <w:t>ignations to Protect Tribal Cultural Resources and Reserved Treaty Rights on Federal Lands” Natural Resources Journal 48: 1-63.</w:t>
      </w:r>
      <w:r>
        <w:br w:type="page"/>
      </w:r>
    </w:p>
    <w:p w14:paraId="4503D36D" w14:textId="77777777" w:rsidR="005A724B" w:rsidRDefault="005D2FFE">
      <w:pPr>
        <w:pStyle w:val="Heading2"/>
      </w:pPr>
      <w:bookmarkStart w:id="88" w:name="_j1hk2ey4vc8d" w:colFirst="0" w:colLast="0"/>
      <w:bookmarkEnd w:id="88"/>
      <w:r>
        <w:lastRenderedPageBreak/>
        <w:t xml:space="preserve">Appendix </w:t>
      </w:r>
    </w:p>
    <w:p w14:paraId="3ED2CE1F" w14:textId="77777777" w:rsidR="005A724B" w:rsidRDefault="005D2FFE">
      <w:pPr>
        <w:pStyle w:val="Heading3"/>
      </w:pPr>
      <w:bookmarkStart w:id="89" w:name="_ynfwr59rygtx" w:colFirst="0" w:colLast="0"/>
      <w:bookmarkEnd w:id="89"/>
      <w:r>
        <w:t>Section 1: Detail on table elements</w:t>
      </w:r>
    </w:p>
    <w:p w14:paraId="383A46B7" w14:textId="77777777" w:rsidR="005A724B" w:rsidRDefault="005D2FFE">
      <w:pPr>
        <w:pStyle w:val="Heading4"/>
      </w:pPr>
      <w:bookmarkStart w:id="90" w:name="_ha0e0udvtebv" w:colFirst="0" w:colLast="0"/>
      <w:bookmarkEnd w:id="90"/>
      <w:r>
        <w:t>Flatfish Exchange</w:t>
      </w:r>
    </w:p>
    <w:p w14:paraId="2EB7B0F3" w14:textId="77777777" w:rsidR="005A724B" w:rsidRDefault="005D2FFE">
      <w:r>
        <w:t xml:space="preserve">Flatfish exchange is a process for Community Development Quota </w:t>
      </w:r>
      <w:r>
        <w:t xml:space="preserve">(CDQ) groups and Amendment 80 (A80) cooperatives to exchange harvest quota of one or two of three flatfish species (flathead sole, rock sole, and yellowfin sole) for an equal amount of another of these three flatfish species, while maintaining total catch </w:t>
      </w:r>
      <w:r>
        <w:t>below acceptable biological catch (ABC) limits. This process mitigates the operational variability, environmental conditions, and economic factors that may constrain these sectors from achieving, on a continuing basis, the optimum yield in the BSAI groundf</w:t>
      </w:r>
      <w:r>
        <w:t>ish fisheries. This action is intended to result in higher retention and utilization of groundfish without increasing overall catch or bycatch of groundfish or non-groundfish species beyond existing limitations.</w:t>
      </w:r>
    </w:p>
    <w:p w14:paraId="580C2548" w14:textId="77777777" w:rsidR="005A724B" w:rsidRDefault="005D2FFE">
      <w:pPr>
        <w:pStyle w:val="Heading4"/>
      </w:pPr>
      <w:bookmarkStart w:id="91" w:name="_vg48nbc7osaz" w:colFirst="0" w:colLast="0"/>
      <w:bookmarkEnd w:id="91"/>
      <w:r>
        <w:t>Incidental Catch Allowances</w:t>
      </w:r>
    </w:p>
    <w:p w14:paraId="64FF0E2D" w14:textId="77777777" w:rsidR="005A724B" w:rsidRDefault="005D2FFE">
      <w:r>
        <w:t xml:space="preserve">A set-aside for </w:t>
      </w:r>
      <w:r>
        <w:t>fish caught while targeting some other species. For example, A-80 species caught by non-A80 participants or pollock captured by non-AFA pollock participants. Regional Administrator determines that the incidental catch allowance has been set too high or too</w:t>
      </w:r>
      <w:r>
        <w:t xml:space="preserve"> low, he/she may issue in-season notification in the Federal Register that reallocates incidental catch allowance to the directed fishing allowance, or vice versa, according to the proportions established in federal regulations. </w:t>
      </w:r>
    </w:p>
    <w:p w14:paraId="27CFB814" w14:textId="77777777" w:rsidR="005A724B" w:rsidRDefault="005D2FFE">
      <w:pPr>
        <w:pStyle w:val="Heading4"/>
      </w:pPr>
      <w:bookmarkStart w:id="92" w:name="_nxgilnyb5ifq" w:colFirst="0" w:colLast="0"/>
      <w:bookmarkEnd w:id="92"/>
      <w:r>
        <w:t xml:space="preserve">Non-specified reserves </w:t>
      </w:r>
    </w:p>
    <w:p w14:paraId="66D5A809" w14:textId="77777777" w:rsidR="005A724B" w:rsidRDefault="005D2FFE">
      <w:r>
        <w:t>Th</w:t>
      </w:r>
      <w:r>
        <w:t>e non-specified reserve is not designated by species or species group. Any amount of the non-specified reserve may be apportioned to target species (</w:t>
      </w:r>
      <w:proofErr w:type="spellStart"/>
      <w:r>
        <w:t>i.e.,groundfish</w:t>
      </w:r>
      <w:proofErr w:type="spellEnd"/>
      <w:r>
        <w:t xml:space="preserve"> specified in the harvest specifications at </w:t>
      </w:r>
      <w:r>
        <w:rPr>
          <w:rFonts w:ascii="Roboto" w:eastAsia="Roboto" w:hAnsi="Roboto" w:cs="Roboto"/>
          <w:color w:val="202124"/>
          <w:sz w:val="21"/>
          <w:szCs w:val="21"/>
        </w:rPr>
        <w:t>§ 679.20(a)(2</w:t>
      </w:r>
      <w:r>
        <w:t>)) that contributed to the non-spec</w:t>
      </w:r>
      <w:r>
        <w:t>ified reserve, provided that such apportionments do not result in overfishing of a target species and are consistent with other federal regulations.</w:t>
      </w:r>
    </w:p>
    <w:p w14:paraId="2D9C5A21" w14:textId="77777777" w:rsidR="005A724B" w:rsidRDefault="005D2FFE">
      <w:pPr>
        <w:pStyle w:val="Heading3"/>
      </w:pPr>
      <w:bookmarkStart w:id="93" w:name="_yhro9q32uyrw" w:colFirst="0" w:colLast="0"/>
      <w:bookmarkEnd w:id="93"/>
      <w:r>
        <w:t>Area Management (Not a comprehensive list</w:t>
      </w:r>
      <w:r>
        <w:t>)</w:t>
      </w:r>
    </w:p>
    <w:p w14:paraId="623A7D4D" w14:textId="77777777" w:rsidR="005A724B" w:rsidRDefault="005D2FFE">
      <w:pPr>
        <w:pStyle w:val="Heading4"/>
      </w:pPr>
      <w:bookmarkStart w:id="94" w:name="_wrzghrvcx9ql" w:colFirst="0" w:colLast="0"/>
      <w:bookmarkEnd w:id="94"/>
      <w:r>
        <w:rPr>
          <w:b/>
        </w:rPr>
        <w:t>Catcher Vessel Operational Area (CVOA</w:t>
      </w:r>
      <w:r>
        <w:t>)</w:t>
      </w:r>
    </w:p>
    <w:p w14:paraId="78E5E097" w14:textId="77777777" w:rsidR="005A724B" w:rsidRDefault="005D2FFE">
      <w:r>
        <w:rPr>
          <w:color w:val="222222"/>
          <w:highlight w:val="white"/>
        </w:rPr>
        <w:t>Under current</w:t>
      </w:r>
      <w:r>
        <w:rPr>
          <w:color w:val="222222"/>
          <w:highlight w:val="white"/>
        </w:rPr>
        <w:t xml:space="preserve"> CVOA regulations, a</w:t>
      </w:r>
      <w:r>
        <w:t xml:space="preserve"> catcher/processor vessel authorized to fish for BSAI pollock under</w:t>
      </w:r>
      <w:hyperlink r:id="rId28">
        <w:r>
          <w:rPr>
            <w:color w:val="1155CC"/>
            <w:u w:val="single"/>
          </w:rPr>
          <w:t xml:space="preserve"> § 679.4</w:t>
        </w:r>
      </w:hyperlink>
      <w:r>
        <w:t xml:space="preserve"> is prohibited from conducting directed fishing for pollock in the CVOA during the B-season pollock defined at</w:t>
      </w:r>
      <w:hyperlink r:id="rId29" w:anchor="p-679.23(e)(2)(ii)">
        <w:r>
          <w:rPr>
            <w:color w:val="1155CC"/>
            <w:u w:val="single"/>
          </w:rPr>
          <w:t xml:space="preserve"> § 679.23(e)(2)(ii)</w:t>
        </w:r>
      </w:hyperlink>
      <w:r>
        <w:t>, unless it is directed fishing</w:t>
      </w:r>
      <w:r>
        <w:t xml:space="preserve"> for Pollock CDQ. The CVOA was established in the early 1990s (Amendment 18</w:t>
      </w:r>
      <w:r>
        <w:t>-</w:t>
      </w:r>
      <w:r>
        <w:rPr>
          <w:rFonts w:ascii="Roboto" w:eastAsia="Roboto" w:hAnsi="Roboto" w:cs="Roboto"/>
          <w:color w:val="3C4043"/>
          <w:sz w:val="21"/>
          <w:szCs w:val="21"/>
          <w:highlight w:val="white"/>
        </w:rPr>
        <w:t>FR-1991-12-20</w:t>
      </w:r>
      <w:r>
        <w:t>) and was intended to address the dependence of the BSAI inshore component on nearby waters for pollock resources, but provides an allowance for some access to this</w:t>
      </w:r>
      <w:r>
        <w:t xml:space="preserve"> area by the offshore component during the “A" </w:t>
      </w:r>
      <w:r>
        <w:lastRenderedPageBreak/>
        <w:t>season in recognition of the high economic value of pollock roe obtained by the at-sea processors from this area.</w:t>
      </w:r>
    </w:p>
    <w:p w14:paraId="25E5F718" w14:textId="77777777" w:rsidR="005A724B" w:rsidRDefault="005D2FFE">
      <w:pPr>
        <w:pStyle w:val="Heading4"/>
      </w:pPr>
      <w:bookmarkStart w:id="95" w:name="_wcwc0qbq9m8a" w:colFirst="0" w:colLast="0"/>
      <w:bookmarkEnd w:id="95"/>
      <w:r>
        <w:rPr>
          <w:b/>
        </w:rPr>
        <w:t xml:space="preserve">Pribilof Islands Habitat Conservation Zone </w:t>
      </w:r>
    </w:p>
    <w:p w14:paraId="02451F7A" w14:textId="77777777" w:rsidR="005A724B" w:rsidRDefault="005D2FFE">
      <w:r>
        <w:t>Directed fishing for groundfish using trawl gear or</w:t>
      </w:r>
      <w:r>
        <w:t xml:space="preserve"> pot gear, or fishing for halibut using pot gear, is prohibited at all times in the area defined in Figure 10</w:t>
      </w:r>
      <w:r>
        <w:t xml:space="preserve"> to this part as the Pribilof Islands Habitat Conservation Zone.</w:t>
      </w:r>
    </w:p>
    <w:p w14:paraId="30D530F0" w14:textId="77777777" w:rsidR="005A724B" w:rsidRDefault="005D2FFE">
      <w:pPr>
        <w:pStyle w:val="Heading4"/>
        <w:rPr>
          <w:b/>
        </w:rPr>
      </w:pPr>
      <w:bookmarkStart w:id="96" w:name="_8tfef3rw8to7" w:colFirst="0" w:colLast="0"/>
      <w:bookmarkEnd w:id="96"/>
      <w:r>
        <w:rPr>
          <w:b/>
        </w:rPr>
        <w:t>Zone 1 (NMFS Reporting Area 512) closure to trawl gear</w:t>
      </w:r>
    </w:p>
    <w:p w14:paraId="7DC321B5" w14:textId="77777777" w:rsidR="005A724B" w:rsidRDefault="005D2FFE">
      <w:r>
        <w:t>No fishing with trawl ge</w:t>
      </w:r>
      <w:r>
        <w:t>ar is allowed at any time in reporting Area 512 of Zone 1 in the Bering Sea subarea.</w:t>
      </w:r>
    </w:p>
    <w:p w14:paraId="41F10847" w14:textId="77777777" w:rsidR="005A724B" w:rsidRDefault="005D2FFE">
      <w:pPr>
        <w:pStyle w:val="Heading4"/>
        <w:rPr>
          <w:b/>
        </w:rPr>
      </w:pPr>
      <w:bookmarkStart w:id="97" w:name="_mqa92gcugj37" w:colFirst="0" w:colLast="0"/>
      <w:bookmarkEnd w:id="97"/>
      <w:r>
        <w:rPr>
          <w:b/>
        </w:rPr>
        <w:t xml:space="preserve">Zone 1 (NMFS Reporting Area 516) closure to trawl gear </w:t>
      </w:r>
    </w:p>
    <w:p w14:paraId="56D75872" w14:textId="77777777" w:rsidR="005A724B" w:rsidRDefault="005D2FFE">
      <w:r>
        <w:t xml:space="preserve">No fishing with trawl gear is allowed at any time in reporting Area 516 of Zone 1 in the Bering Sea Subarea during </w:t>
      </w:r>
      <w:r>
        <w:t>the period March 15 through June 15.</w:t>
      </w:r>
    </w:p>
    <w:p w14:paraId="1E68E04A" w14:textId="77777777" w:rsidR="005A724B" w:rsidRDefault="005D2FFE">
      <w:pPr>
        <w:pStyle w:val="Heading4"/>
        <w:rPr>
          <w:b/>
        </w:rPr>
      </w:pPr>
      <w:bookmarkStart w:id="98" w:name="_bttx1zgpq9yc" w:colFirst="0" w:colLast="0"/>
      <w:bookmarkEnd w:id="98"/>
      <w:r>
        <w:rPr>
          <w:b/>
        </w:rPr>
        <w:t>C. opilio Bycatch Limitation Zone (COBLZ)</w:t>
      </w:r>
    </w:p>
    <w:p w14:paraId="38712650" w14:textId="77777777" w:rsidR="005A724B" w:rsidRDefault="005D2FFE">
      <w:r>
        <w:t xml:space="preserve">A closure for EBS snow crab (C. opilio) is triggered if the limit is reached in specified fisheries. The limit accrues for bycatch taken within the C. opilio Bycatch Limitation Zone (COBLZ). That area then closes for the fishery that reaches its specified </w:t>
      </w:r>
      <w:r>
        <w:t>limit. EBS snow crab PSC limits are based on total abundance of snow crab as indicated by the NMFS standard trawl survey.</w:t>
      </w:r>
    </w:p>
    <w:p w14:paraId="67D7A413" w14:textId="77777777" w:rsidR="005A724B" w:rsidRDefault="005D2FFE">
      <w:pPr>
        <w:pStyle w:val="Heading4"/>
        <w:spacing w:after="240"/>
      </w:pPr>
      <w:bookmarkStart w:id="99" w:name="_2rzojohoa3d2" w:colFirst="0" w:colLast="0"/>
      <w:bookmarkEnd w:id="99"/>
      <w:r>
        <w:rPr>
          <w:b/>
        </w:rPr>
        <w:t xml:space="preserve">Red King Crab Savings Area (RKCSA) and subarea </w:t>
      </w:r>
    </w:p>
    <w:p w14:paraId="56BE6503" w14:textId="77777777" w:rsidR="005A724B" w:rsidRDefault="005D2FFE">
      <w:pPr>
        <w:spacing w:after="240"/>
      </w:pPr>
      <w:r>
        <w:t>Directed fishing for groundfish by vessels using trawl gear other than pelagic trawl g</w:t>
      </w:r>
      <w:r>
        <w:t>ear is prohibited at all times, except as provided at</w:t>
      </w:r>
      <w:hyperlink r:id="rId30" w:anchor="p-679.21(e)(3)(ii)(B)">
        <w:r>
          <w:t xml:space="preserve"> </w:t>
        </w:r>
      </w:hyperlink>
      <w:hyperlink r:id="rId31" w:anchor="p-679.21(e)(3)(ii)(B)">
        <w:r>
          <w:rPr>
            <w:color w:val="1155CC"/>
            <w:u w:val="single"/>
          </w:rPr>
          <w:t>§ 67</w:t>
        </w:r>
        <w:r>
          <w:rPr>
            <w:color w:val="1155CC"/>
            <w:u w:val="single"/>
          </w:rPr>
          <w:t>9.21(e)(3)(ii)(B)</w:t>
        </w:r>
      </w:hyperlink>
      <w:r>
        <w:t>, in that part of the Bering Sea subarea defined as RKCSA in Figure 11 to this part.</w:t>
      </w:r>
    </w:p>
    <w:p w14:paraId="61360472" w14:textId="77777777" w:rsidR="005A724B" w:rsidRDefault="005D2FFE">
      <w:pPr>
        <w:spacing w:after="240"/>
      </w:pPr>
      <w:r>
        <w:t xml:space="preserve">The RKCSA was established in response to a decline in the BBRKC stock, specifically female abundance, and the need to further protect and conserve RKC in </w:t>
      </w:r>
      <w:r>
        <w:t>the Bristol Bay area of the Bering Sea. An emergency rule, promulgated by NMFS in 1995 (</w:t>
      </w:r>
      <w:hyperlink r:id="rId32">
        <w:r>
          <w:rPr>
            <w:color w:val="1155CC"/>
            <w:u w:val="single"/>
          </w:rPr>
          <w:t>60 FR 4866, January 25, 1995</w:t>
        </w:r>
      </w:hyperlink>
      <w:r>
        <w:t>), established and closed the Red King Crab Savings Are</w:t>
      </w:r>
      <w:r>
        <w:t xml:space="preserve">a (RKCSA) from January 20 to April 25 to all nonpelagic trawling. In 1996, NMFS closed the RKCSA by </w:t>
      </w:r>
      <w:proofErr w:type="spellStart"/>
      <w:r>
        <w:t>inseason</w:t>
      </w:r>
      <w:proofErr w:type="spellEnd"/>
      <w:r>
        <w:t xml:space="preserve"> adjustment (</w:t>
      </w:r>
      <w:hyperlink r:id="rId33">
        <w:r>
          <w:rPr>
            <w:color w:val="1155CC"/>
            <w:u w:val="single"/>
          </w:rPr>
          <w:t>60 FR 63451, December 11, 1995</w:t>
        </w:r>
      </w:hyperlink>
      <w:r>
        <w:t>) from January 20 to March 31, 1996. Continued low abundance of crab stocks caused the Council to express additional concerns about opening the RKCSA, resulting in a recommendation at th</w:t>
      </w:r>
      <w:r>
        <w:t xml:space="preserve">e January 1996 Council meeting for an extension to the 1996 </w:t>
      </w:r>
      <w:proofErr w:type="spellStart"/>
      <w:r>
        <w:t>inseason</w:t>
      </w:r>
      <w:proofErr w:type="spellEnd"/>
      <w:r>
        <w:t xml:space="preserve"> adjustment to close the RKCSA until June 15, 1996 (</w:t>
      </w:r>
      <w:hyperlink r:id="rId34">
        <w:r>
          <w:rPr>
            <w:color w:val="1155CC"/>
            <w:u w:val="single"/>
          </w:rPr>
          <w:t>61 FR 8889, March 6, 1996</w:t>
        </w:r>
      </w:hyperlink>
      <w:r>
        <w:t>) to further protect BBRKC</w:t>
      </w:r>
      <w:r>
        <w:t xml:space="preserve"> during the molting and mating period. Based on information provided at its June 1996 meeting, the Council recommended expanded management measures under Amendment 37 to the BSAI FMP to protect the declining stock of RKC in Bristol Bay. In brief, the final</w:t>
      </w:r>
      <w:r>
        <w:t xml:space="preserve"> rule (</w:t>
      </w:r>
      <w:hyperlink r:id="rId35">
        <w:r>
          <w:rPr>
            <w:color w:val="1155CC"/>
            <w:u w:val="single"/>
          </w:rPr>
          <w:t>61 FR 65985, December 16, 1996</w:t>
        </w:r>
      </w:hyperlink>
      <w:r>
        <w:t xml:space="preserve">) </w:t>
      </w:r>
      <w:r>
        <w:rPr>
          <w:highlight w:val="white"/>
        </w:rPr>
        <w:t xml:space="preserve">to implement BSAI Groundfish FMP Amendment 37 which closed NPT in portions of Bristol Bay including the RKCSA year-round, made adjustments to the </w:t>
      </w:r>
      <w:r>
        <w:rPr>
          <w:highlight w:val="white"/>
        </w:rPr>
        <w:lastRenderedPageBreak/>
        <w:t>prohibited species catch (PSC) limit for BBRKC in Zone 1 of the Bering Sea, and increased observer coverage in</w:t>
      </w:r>
      <w:r>
        <w:rPr>
          <w:highlight w:val="white"/>
        </w:rPr>
        <w:t xml:space="preserve"> specified areas related to the trawl closures</w:t>
      </w:r>
      <w:r>
        <w:t xml:space="preserve">. </w:t>
      </w:r>
    </w:p>
    <w:p w14:paraId="705579E1" w14:textId="77777777" w:rsidR="005A724B" w:rsidRDefault="005D2FFE">
      <w:pPr>
        <w:spacing w:before="0"/>
        <w:jc w:val="left"/>
      </w:pPr>
      <w:r>
        <w:t>The Red King Crab Savings Subarea (RKCSS) is a 10 nm strip on the southern boundary of the RKCSA that NMFS may be open to non-pelagic trawling if a GHL fishery for BBRKC has been established for the crab sea</w:t>
      </w:r>
      <w:r>
        <w:t>son leading into that NMFS calendar fishing year. The RKCSS was originally established to allow for productive rock sole fishing in years when the RKC biomass is sufficient. The subarea is limited by a sub-apportionment of the total Zone 1 RKC PSC limit th</w:t>
      </w:r>
      <w:r>
        <w:t>at is set annually in harvest specifications and may not exceed 25% of the Zone 1 PSC limit. As with the RKCSA, the RKCSS was fully implemented as a year-round area in 1997 after having been in place as a partial-year closure under emergency rule in the pr</w:t>
      </w:r>
      <w:r>
        <w:t>ior year (61 FR 65985, linked above).</w:t>
      </w:r>
    </w:p>
    <w:p w14:paraId="1A319F3B" w14:textId="77777777" w:rsidR="005A724B" w:rsidRDefault="005D2FFE">
      <w:pPr>
        <w:pStyle w:val="Heading4"/>
        <w:spacing w:after="240"/>
        <w:rPr>
          <w:b/>
        </w:rPr>
      </w:pPr>
      <w:bookmarkStart w:id="100" w:name="_g27fadyu3kgy" w:colFirst="0" w:colLast="0"/>
      <w:bookmarkEnd w:id="100"/>
      <w:r>
        <w:rPr>
          <w:b/>
        </w:rPr>
        <w:t>Herring Savings Area</w:t>
      </w:r>
    </w:p>
    <w:p w14:paraId="7CB662E3" w14:textId="77777777" w:rsidR="005A724B" w:rsidRDefault="005D2FFE">
      <w:r>
        <w:t xml:space="preserve">Concern about unregulated trawl bycatch of Pacific herring led to the establishment of the Herring Savings Area in 1991. The PSC limit of Pacific herring caught while conducting any domestic trawl </w:t>
      </w:r>
      <w:r>
        <w:t>fishery for groundfish in the BSAI is 1 percent of the annual eastern Bering Sea herring biomass. The PSC is apportioned into annual herring PSC allowances, by target fishery (</w:t>
      </w:r>
      <w:r>
        <w:rPr>
          <w:rFonts w:ascii="Roboto" w:eastAsia="Roboto" w:hAnsi="Roboto" w:cs="Roboto"/>
          <w:color w:val="333333"/>
          <w:sz w:val="24"/>
          <w:szCs w:val="24"/>
          <w:highlight w:val="white"/>
        </w:rPr>
        <w:t>50 CFR 679.21(e)(3)(iv))</w:t>
      </w:r>
      <w:r>
        <w:t>, and is published in the Federal Register along with th</w:t>
      </w:r>
      <w:r>
        <w:t>e annual herring PSC limit in the annual harvest specifications. With some exceptions, when herring bycatch allowance or seasonal apportionment thereof is reached, specified for that fishery category in regulation, NMFS closures the Herring Savings Area. T</w:t>
      </w:r>
      <w:r>
        <w:t>here are three closure areas associated with seasonal periods:</w:t>
      </w:r>
    </w:p>
    <w:p w14:paraId="7BFC911A" w14:textId="77777777" w:rsidR="005A724B" w:rsidRDefault="005D2FFE">
      <w:pPr>
        <w:numPr>
          <w:ilvl w:val="0"/>
          <w:numId w:val="1"/>
        </w:numPr>
      </w:pPr>
      <w:r>
        <w:t>Summer Area 1: June 15-July 1</w:t>
      </w:r>
    </w:p>
    <w:p w14:paraId="23578F5A" w14:textId="77777777" w:rsidR="005A724B" w:rsidRDefault="005D2FFE">
      <w:pPr>
        <w:numPr>
          <w:ilvl w:val="0"/>
          <w:numId w:val="1"/>
        </w:numPr>
        <w:spacing w:before="0"/>
      </w:pPr>
      <w:r>
        <w:t>Summer Area 2: July 1 - August 15</w:t>
      </w:r>
    </w:p>
    <w:p w14:paraId="712341BD" w14:textId="77777777" w:rsidR="005A724B" w:rsidRDefault="005D2FFE">
      <w:pPr>
        <w:numPr>
          <w:ilvl w:val="0"/>
          <w:numId w:val="1"/>
        </w:numPr>
        <w:spacing w:before="0"/>
      </w:pPr>
      <w:r>
        <w:t xml:space="preserve">Winter: September 1 - March 1. </w:t>
      </w:r>
    </w:p>
    <w:p w14:paraId="709DEBE3" w14:textId="77777777" w:rsidR="005A724B" w:rsidRDefault="005D2FFE">
      <w:pPr>
        <w:spacing w:after="240"/>
      </w:pPr>
      <w:r>
        <w:t>Amendment 16a (NPFMC 1991) established the herring savings areas based on the biological characte</w:t>
      </w:r>
      <w:r>
        <w:t xml:space="preserve">ristics of the herring stock, fishery bycatch, and potential impacts to the pollock fishery due to time and area closures. </w:t>
      </w:r>
    </w:p>
    <w:p w14:paraId="756F69F5" w14:textId="77777777" w:rsidR="005A724B" w:rsidRDefault="005D2FFE">
      <w:pPr>
        <w:spacing w:after="240"/>
      </w:pPr>
      <w:hyperlink r:id="rId36">
        <w:r>
          <w:rPr>
            <w:color w:val="1155CC"/>
            <w:u w:val="single"/>
          </w:rPr>
          <w:t>https://media.fisheries.noaa.gov/dam-migration</w:t>
        </w:r>
        <w:r>
          <w:rPr>
            <w:color w:val="1155CC"/>
            <w:u w:val="single"/>
          </w:rPr>
          <w:t>/am16a_earirbsai.pdf</w:t>
        </w:r>
      </w:hyperlink>
    </w:p>
    <w:p w14:paraId="4E40DE01" w14:textId="77777777" w:rsidR="005A724B" w:rsidRDefault="005D2FFE">
      <w:pPr>
        <w:pStyle w:val="Heading4"/>
        <w:spacing w:after="240"/>
        <w:rPr>
          <w:b/>
        </w:rPr>
      </w:pPr>
      <w:bookmarkStart w:id="101" w:name="_ni3u3gpga3xs" w:colFirst="0" w:colLast="0"/>
      <w:bookmarkEnd w:id="101"/>
      <w:r>
        <w:rPr>
          <w:b/>
        </w:rPr>
        <w:t>Salmon Savings Measures and Monitoring</w:t>
      </w:r>
    </w:p>
    <w:p w14:paraId="2991ABE6" w14:textId="77777777" w:rsidR="005A724B" w:rsidRDefault="005D2FFE">
      <w:r>
        <w:t xml:space="preserve">[add link to </w:t>
      </w:r>
      <w:proofErr w:type="spellStart"/>
      <w:r>
        <w:t>Amd</w:t>
      </w:r>
      <w:proofErr w:type="spellEnd"/>
      <w:r>
        <w:t xml:space="preserve"> 91 /110 regs]</w:t>
      </w:r>
    </w:p>
    <w:p w14:paraId="547C60BC" w14:textId="77777777" w:rsidR="005A724B" w:rsidRDefault="005D2FFE">
      <w:pPr>
        <w:pStyle w:val="Heading4"/>
        <w:spacing w:after="240"/>
        <w:rPr>
          <w:b/>
        </w:rPr>
      </w:pPr>
      <w:bookmarkStart w:id="102" w:name="_jr6ox9h5151z" w:colFirst="0" w:colLast="0"/>
      <w:bookmarkEnd w:id="102"/>
      <w:r>
        <w:rPr>
          <w:b/>
        </w:rPr>
        <w:t>Habitat Conservation Area Maps</w:t>
      </w:r>
    </w:p>
    <w:p w14:paraId="4297DF64" w14:textId="77777777" w:rsidR="005A724B" w:rsidRDefault="005D2FFE">
      <w:pPr>
        <w:spacing w:after="240"/>
      </w:pPr>
      <w:hyperlink r:id="rId37">
        <w:r>
          <w:rPr>
            <w:b/>
            <w:color w:val="1155CC"/>
            <w:u w:val="single"/>
          </w:rPr>
          <w:t>https://www.fisheries.noaa.gov/reso</w:t>
        </w:r>
        <w:r>
          <w:rPr>
            <w:b/>
            <w:color w:val="1155CC"/>
            <w:u w:val="single"/>
          </w:rPr>
          <w:t>urce/tool-app/habitat-conservation-area-maps</w:t>
        </w:r>
      </w:hyperlink>
    </w:p>
    <w:p w14:paraId="5761EA06" w14:textId="77777777" w:rsidR="005A724B" w:rsidRDefault="005D2FFE">
      <w:pPr>
        <w:pStyle w:val="Heading4"/>
        <w:spacing w:after="240"/>
        <w:rPr>
          <w:b/>
        </w:rPr>
      </w:pPr>
      <w:bookmarkStart w:id="103" w:name="_cis9leq91ukp" w:colFirst="0" w:colLast="0"/>
      <w:bookmarkEnd w:id="103"/>
      <w:r>
        <w:rPr>
          <w:b/>
        </w:rPr>
        <w:t>Steller Sea Lion Protection Measures</w:t>
      </w:r>
    </w:p>
    <w:p w14:paraId="625BDB31" w14:textId="77777777" w:rsidR="005A724B" w:rsidRDefault="005D2FFE">
      <w:pPr>
        <w:spacing w:after="240"/>
      </w:pPr>
      <w:r>
        <w:t xml:space="preserve"> </w:t>
      </w:r>
      <w:hyperlink r:id="rId38">
        <w:r>
          <w:rPr>
            <w:color w:val="1155CC"/>
            <w:u w:val="single"/>
          </w:rPr>
          <w:t>https://www.fisheries.noaa.gov/alaska/commercial-fishing/ste</w:t>
        </w:r>
        <w:r>
          <w:rPr>
            <w:color w:val="1155CC"/>
            <w:u w:val="single"/>
          </w:rPr>
          <w:t>ller-sea-lion-protection-measures</w:t>
        </w:r>
      </w:hyperlink>
    </w:p>
    <w:p w14:paraId="78F4E008" w14:textId="77777777" w:rsidR="005A724B" w:rsidRDefault="005D2FFE">
      <w:pPr>
        <w:pStyle w:val="Heading4"/>
        <w:spacing w:after="240"/>
        <w:rPr>
          <w:b/>
        </w:rPr>
      </w:pPr>
      <w:bookmarkStart w:id="104" w:name="_vwg85bgwc5h3" w:colFirst="0" w:colLast="0"/>
      <w:bookmarkEnd w:id="104"/>
      <w:r>
        <w:rPr>
          <w:b/>
        </w:rPr>
        <w:lastRenderedPageBreak/>
        <w:t>Special Area Maps</w:t>
      </w:r>
    </w:p>
    <w:p w14:paraId="65438F0F" w14:textId="77777777" w:rsidR="005A724B" w:rsidRDefault="005D2FFE">
      <w:pPr>
        <w:spacing w:after="240"/>
      </w:pPr>
      <w:r>
        <w:t xml:space="preserve"> </w:t>
      </w:r>
      <w:hyperlink r:id="rId39">
        <w:r>
          <w:rPr>
            <w:color w:val="1155CC"/>
            <w:u w:val="single"/>
          </w:rPr>
          <w:t>https://www.ecfr.gov/current/title-50/chapter-VI/part-679</w:t>
        </w:r>
      </w:hyperlink>
    </w:p>
    <w:p w14:paraId="6BD431E6" w14:textId="77777777" w:rsidR="005A724B" w:rsidRDefault="005A724B">
      <w:pPr>
        <w:pStyle w:val="Heading3"/>
      </w:pPr>
      <w:bookmarkStart w:id="105" w:name="_rz6b1kwn7r2l" w:colFirst="0" w:colLast="0"/>
      <w:bookmarkEnd w:id="105"/>
    </w:p>
    <w:p w14:paraId="468B43A2" w14:textId="77777777" w:rsidR="005A724B" w:rsidRDefault="005D2FFE">
      <w:pPr>
        <w:pStyle w:val="Heading3"/>
      </w:pPr>
      <w:bookmarkStart w:id="106" w:name="_3u5ybonewde6" w:colFirst="0" w:colLast="0"/>
      <w:bookmarkEnd w:id="106"/>
      <w:r>
        <w:t xml:space="preserve">Monitoring </w:t>
      </w:r>
    </w:p>
    <w:p w14:paraId="67AE7A16" w14:textId="77777777" w:rsidR="005A724B" w:rsidRDefault="005D2FFE">
      <w:r>
        <w:t xml:space="preserve">In the groundfish and Pacific halibut fisheries, catch </w:t>
      </w:r>
      <w:r>
        <w:t>and discard data are collected through the North Pacific Observer Program (Observer Program).  This program is the largest observer program in the country and is administered by the Alaska Fisheries Science Center (AFSC).  It provides the regulatory framew</w:t>
      </w:r>
      <w:r>
        <w:t>ork to deploy observers and Electronic Monitoring (EM) systems to collect data necessary for the conservation, management, and scientific understanding of the commercial fisheries in the BSAI and GOA management areas. Data collection through the Observer P</w:t>
      </w:r>
      <w:r>
        <w:t>rogram provides a reliable and verifiable method for NMFS to collect fishery-dependent catch data, biological information on fish, and data concerning seabird and marine mammal interactions with fisheries. Observers and EM systems provide information on ca</w:t>
      </w:r>
      <w:r>
        <w:t>tch and discard onboard fishing vessels and at onshore processing plants. These data are used in the Catch Accounting System to extrapolate and estimate total catch and discards in the fisheries (</w:t>
      </w:r>
      <w:proofErr w:type="spellStart"/>
      <w:r>
        <w:t>Cahalan</w:t>
      </w:r>
      <w:proofErr w:type="spellEnd"/>
      <w:r>
        <w:t xml:space="preserve"> et al., 2014) and enable real-time catch information</w:t>
      </w:r>
      <w:r>
        <w:t xml:space="preserve"> for in-season management of the fisheries. </w:t>
      </w:r>
    </w:p>
    <w:p w14:paraId="2B8E8ED6" w14:textId="77777777" w:rsidR="005A724B" w:rsidRDefault="005D2FFE">
      <w:pPr>
        <w:jc w:val="left"/>
      </w:pPr>
      <w:r>
        <w:t>Vessels fall into two categories of coverage, a full coverage category and a partial coverage category. In the full coverage category, vessels must have an observer onboard on every trip (many vessels with two o</w:t>
      </w:r>
      <w:r>
        <w:t>bservers), and vessels obtain observers by contracting directly with certified observer providers. Vessels in this category include catcher/processors as well as catcher vessels that are participating in specific limited access privilege program fisheries.</w:t>
      </w:r>
      <w:r>
        <w:t xml:space="preserve"> The vast majority of the groundfish catch falls under the full coverage category. Vessels operating in the AFA pollock fishery have full retention requirements for salmon with electronic monitoring for purposes of enforcing the retention requirement. A re</w:t>
      </w:r>
      <w:r>
        <w:t xml:space="preserve">cently approved EM program will expand this to all groundfish and PSC for participating AFA catcher vessels. </w:t>
      </w:r>
    </w:p>
    <w:p w14:paraId="170A705A" w14:textId="77777777" w:rsidR="005A724B" w:rsidRDefault="005D2FFE">
      <w:pPr>
        <w:jc w:val="left"/>
      </w:pPr>
      <w:r>
        <w:t>All vessels and processors that are not in full coverage are in the partial coverage category and are assigned observer coverage according to the scientific sampling plan described in the Annual Deployment Plan (ADP). The ADP outlines the science-driven me</w:t>
      </w:r>
      <w:r>
        <w:t xml:space="preserve">thod for deployment of observers and EM systems using established random sampling methods to collect data on a statistically reliable sample of fishing vessels in the partial coverage category. </w:t>
      </w:r>
    </w:p>
    <w:p w14:paraId="0684E08D" w14:textId="77777777" w:rsidR="005A724B" w:rsidRDefault="005D2FFE">
      <w:pPr>
        <w:jc w:val="left"/>
      </w:pPr>
      <w:r>
        <w:t xml:space="preserve">Together, monitoring of the vessels in the full coverage and </w:t>
      </w:r>
      <w:r>
        <w:t xml:space="preserve">partial coverage categories provides a comprehensive data collection program from which to extrapolate and provide estimates of discards. In 2021 for example, 98.7% of the catch (including discards) in the BSAI groundfish and halibut fisheries occurred on </w:t>
      </w:r>
      <w:r>
        <w:t>a trip with an at-sea or shoreside observer or by EM (NMFS, 2022).</w:t>
      </w:r>
    </w:p>
    <w:p w14:paraId="32A72903" w14:textId="77777777" w:rsidR="005A724B" w:rsidRDefault="005D2FFE">
      <w:pPr>
        <w:pStyle w:val="Heading3"/>
        <w:jc w:val="left"/>
      </w:pPr>
      <w:bookmarkStart w:id="107" w:name="_wydrhfc7w9e3" w:colFirst="0" w:colLast="0"/>
      <w:bookmarkEnd w:id="107"/>
      <w:r>
        <w:lastRenderedPageBreak/>
        <w:t>Data Acquisition</w:t>
      </w:r>
    </w:p>
    <w:p w14:paraId="51DD1CE0" w14:textId="77777777" w:rsidR="005A724B" w:rsidRDefault="005D2FFE">
      <w:pPr>
        <w:jc w:val="left"/>
      </w:pPr>
      <w:r>
        <w:t>Data warehouses are maintained by NMFS, ADF&amp;G, and the Pacific States  Alaska Fishery Information Network (AKFIN) and summary reports can be found on agency websites. Landi</w:t>
      </w:r>
      <w:r>
        <w:t xml:space="preserve">ngs and Processing reports are provided to NMFS and ADF&amp;G through </w:t>
      </w:r>
      <w:proofErr w:type="spellStart"/>
      <w:r>
        <w:t>eLanding</w:t>
      </w:r>
      <w:proofErr w:type="spellEnd"/>
      <w:r>
        <w:t>/</w:t>
      </w:r>
      <w:proofErr w:type="spellStart"/>
      <w:r>
        <w:t>tLandings</w:t>
      </w:r>
      <w:proofErr w:type="spellEnd"/>
      <w:r>
        <w:t xml:space="preserve"> applications and are made available in near real time to agency and AKFIN data warehouse processes. NMFS also provides data feeds directly to industry and provides support</w:t>
      </w:r>
      <w:r>
        <w:t xml:space="preserve"> on issues associated with these feeds. Both fishery and scientific collections are available to agency scientists through AKFIN or the respective data warehouses (e.g., NMFS, ADF&amp;G). The public can access data through agency websites and data requests can</w:t>
      </w:r>
      <w:r>
        <w:t xml:space="preserve"> be made by the public to the agencies but must conform to data confidentiality regulations and policy. Other sources of data, such as ocean observing systems and AIS, also exist and have been integrated into specialized fishery data products in some situa</w:t>
      </w:r>
      <w:r>
        <w:t xml:space="preserve">tions. </w:t>
      </w:r>
    </w:p>
    <w:sectPr w:rsidR="005A724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E9F3" w14:textId="77777777" w:rsidR="005D2FFE" w:rsidRDefault="005D2FFE">
      <w:pPr>
        <w:spacing w:before="0" w:line="240" w:lineRule="auto"/>
      </w:pPr>
      <w:r>
        <w:separator/>
      </w:r>
    </w:p>
  </w:endnote>
  <w:endnote w:type="continuationSeparator" w:id="0">
    <w:p w14:paraId="51311CFF" w14:textId="77777777" w:rsidR="005D2FFE" w:rsidRDefault="005D2FF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729F" w14:textId="77777777" w:rsidR="005D2FFE" w:rsidRDefault="005D2FFE">
      <w:pPr>
        <w:spacing w:before="0" w:line="240" w:lineRule="auto"/>
      </w:pPr>
      <w:r>
        <w:separator/>
      </w:r>
    </w:p>
  </w:footnote>
  <w:footnote w:type="continuationSeparator" w:id="0">
    <w:p w14:paraId="337D98DC" w14:textId="77777777" w:rsidR="005D2FFE" w:rsidRDefault="005D2FF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A7AB" w14:textId="77777777" w:rsidR="005A724B" w:rsidRDefault="005A724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7CC4" w14:textId="77777777" w:rsidR="005A724B" w:rsidRDefault="005A72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5F1D"/>
    <w:multiLevelType w:val="multilevel"/>
    <w:tmpl w:val="2FD43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1B22E3"/>
    <w:multiLevelType w:val="multilevel"/>
    <w:tmpl w:val="3EFCC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9405C0"/>
    <w:multiLevelType w:val="multilevel"/>
    <w:tmpl w:val="8A2E7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4D56CC"/>
    <w:multiLevelType w:val="multilevel"/>
    <w:tmpl w:val="460A6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2F399D"/>
    <w:multiLevelType w:val="multilevel"/>
    <w:tmpl w:val="FA623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0E501B"/>
    <w:multiLevelType w:val="multilevel"/>
    <w:tmpl w:val="BDC27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C424BF"/>
    <w:multiLevelType w:val="multilevel"/>
    <w:tmpl w:val="FE50E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BF58C7"/>
    <w:multiLevelType w:val="multilevel"/>
    <w:tmpl w:val="03E0E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D80CF7"/>
    <w:multiLevelType w:val="multilevel"/>
    <w:tmpl w:val="0E0E9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A23104"/>
    <w:multiLevelType w:val="multilevel"/>
    <w:tmpl w:val="3E246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C63B17"/>
    <w:multiLevelType w:val="multilevel"/>
    <w:tmpl w:val="1ED68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F57BE8"/>
    <w:multiLevelType w:val="multilevel"/>
    <w:tmpl w:val="AA8E8B5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CD1486"/>
    <w:multiLevelType w:val="multilevel"/>
    <w:tmpl w:val="0ADE5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FD0D0C"/>
    <w:multiLevelType w:val="multilevel"/>
    <w:tmpl w:val="8432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104349"/>
    <w:multiLevelType w:val="multilevel"/>
    <w:tmpl w:val="169CB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D712B3"/>
    <w:multiLevelType w:val="multilevel"/>
    <w:tmpl w:val="04208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1A30B1"/>
    <w:multiLevelType w:val="multilevel"/>
    <w:tmpl w:val="7988D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097951"/>
    <w:multiLevelType w:val="multilevel"/>
    <w:tmpl w:val="F6DCD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AE255FD"/>
    <w:multiLevelType w:val="multilevel"/>
    <w:tmpl w:val="24343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AF30CB"/>
    <w:multiLevelType w:val="multilevel"/>
    <w:tmpl w:val="24CC2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CD0D6B"/>
    <w:multiLevelType w:val="multilevel"/>
    <w:tmpl w:val="08142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126391"/>
    <w:multiLevelType w:val="multilevel"/>
    <w:tmpl w:val="EE663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3475D05"/>
    <w:multiLevelType w:val="multilevel"/>
    <w:tmpl w:val="AB5C9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6D40DD0"/>
    <w:multiLevelType w:val="multilevel"/>
    <w:tmpl w:val="27E27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D3C7171"/>
    <w:multiLevelType w:val="multilevel"/>
    <w:tmpl w:val="82A20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94327F"/>
    <w:multiLevelType w:val="multilevel"/>
    <w:tmpl w:val="F3406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980F01"/>
    <w:multiLevelType w:val="multilevel"/>
    <w:tmpl w:val="80D4E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D9318A"/>
    <w:multiLevelType w:val="multilevel"/>
    <w:tmpl w:val="88BAD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9"/>
  </w:num>
  <w:num w:numId="3">
    <w:abstractNumId w:val="13"/>
  </w:num>
  <w:num w:numId="4">
    <w:abstractNumId w:val="15"/>
  </w:num>
  <w:num w:numId="5">
    <w:abstractNumId w:val="10"/>
  </w:num>
  <w:num w:numId="6">
    <w:abstractNumId w:val="22"/>
  </w:num>
  <w:num w:numId="7">
    <w:abstractNumId w:val="12"/>
  </w:num>
  <w:num w:numId="8">
    <w:abstractNumId w:val="20"/>
  </w:num>
  <w:num w:numId="9">
    <w:abstractNumId w:val="16"/>
  </w:num>
  <w:num w:numId="10">
    <w:abstractNumId w:val="18"/>
  </w:num>
  <w:num w:numId="11">
    <w:abstractNumId w:val="25"/>
  </w:num>
  <w:num w:numId="12">
    <w:abstractNumId w:val="5"/>
  </w:num>
  <w:num w:numId="13">
    <w:abstractNumId w:val="24"/>
  </w:num>
  <w:num w:numId="14">
    <w:abstractNumId w:val="11"/>
  </w:num>
  <w:num w:numId="15">
    <w:abstractNumId w:val="2"/>
  </w:num>
  <w:num w:numId="16">
    <w:abstractNumId w:val="6"/>
  </w:num>
  <w:num w:numId="17">
    <w:abstractNumId w:val="4"/>
  </w:num>
  <w:num w:numId="18">
    <w:abstractNumId w:val="21"/>
  </w:num>
  <w:num w:numId="19">
    <w:abstractNumId w:val="7"/>
  </w:num>
  <w:num w:numId="20">
    <w:abstractNumId w:val="0"/>
  </w:num>
  <w:num w:numId="21">
    <w:abstractNumId w:val="14"/>
  </w:num>
  <w:num w:numId="22">
    <w:abstractNumId w:val="17"/>
  </w:num>
  <w:num w:numId="23">
    <w:abstractNumId w:val="26"/>
  </w:num>
  <w:num w:numId="24">
    <w:abstractNumId w:val="19"/>
  </w:num>
  <w:num w:numId="25">
    <w:abstractNumId w:val="27"/>
  </w:num>
  <w:num w:numId="26">
    <w:abstractNumId w:val="1"/>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4B"/>
    <w:rsid w:val="00182B8C"/>
    <w:rsid w:val="004B79C2"/>
    <w:rsid w:val="005A724B"/>
    <w:rsid w:val="005D2FFE"/>
    <w:rsid w:val="00FB1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B917"/>
  <w15:docId w15:val="{C591969B-BC9B-412C-B8A8-A857DADB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before="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after="240"/>
      <w:jc w:val="center"/>
      <w:outlineLvl w:val="1"/>
    </w:pPr>
    <w:rPr>
      <w:b/>
      <w:color w:val="0B5394"/>
      <w:sz w:val="32"/>
      <w:szCs w:val="32"/>
    </w:rPr>
  </w:style>
  <w:style w:type="paragraph" w:styleId="Heading3">
    <w:name w:val="heading 3"/>
    <w:basedOn w:val="Normal"/>
    <w:next w:val="Normal"/>
    <w:uiPriority w:val="9"/>
    <w:unhideWhenUsed/>
    <w:qFormat/>
    <w:pPr>
      <w:keepNext/>
      <w:keepLines/>
      <w:spacing w:before="320" w:after="240"/>
      <w:outlineLvl w:val="2"/>
    </w:pPr>
    <w:rPr>
      <w:b/>
      <w:color w:val="3D85C6"/>
      <w:sz w:val="28"/>
      <w:szCs w:val="28"/>
    </w:rPr>
  </w:style>
  <w:style w:type="paragraph" w:styleId="Heading4">
    <w:name w:val="heading 4"/>
    <w:basedOn w:val="Normal"/>
    <w:next w:val="Normal"/>
    <w:uiPriority w:val="9"/>
    <w:unhideWhenUsed/>
    <w:qFormat/>
    <w:pPr>
      <w:keepNext/>
      <w:keepLines/>
      <w:spacing w:after="80"/>
      <w:outlineLvl w:val="3"/>
    </w:pPr>
    <w:rPr>
      <w:i/>
      <w:color w:val="0B5394"/>
      <w:sz w:val="24"/>
      <w:szCs w:val="24"/>
    </w:rPr>
  </w:style>
  <w:style w:type="paragraph" w:styleId="Heading5">
    <w:name w:val="heading 5"/>
    <w:basedOn w:val="Normal"/>
    <w:next w:val="Normal"/>
    <w:uiPriority w:val="9"/>
    <w:unhideWhenUsed/>
    <w:qFormat/>
    <w:pPr>
      <w:keepNext/>
      <w:keepLines/>
      <w:spacing w:before="280" w:after="80"/>
      <w:outlineLvl w:val="4"/>
    </w:pPr>
    <w:rPr>
      <w:b/>
      <w:i/>
      <w:color w:val="243F61"/>
    </w:rPr>
  </w:style>
  <w:style w:type="paragraph" w:styleId="Heading6">
    <w:name w:val="heading 6"/>
    <w:basedOn w:val="Normal"/>
    <w:next w:val="Normal"/>
    <w:uiPriority w:val="9"/>
    <w:unhideWhenUsed/>
    <w:qFormat/>
    <w:pPr>
      <w:keepNext/>
      <w:keepLines/>
      <w:spacing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240"/>
      <w:jc w:val="center"/>
    </w:pPr>
    <w:rPr>
      <w:color w:val="073763"/>
      <w:sz w:val="52"/>
      <w:szCs w:val="52"/>
    </w:rPr>
  </w:style>
  <w:style w:type="paragraph" w:styleId="Subtitle">
    <w:name w:val="Subtitle"/>
    <w:basedOn w:val="Normal"/>
    <w:next w:val="Normal"/>
    <w:uiPriority w:val="11"/>
    <w:qFormat/>
    <w:pPr>
      <w:keepNext/>
      <w:keepLines/>
      <w:spacing w:before="0" w:after="320"/>
      <w:jc w:val="center"/>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fisheries.noaa.gov/alaska/population-assessments/north-pacific-groundfish-stock-assessments-and-fishery-evaluation" TargetMode="External"/><Relationship Id="rId26" Type="http://schemas.openxmlformats.org/officeDocument/2006/relationships/hyperlink" Target="https://meetings.npfmc.org/CommentReview/DownloadFile?p=7b10e15f-e306-446b-9f49-21b33e04ff1a.pdf&amp;fileName=D1%20CEC%20Report%20February%202021.pdf" TargetMode="External"/><Relationship Id="rId39" Type="http://schemas.openxmlformats.org/officeDocument/2006/relationships/hyperlink" Target="https://www.ecfr.gov/current/title-50/chapter-VI/part-679" TargetMode="External"/><Relationship Id="rId21" Type="http://schemas.openxmlformats.org/officeDocument/2006/relationships/hyperlink" Target="https://www.science.org/doi/10.1126/science.aba0690" TargetMode="External"/><Relationship Id="rId34" Type="http://schemas.openxmlformats.org/officeDocument/2006/relationships/hyperlink" Target="https://www.govinfo.gov/content/pkg/FR-1996-03-06/pdf/96-5181.pdf" TargetMode="External"/><Relationship Id="rId7" Type="http://schemas.openxmlformats.org/officeDocument/2006/relationships/hyperlink" Target="https://www.msc.org/en-us" TargetMode="External"/><Relationship Id="rId2" Type="http://schemas.openxmlformats.org/officeDocument/2006/relationships/styles" Target="styles.xml"/><Relationship Id="rId16" Type="http://schemas.openxmlformats.org/officeDocument/2006/relationships/hyperlink" Target="https://www.fisheries.noaa.gov/alaska/population-assessments/north-pacific-groundfish-stock-assessments-and-fishery-evaluation" TargetMode="External"/><Relationship Id="rId20" Type="http://schemas.openxmlformats.org/officeDocument/2006/relationships/hyperlink" Target="https://www.npfmc.org/wp-content/PDFdocuments/resources/NPFMC_Top_Ten_2022-2024.pdf" TargetMode="External"/><Relationship Id="rId29" Type="http://schemas.openxmlformats.org/officeDocument/2006/relationships/hyperlink" Target="https://www.ecfr.gov/current/title-50/section-679.2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meetings.npfmc.org/CommentReview/DownloadFile?p=c334ad33-4139-4b5a-b205-a8b7c5028562.pdf&amp;fileName=D6%20Final%20BS%20FEP%20Jan%202019.pdf" TargetMode="External"/><Relationship Id="rId32" Type="http://schemas.openxmlformats.org/officeDocument/2006/relationships/hyperlink" Target="https://www.govinfo.gov/content/pkg/FR-1995-01-25/pdf/95-1777.pdf" TargetMode="External"/><Relationship Id="rId37" Type="http://schemas.openxmlformats.org/officeDocument/2006/relationships/hyperlink" Target="https://www.fisheries.noaa.gov/resource/tool-app/habitat-conservation-area-map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google.com/spreadsheets/d/1OBla0c2_7i8U06AVvGhlHp2_z0z3fYpQBpwtbuaZ55g/edit" TargetMode="External"/><Relationship Id="rId23" Type="http://schemas.openxmlformats.org/officeDocument/2006/relationships/hyperlink" Target="https://meetings.npfmc.org/CommentReview/DownloadFile?p=b54c5d0f-ee83-4c48-88d5-74201b77b9de.pdf&amp;fileName=B1%20Ecosystem%20Workshop%20Summary%20Report.pdf" TargetMode="External"/><Relationship Id="rId28" Type="http://schemas.openxmlformats.org/officeDocument/2006/relationships/hyperlink" Target="https://www.ecfr.gov/current/title-50/section-679.4" TargetMode="External"/><Relationship Id="rId36" Type="http://schemas.openxmlformats.org/officeDocument/2006/relationships/hyperlink" Target="https://media.fisheries.noaa.gov/dam-migration/am16a_earirbsai.pdf" TargetMode="External"/><Relationship Id="rId10" Type="http://schemas.openxmlformats.org/officeDocument/2006/relationships/header" Target="header1.xml"/><Relationship Id="rId19" Type="http://schemas.openxmlformats.org/officeDocument/2006/relationships/hyperlink" Target="https://www.fisheries.noaa.gov/alaska/population-assessments/north-pacific-groundfish-stock-assessments-and-fishery-evaluation" TargetMode="External"/><Relationship Id="rId31" Type="http://schemas.openxmlformats.org/officeDocument/2006/relationships/hyperlink" Target="https://www.ecfr.gov/current/title-50/section-679.21" TargetMode="External"/><Relationship Id="rId4" Type="http://schemas.openxmlformats.org/officeDocument/2006/relationships/webSettings" Target="webSettings.xml"/><Relationship Id="rId9" Type="http://schemas.openxmlformats.org/officeDocument/2006/relationships/hyperlink" Target="https://www.fisheries.noaa.gov/alaska/rules-and-regulations/regulations-acts-treaties-and-agreements-federal-fisheries-alaska" TargetMode="External"/><Relationship Id="rId14" Type="http://schemas.openxmlformats.org/officeDocument/2006/relationships/image" Target="media/image2.png"/><Relationship Id="rId22" Type="http://schemas.openxmlformats.org/officeDocument/2006/relationships/hyperlink" Target="https://doi.org/10.25923/yn3s-n786" TargetMode="External"/><Relationship Id="rId27" Type="http://schemas.openxmlformats.org/officeDocument/2006/relationships/hyperlink" Target="https://www.arctic.noaa.gov/Report-Card" TargetMode="External"/><Relationship Id="rId30" Type="http://schemas.openxmlformats.org/officeDocument/2006/relationships/hyperlink" Target="https://www.ecfr.gov/current/title-50/section-679.21" TargetMode="External"/><Relationship Id="rId35" Type="http://schemas.openxmlformats.org/officeDocument/2006/relationships/hyperlink" Target="https://www.govinfo.gov/content/pkg/FR-1996-12-16/pdf/96-31850.pdf" TargetMode="External"/><Relationship Id="rId8" Type="http://schemas.openxmlformats.org/officeDocument/2006/relationships/hyperlink" Target="https://rfmcertification.org/certified-fishery-species/" TargetMode="External"/><Relationship Id="rId3" Type="http://schemas.openxmlformats.org/officeDocument/2006/relationships/settings" Target="settings.xml"/><Relationship Id="rId12" Type="http://schemas.openxmlformats.org/officeDocument/2006/relationships/hyperlink" Target="https://www.ecfr.gov/current/title-50/chapter-VI/part-679/appendix-Figure%204%20to%20Part%20679" TargetMode="External"/><Relationship Id="rId17" Type="http://schemas.openxmlformats.org/officeDocument/2006/relationships/hyperlink" Target="https://www.fisheries.noaa.gov/alaska/population-assessments/north-pacific-groundfish-stock-assessments-and-fishery-evaluation" TargetMode="External"/><Relationship Id="rId25" Type="http://schemas.openxmlformats.org/officeDocument/2006/relationships/hyperlink" Target="https://www.npfmc.org/wp-content/PDFdocuments/membership/LKTKS/LKTKSworkplan.pdf" TargetMode="External"/><Relationship Id="rId33" Type="http://schemas.openxmlformats.org/officeDocument/2006/relationships/hyperlink" Target="https://www.federalregister.gov/documents/1995/12/11/95-30011/groundfish-of-the-bering-sea-and-aleutian-islands-area-trawl-closure-to-protect-red-king-crab" TargetMode="External"/><Relationship Id="rId38" Type="http://schemas.openxmlformats.org/officeDocument/2006/relationships/hyperlink" Target="https://www.fisheries.noaa.gov/alaska/commercial-fishing/steller-sea-lion-protection-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51</Pages>
  <Words>18868</Words>
  <Characters>107548</Characters>
  <Application>Microsoft Office Word</Application>
  <DocSecurity>0</DocSecurity>
  <Lines>896</Lines>
  <Paragraphs>252</Paragraphs>
  <ScaleCrop>false</ScaleCrop>
  <Company/>
  <LinksUpToDate>false</LinksUpToDate>
  <CharactersWithSpaces>126164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Diana Stram</cp:lastModifiedBy>
  <cp:revision>4</cp:revision>
  <dcterms:created xsi:type="dcterms:W3CDTF">2022-09-12T23:28:00Z</dcterms:created>
  <dcterms:modified xsi:type="dcterms:W3CDTF">2022-09-13T15:53:00Z</dcterms:modified>
</cp:coreProperties>
</file>